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6F82" w14:paraId="14133513" w14:textId="77777777" w:rsidTr="0010095E">
        <w:trPr>
          <w:trHeight w:hRule="exact" w:val="1418"/>
        </w:trPr>
        <w:tc>
          <w:tcPr>
            <w:tcW w:w="6804" w:type="dxa"/>
            <w:shd w:val="clear" w:color="auto" w:fill="auto"/>
            <w:vAlign w:val="center"/>
          </w:tcPr>
          <w:p w14:paraId="17968EF8" w14:textId="6D3248A6" w:rsidR="00751A4A" w:rsidRPr="001E6F82" w:rsidRDefault="00CF09E8" w:rsidP="0010095E">
            <w:pPr>
              <w:pStyle w:val="EPName"/>
            </w:pPr>
            <w:r w:rsidRPr="001E6F82">
              <w:t>Parlament Europejski</w:t>
            </w:r>
          </w:p>
          <w:p w14:paraId="05F778AB" w14:textId="77777777" w:rsidR="00751A4A" w:rsidRPr="001E6F82" w:rsidRDefault="005F1B17" w:rsidP="005F1B17">
            <w:pPr>
              <w:pStyle w:val="EPTerm"/>
              <w:rPr>
                <w:rStyle w:val="HideTWBExt"/>
                <w:noProof w:val="0"/>
                <w:vanish w:val="0"/>
                <w:color w:val="auto"/>
              </w:rPr>
            </w:pPr>
            <w:r w:rsidRPr="001E6F82">
              <w:t>2024</w:t>
            </w:r>
            <w:r w:rsidR="00817416" w:rsidRPr="001E6F82">
              <w:t>-202</w:t>
            </w:r>
            <w:r w:rsidRPr="001E6F82">
              <w:t>9</w:t>
            </w:r>
          </w:p>
        </w:tc>
        <w:tc>
          <w:tcPr>
            <w:tcW w:w="2268" w:type="dxa"/>
            <w:shd w:val="clear" w:color="auto" w:fill="auto"/>
          </w:tcPr>
          <w:p w14:paraId="01DCF0EC" w14:textId="77777777" w:rsidR="00751A4A" w:rsidRPr="001E6F82" w:rsidRDefault="00187494" w:rsidP="0010095E">
            <w:pPr>
              <w:pStyle w:val="EPLogo"/>
            </w:pPr>
            <w:r w:rsidRPr="001E6F82">
              <w:rPr>
                <w:noProof/>
                <w:lang w:eastAsia="ja-JP"/>
              </w:rPr>
              <w:drawing>
                <wp:inline distT="0" distB="0" distL="0" distR="0" wp14:anchorId="768D0241" wp14:editId="1A9C81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E7DB3E" w14:textId="77777777" w:rsidR="00D058B8" w:rsidRPr="001E6F82" w:rsidRDefault="00D058B8" w:rsidP="004C5D52">
      <w:pPr>
        <w:pStyle w:val="LineTop"/>
      </w:pPr>
    </w:p>
    <w:p w14:paraId="3CD2B2FD" w14:textId="277DDABD" w:rsidR="00680577" w:rsidRPr="001E6F82" w:rsidRDefault="00CF09E8" w:rsidP="00680577">
      <w:pPr>
        <w:pStyle w:val="EPBodyTA1"/>
      </w:pPr>
      <w:r w:rsidRPr="001E6F82">
        <w:t>TEKSTY PRZYJĘTE</w:t>
      </w:r>
    </w:p>
    <w:p w14:paraId="7A29691A" w14:textId="77777777" w:rsidR="00D058B8" w:rsidRPr="001E6F82" w:rsidRDefault="00D058B8" w:rsidP="00D058B8">
      <w:pPr>
        <w:pStyle w:val="LineBottom"/>
      </w:pPr>
    </w:p>
    <w:p w14:paraId="71183749" w14:textId="5AC9F926" w:rsidR="00CF09E8" w:rsidRPr="001E6F82" w:rsidRDefault="00CF09E8" w:rsidP="00CF09E8">
      <w:pPr>
        <w:pStyle w:val="ATHeading1"/>
      </w:pPr>
      <w:bookmarkStart w:id="0" w:name="TANumber"/>
      <w:r w:rsidRPr="001E6F82">
        <w:t>P10_TA(2026)0</w:t>
      </w:r>
      <w:bookmarkEnd w:id="0"/>
      <w:r w:rsidR="00795D2E">
        <w:t>138</w:t>
      </w:r>
    </w:p>
    <w:p w14:paraId="55E9608C" w14:textId="77777777" w:rsidR="00CF09E8" w:rsidRPr="001E6F82" w:rsidRDefault="00CF09E8" w:rsidP="00CF09E8">
      <w:pPr>
        <w:pStyle w:val="ATHeading2"/>
      </w:pPr>
      <w:bookmarkStart w:id="1" w:name="title"/>
      <w:r w:rsidRPr="001E6F82">
        <w:t>Uproszczenie niektórych wymogów i procedur dotyczących produktów chemicznych</w:t>
      </w:r>
      <w:bookmarkEnd w:id="1"/>
    </w:p>
    <w:p w14:paraId="31652095" w14:textId="77777777" w:rsidR="00CF09E8" w:rsidRPr="001E6F82" w:rsidRDefault="00CF09E8" w:rsidP="00CF09E8">
      <w:pPr>
        <w:rPr>
          <w:i/>
          <w:vanish/>
        </w:rPr>
      </w:pPr>
      <w:r w:rsidRPr="001E6F82">
        <w:rPr>
          <w:i/>
        </w:rPr>
        <w:fldChar w:fldCharType="begin"/>
      </w:r>
      <w:r w:rsidRPr="001E6F82">
        <w:rPr>
          <w:i/>
        </w:rPr>
        <w:instrText xml:space="preserve"> TC"(</w:instrText>
      </w:r>
      <w:bookmarkStart w:id="2" w:name="DocNumber"/>
      <w:r w:rsidRPr="001E6F82">
        <w:rPr>
          <w:i/>
        </w:rPr>
        <w:instrText>A10-0104/2026</w:instrText>
      </w:r>
      <w:bookmarkEnd w:id="2"/>
      <w:r w:rsidRPr="001E6F82">
        <w:rPr>
          <w:i/>
        </w:rPr>
        <w:instrText xml:space="preserve"> - Sprawozdawca: Dimitris </w:instrText>
      </w:r>
      <w:proofErr w:type="spellStart"/>
      <w:r w:rsidRPr="001E6F82">
        <w:rPr>
          <w:i/>
        </w:rPr>
        <w:instrText>Tsiodras</w:instrText>
      </w:r>
      <w:proofErr w:type="spellEnd"/>
      <w:r w:rsidRPr="001E6F82">
        <w:rPr>
          <w:i/>
        </w:rPr>
        <w:instrText xml:space="preserve">, Piotr Müller)"\l3 \n&gt; \* MERGEFORMAT </w:instrText>
      </w:r>
      <w:r w:rsidRPr="001E6F82">
        <w:rPr>
          <w:i/>
        </w:rPr>
        <w:fldChar w:fldCharType="end"/>
      </w:r>
    </w:p>
    <w:p w14:paraId="5A9708D6" w14:textId="77777777" w:rsidR="00CF09E8" w:rsidRPr="001E6F82" w:rsidRDefault="00CF09E8" w:rsidP="00CF09E8">
      <w:pPr>
        <w:rPr>
          <w:vanish/>
        </w:rPr>
      </w:pPr>
      <w:bookmarkStart w:id="3" w:name="Commission"/>
      <w:r w:rsidRPr="001E6F82">
        <w:rPr>
          <w:vanish/>
        </w:rPr>
        <w:t>Komisja Ochrony Środowiska Naturalnego, Klimatu i Bezpieczeństwa Żywności, Komisja Rynku Wewnętrznego i Ochrony Konsumentów</w:t>
      </w:r>
      <w:bookmarkEnd w:id="3"/>
    </w:p>
    <w:p w14:paraId="67A8E7F7" w14:textId="1F13B01F" w:rsidR="00CF09E8" w:rsidRPr="001E6F82" w:rsidRDefault="00CF09E8" w:rsidP="00CF09E8">
      <w:pPr>
        <w:rPr>
          <w:vanish/>
        </w:rPr>
      </w:pPr>
      <w:bookmarkStart w:id="4" w:name="PE"/>
      <w:r w:rsidRPr="001E6F82">
        <w:rPr>
          <w:vanish/>
        </w:rPr>
        <w:t>PE78</w:t>
      </w:r>
      <w:r w:rsidR="000A70FE">
        <w:rPr>
          <w:vanish/>
        </w:rPr>
        <w:t>3</w:t>
      </w:r>
      <w:r w:rsidRPr="001E6F82">
        <w:rPr>
          <w:vanish/>
        </w:rPr>
        <w:t>.</w:t>
      </w:r>
      <w:bookmarkEnd w:id="4"/>
      <w:r w:rsidR="000A70FE">
        <w:rPr>
          <w:vanish/>
        </w:rPr>
        <w:t>026</w:t>
      </w:r>
    </w:p>
    <w:p w14:paraId="1EDAD276" w14:textId="387E94CA" w:rsidR="00CF09E8" w:rsidRPr="001E6F82" w:rsidRDefault="00795D2E" w:rsidP="00CF09E8">
      <w:pPr>
        <w:pStyle w:val="ATHeading3"/>
      </w:pPr>
      <w:bookmarkStart w:id="5" w:name="Sujet"/>
      <w:r w:rsidRPr="00795D2E">
        <w:t>Poprawki przyjęte przez Parlament Europejski w dniu</w:t>
      </w:r>
      <w:r w:rsidR="00CF09E8" w:rsidRPr="001E6F82">
        <w:t xml:space="preserve"> </w:t>
      </w:r>
      <w:r w:rsidR="000A70FE">
        <w:t>29 kwietnia</w:t>
      </w:r>
      <w:r w:rsidR="00CF09E8" w:rsidRPr="001E6F82">
        <w:t xml:space="preserve"> 2026 r. w sprawie wniosku dotyczącego rozporządzenia Parlamentu Europejskiego i Rady zmieniającego rozporządzenia (WE) nr 1272/2008, (WE) nr 1223/2009 i (UE) 2019/1009 w odniesieniu do uproszczenia niektórych wymogów i procedur dotyczących produktów chemicznych</w:t>
      </w:r>
      <w:bookmarkEnd w:id="5"/>
      <w:r w:rsidR="00CF09E8" w:rsidRPr="001E6F82">
        <w:t xml:space="preserve"> </w:t>
      </w:r>
      <w:bookmarkStart w:id="6" w:name="References"/>
      <w:r w:rsidR="00CF09E8" w:rsidRPr="001E6F82">
        <w:t>(COM(2025)0531 – C10-0143/2025 – 2025/0531(COD))</w:t>
      </w:r>
      <w:bookmarkEnd w:id="6"/>
      <w:r w:rsidRPr="00252FC5">
        <w:rPr>
          <w:b w:val="0"/>
          <w:noProof/>
          <w:vertAlign w:val="superscript"/>
        </w:rPr>
        <w:footnoteReference w:id="1"/>
      </w:r>
    </w:p>
    <w:p w14:paraId="000B5B43" w14:textId="77777777" w:rsidR="002E6C09" w:rsidRPr="001E6F82" w:rsidRDefault="002E6C09" w:rsidP="002E6C09">
      <w:pPr>
        <w:pStyle w:val="NormalBold"/>
      </w:pPr>
      <w:r w:rsidRPr="001E6F82">
        <w:t>(Zwykła procedura ustawodawcza: pierwsze czytanie)</w:t>
      </w:r>
    </w:p>
    <w:p w14:paraId="7CD846B9" w14:textId="77777777" w:rsidR="002E6C09" w:rsidRPr="001E6F82" w:rsidRDefault="002E6C09" w:rsidP="002E6C09">
      <w:r w:rsidRPr="001E6F82">
        <w:br w:type="page"/>
      </w:r>
    </w:p>
    <w:p w14:paraId="101E1F9F" w14:textId="77777777" w:rsidR="002E6C09" w:rsidRPr="001E6F82" w:rsidRDefault="002E6C09" w:rsidP="002E6C09">
      <w:pPr>
        <w:pStyle w:val="AmNumberTabs"/>
      </w:pPr>
      <w:r w:rsidRPr="001E6F82">
        <w:lastRenderedPageBreak/>
        <w:t>Poprawka</w:t>
      </w:r>
      <w:r w:rsidRPr="001E6F82">
        <w:tab/>
      </w:r>
      <w:r w:rsidRPr="001E6F82">
        <w:tab/>
        <w:t>1</w:t>
      </w:r>
    </w:p>
    <w:p w14:paraId="6EAFC657" w14:textId="77777777" w:rsidR="002E6C09" w:rsidRPr="001E6F82" w:rsidRDefault="002E6C09" w:rsidP="002E6C09">
      <w:pPr>
        <w:pStyle w:val="NormalBold"/>
      </w:pPr>
      <w:r w:rsidRPr="001E6F82">
        <w:t>Wniosek dotyczący rozporządzenia</w:t>
      </w:r>
    </w:p>
    <w:p w14:paraId="6858DE8E" w14:textId="77777777" w:rsidR="002E6C09" w:rsidRPr="001E6F82" w:rsidRDefault="002E6C09" w:rsidP="002E6C09">
      <w:pPr>
        <w:pStyle w:val="NormalBold"/>
      </w:pPr>
      <w:r w:rsidRPr="001E6F82">
        <w:t>Motyw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6684BFD" w14:textId="77777777" w:rsidTr="00844FF8">
        <w:trPr>
          <w:trHeight w:val="240"/>
          <w:jc w:val="center"/>
        </w:trPr>
        <w:tc>
          <w:tcPr>
            <w:tcW w:w="9752" w:type="dxa"/>
            <w:gridSpan w:val="2"/>
            <w:tcBorders>
              <w:top w:val="nil"/>
              <w:left w:val="nil"/>
              <w:bottom w:val="nil"/>
              <w:right w:val="nil"/>
            </w:tcBorders>
          </w:tcPr>
          <w:p w14:paraId="345EDD9B" w14:textId="77777777" w:rsidR="002E6C09" w:rsidRPr="001E6F82" w:rsidRDefault="002E6C09" w:rsidP="00844FF8"/>
        </w:tc>
      </w:tr>
      <w:tr w:rsidR="002E6C09" w:rsidRPr="001E6F82" w14:paraId="0A0AFEEA" w14:textId="77777777" w:rsidTr="00844FF8">
        <w:trPr>
          <w:trHeight w:val="240"/>
          <w:jc w:val="center"/>
        </w:trPr>
        <w:tc>
          <w:tcPr>
            <w:tcW w:w="4876" w:type="dxa"/>
            <w:tcBorders>
              <w:top w:val="nil"/>
              <w:left w:val="nil"/>
              <w:bottom w:val="nil"/>
              <w:right w:val="nil"/>
            </w:tcBorders>
            <w:hideMark/>
          </w:tcPr>
          <w:p w14:paraId="5A380A1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2E804C0" w14:textId="77777777" w:rsidR="002E6C09" w:rsidRPr="001E6F82" w:rsidRDefault="002E6C09" w:rsidP="00844FF8">
            <w:pPr>
              <w:pStyle w:val="AmColumnHeading"/>
            </w:pPr>
            <w:r w:rsidRPr="001E6F82">
              <w:t>Poprawka</w:t>
            </w:r>
          </w:p>
        </w:tc>
      </w:tr>
      <w:tr w:rsidR="002E6C09" w:rsidRPr="001E6F82" w14:paraId="5AE11D96" w14:textId="77777777" w:rsidTr="00844FF8">
        <w:trPr>
          <w:jc w:val="center"/>
        </w:trPr>
        <w:tc>
          <w:tcPr>
            <w:tcW w:w="4876" w:type="dxa"/>
            <w:tcBorders>
              <w:top w:val="nil"/>
              <w:left w:val="nil"/>
              <w:bottom w:val="nil"/>
              <w:right w:val="nil"/>
            </w:tcBorders>
            <w:hideMark/>
          </w:tcPr>
          <w:p w14:paraId="62E1FD38" w14:textId="77777777" w:rsidR="002E6C09" w:rsidRPr="001E6F82" w:rsidRDefault="002E6C09" w:rsidP="00844FF8">
            <w:pPr>
              <w:pStyle w:val="Normal6a"/>
            </w:pPr>
            <w:r w:rsidRPr="001E6F82">
              <w:t>(2)</w:t>
            </w:r>
            <w:r w:rsidRPr="001E6F82">
              <w:tab/>
              <w:t xml:space="preserve">Z ustaleń zawartych w sprawozdaniu </w:t>
            </w:r>
            <w:proofErr w:type="spellStart"/>
            <w:r w:rsidRPr="001E6F82">
              <w:t>Draghiego</w:t>
            </w:r>
            <w:proofErr w:type="spellEnd"/>
            <w:r w:rsidRPr="001E6F82">
              <w:t xml:space="preserve"> z 2024 r.</w:t>
            </w:r>
            <w:r w:rsidRPr="001E6F82">
              <w:rPr>
                <w:vertAlign w:val="superscript"/>
              </w:rPr>
              <w:t>2</w:t>
            </w:r>
            <w:r w:rsidRPr="001E6F82">
              <w:t xml:space="preserve"> wynika, że coraz większa liczba i złożoność przepisów mogą ograniczyć pole manewru dla przedsiębiorstw Unii i uniemożliwić im utrzymanie konkurencyjności. W tym kontekście należy uprościć niektóre procedury i wymogi określone w rozporządzeniach Parlamentu Europejskiego i Rady (WE) nr 1272/2008</w:t>
            </w:r>
            <w:r w:rsidRPr="001E6F82">
              <w:rPr>
                <w:vertAlign w:val="superscript"/>
              </w:rPr>
              <w:t>3</w:t>
            </w:r>
            <w:r w:rsidRPr="001E6F82">
              <w:t>, (WE) nr 1223/2009</w:t>
            </w:r>
            <w:r w:rsidRPr="001E6F82">
              <w:rPr>
                <w:vertAlign w:val="superscript"/>
              </w:rPr>
              <w:t>4</w:t>
            </w:r>
            <w:r w:rsidRPr="001E6F82">
              <w:t xml:space="preserve"> i (UE) 2019/1009</w:t>
            </w:r>
            <w:r w:rsidRPr="001E6F82">
              <w:rPr>
                <w:vertAlign w:val="superscript"/>
              </w:rPr>
              <w:t>5</w:t>
            </w:r>
            <w:r w:rsidRPr="001E6F82">
              <w:t xml:space="preserve"> oraz znieść zbędne obciążenia regulacyjne przy jednoczesnym utrzymaniu ochrony zdrowia ludzkiego i środowiska na </w:t>
            </w:r>
            <w:r w:rsidRPr="001E6F82">
              <w:rPr>
                <w:b/>
                <w:i/>
              </w:rPr>
              <w:t>niezmienionym</w:t>
            </w:r>
            <w:r w:rsidRPr="001E6F82">
              <w:t xml:space="preserve"> poziomie.</w:t>
            </w:r>
          </w:p>
        </w:tc>
        <w:tc>
          <w:tcPr>
            <w:tcW w:w="4876" w:type="dxa"/>
            <w:tcBorders>
              <w:top w:val="nil"/>
              <w:left w:val="nil"/>
              <w:bottom w:val="nil"/>
              <w:right w:val="nil"/>
            </w:tcBorders>
            <w:hideMark/>
          </w:tcPr>
          <w:p w14:paraId="12BC3F9D" w14:textId="77777777" w:rsidR="002E6C09" w:rsidRPr="001E6F82" w:rsidRDefault="002E6C09" w:rsidP="00844FF8">
            <w:pPr>
              <w:pStyle w:val="Normal6a"/>
            </w:pPr>
            <w:r w:rsidRPr="001E6F82">
              <w:t>(2)</w:t>
            </w:r>
            <w:r w:rsidRPr="001E6F82">
              <w:tab/>
              <w:t xml:space="preserve">Z ustaleń zawartych w sprawozdaniu </w:t>
            </w:r>
            <w:proofErr w:type="spellStart"/>
            <w:r w:rsidRPr="001E6F82">
              <w:t>Draghiego</w:t>
            </w:r>
            <w:proofErr w:type="spellEnd"/>
            <w:r w:rsidRPr="001E6F82">
              <w:t xml:space="preserve"> z 2024 r.</w:t>
            </w:r>
            <w:r w:rsidRPr="001E6F82">
              <w:rPr>
                <w:vertAlign w:val="superscript"/>
              </w:rPr>
              <w:t>2</w:t>
            </w:r>
            <w:r w:rsidRPr="001E6F82">
              <w:t xml:space="preserve"> wynika, że coraz większa liczba i złożoność przepisów mogą ograniczyć pole manewru dla przedsiębiorstw Unii i uniemożliwić im utrzymanie konkurencyjności. W tym kontekście należy uprościć niektóre procedury i wymogi określone w rozporządzeniach Parlamentu Europejskiego i Rady (WE) nr 1272/2008</w:t>
            </w:r>
            <w:r w:rsidRPr="001E6F82">
              <w:rPr>
                <w:vertAlign w:val="superscript"/>
              </w:rPr>
              <w:t>3</w:t>
            </w:r>
            <w:r w:rsidRPr="001E6F82">
              <w:t>, (WE) nr 1223/2009</w:t>
            </w:r>
            <w:r w:rsidRPr="001E6F82">
              <w:rPr>
                <w:vertAlign w:val="superscript"/>
              </w:rPr>
              <w:t>4</w:t>
            </w:r>
            <w:r w:rsidRPr="001E6F82">
              <w:t xml:space="preserve"> i (UE) 2019/1009</w:t>
            </w:r>
            <w:r w:rsidRPr="001E6F82">
              <w:rPr>
                <w:vertAlign w:val="superscript"/>
              </w:rPr>
              <w:t>5</w:t>
            </w:r>
            <w:r w:rsidRPr="001E6F82">
              <w:t xml:space="preserve"> oraz znieść zbędne obciążenia </w:t>
            </w:r>
            <w:r w:rsidRPr="001E6F82">
              <w:rPr>
                <w:b/>
                <w:i/>
              </w:rPr>
              <w:t>administracyjne i</w:t>
            </w:r>
            <w:r w:rsidRPr="001E6F82">
              <w:t xml:space="preserve"> regulacyjne przy jednoczesnym utrzymaniu ochrony </w:t>
            </w:r>
            <w:r w:rsidRPr="001E6F82">
              <w:rPr>
                <w:b/>
                <w:i/>
              </w:rPr>
              <w:t>konsumentów, ochrony</w:t>
            </w:r>
            <w:r w:rsidRPr="001E6F82">
              <w:t xml:space="preserve"> zdrowia ludzkiego i środowiska na </w:t>
            </w:r>
            <w:r w:rsidRPr="001E6F82">
              <w:rPr>
                <w:b/>
                <w:i/>
              </w:rPr>
              <w:t>wysokim</w:t>
            </w:r>
            <w:r w:rsidRPr="001E6F82">
              <w:t xml:space="preserve"> poziomie.</w:t>
            </w:r>
          </w:p>
        </w:tc>
      </w:tr>
      <w:tr w:rsidR="002E6C09" w:rsidRPr="001E6F82" w14:paraId="75E6775C" w14:textId="77777777" w:rsidTr="00844FF8">
        <w:trPr>
          <w:jc w:val="center"/>
        </w:trPr>
        <w:tc>
          <w:tcPr>
            <w:tcW w:w="4876" w:type="dxa"/>
            <w:tcBorders>
              <w:top w:val="nil"/>
              <w:left w:val="nil"/>
              <w:bottom w:val="nil"/>
              <w:right w:val="nil"/>
            </w:tcBorders>
            <w:hideMark/>
          </w:tcPr>
          <w:p w14:paraId="0938DC23" w14:textId="77777777" w:rsidR="002E6C09" w:rsidRPr="001E6F82" w:rsidRDefault="002E6C09" w:rsidP="00844FF8">
            <w:pPr>
              <w:pStyle w:val="Normal6a"/>
            </w:pPr>
            <w:r w:rsidRPr="001E6F82">
              <w:rPr>
                <w:b/>
                <w:i/>
              </w:rPr>
              <w:t>_________________</w:t>
            </w:r>
          </w:p>
        </w:tc>
        <w:tc>
          <w:tcPr>
            <w:tcW w:w="4876" w:type="dxa"/>
            <w:tcBorders>
              <w:top w:val="nil"/>
              <w:left w:val="nil"/>
              <w:bottom w:val="nil"/>
              <w:right w:val="nil"/>
            </w:tcBorders>
            <w:hideMark/>
          </w:tcPr>
          <w:p w14:paraId="6561D99E" w14:textId="77777777" w:rsidR="002E6C09" w:rsidRPr="001E6F82" w:rsidRDefault="002E6C09" w:rsidP="00844FF8">
            <w:pPr>
              <w:pStyle w:val="Normal6a"/>
            </w:pPr>
            <w:r w:rsidRPr="001E6F82">
              <w:rPr>
                <w:b/>
                <w:i/>
              </w:rPr>
              <w:t>_________________</w:t>
            </w:r>
          </w:p>
        </w:tc>
      </w:tr>
      <w:tr w:rsidR="002E6C09" w:rsidRPr="001E6F82" w14:paraId="27ED1A32" w14:textId="77777777" w:rsidTr="00844FF8">
        <w:trPr>
          <w:jc w:val="center"/>
        </w:trPr>
        <w:tc>
          <w:tcPr>
            <w:tcW w:w="4876" w:type="dxa"/>
            <w:tcBorders>
              <w:top w:val="nil"/>
              <w:left w:val="nil"/>
              <w:bottom w:val="nil"/>
              <w:right w:val="nil"/>
            </w:tcBorders>
            <w:hideMark/>
          </w:tcPr>
          <w:p w14:paraId="257DF305" w14:textId="77777777" w:rsidR="002E6C09" w:rsidRPr="001E6F82" w:rsidRDefault="002E6C09" w:rsidP="00844FF8">
            <w:pPr>
              <w:pStyle w:val="Normal6a"/>
            </w:pPr>
            <w:r w:rsidRPr="001E6F82">
              <w:rPr>
                <w:vertAlign w:val="superscript"/>
              </w:rPr>
              <w:t>2</w:t>
            </w:r>
            <w:r w:rsidRPr="001E6F82">
              <w:t xml:space="preserve"> Sprawozdanie Maria </w:t>
            </w:r>
            <w:proofErr w:type="spellStart"/>
            <w:r w:rsidRPr="001E6F82">
              <w:t>Draghiego</w:t>
            </w:r>
            <w:proofErr w:type="spellEnd"/>
            <w:r w:rsidRPr="001E6F82">
              <w:t xml:space="preserve"> z 2024 r. na temat przyszłości europejskiej konkurencyjności: https://commission.europa.eu/topics/eu-competitiveness/draghi-report_pl#paragraph_47059</w:t>
            </w:r>
          </w:p>
        </w:tc>
        <w:tc>
          <w:tcPr>
            <w:tcW w:w="4876" w:type="dxa"/>
            <w:tcBorders>
              <w:top w:val="nil"/>
              <w:left w:val="nil"/>
              <w:bottom w:val="nil"/>
              <w:right w:val="nil"/>
            </w:tcBorders>
            <w:hideMark/>
          </w:tcPr>
          <w:p w14:paraId="6BE0BE30" w14:textId="77777777" w:rsidR="002E6C09" w:rsidRPr="001E6F82" w:rsidRDefault="002E6C09" w:rsidP="00844FF8">
            <w:pPr>
              <w:pStyle w:val="Normal6a"/>
            </w:pPr>
            <w:r w:rsidRPr="001E6F82">
              <w:rPr>
                <w:vertAlign w:val="superscript"/>
              </w:rPr>
              <w:t>2</w:t>
            </w:r>
            <w:r w:rsidRPr="001E6F82">
              <w:t xml:space="preserve"> Sprawozdanie Maria </w:t>
            </w:r>
            <w:proofErr w:type="spellStart"/>
            <w:r w:rsidRPr="001E6F82">
              <w:t>Draghiego</w:t>
            </w:r>
            <w:proofErr w:type="spellEnd"/>
            <w:r w:rsidRPr="001E6F82">
              <w:t xml:space="preserve"> z 2024 r. na temat przyszłości europejskiej konkurencyjności: https://commission.europa.eu/topics/eu-competitiveness/draghi-report_pl#paragraph_47059</w:t>
            </w:r>
          </w:p>
        </w:tc>
      </w:tr>
      <w:tr w:rsidR="002E6C09" w:rsidRPr="001E6F82" w14:paraId="49D925E6" w14:textId="77777777" w:rsidTr="00844FF8">
        <w:trPr>
          <w:jc w:val="center"/>
        </w:trPr>
        <w:tc>
          <w:tcPr>
            <w:tcW w:w="4876" w:type="dxa"/>
            <w:tcBorders>
              <w:top w:val="nil"/>
              <w:left w:val="nil"/>
              <w:bottom w:val="nil"/>
              <w:right w:val="nil"/>
            </w:tcBorders>
            <w:hideMark/>
          </w:tcPr>
          <w:p w14:paraId="4E12B339" w14:textId="77777777" w:rsidR="002E6C09" w:rsidRPr="001E6F82" w:rsidRDefault="002E6C09" w:rsidP="00844FF8">
            <w:pPr>
              <w:pStyle w:val="Normal6a"/>
            </w:pPr>
            <w:r w:rsidRPr="001E6F82">
              <w:rPr>
                <w:vertAlign w:val="superscript"/>
              </w:rPr>
              <w:t>3</w:t>
            </w:r>
            <w:r w:rsidRPr="001E6F82">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 ELI: http://data.europa.eu/eli/reg/2008/1272/oj).</w:t>
            </w:r>
          </w:p>
        </w:tc>
        <w:tc>
          <w:tcPr>
            <w:tcW w:w="4876" w:type="dxa"/>
            <w:tcBorders>
              <w:top w:val="nil"/>
              <w:left w:val="nil"/>
              <w:bottom w:val="nil"/>
              <w:right w:val="nil"/>
            </w:tcBorders>
            <w:hideMark/>
          </w:tcPr>
          <w:p w14:paraId="3E72815A" w14:textId="77777777" w:rsidR="002E6C09" w:rsidRPr="001E6F82" w:rsidRDefault="002E6C09" w:rsidP="00844FF8">
            <w:pPr>
              <w:pStyle w:val="Normal6a"/>
            </w:pPr>
            <w:r w:rsidRPr="001E6F82">
              <w:rPr>
                <w:vertAlign w:val="superscript"/>
              </w:rPr>
              <w:t>3</w:t>
            </w:r>
            <w:r w:rsidRPr="001E6F82">
              <w:t xml:space="preserve"> 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 ELI: http://data.europa.eu/eli/reg/2008/1272/oj).</w:t>
            </w:r>
          </w:p>
        </w:tc>
      </w:tr>
      <w:tr w:rsidR="002E6C09" w:rsidRPr="001E6F82" w14:paraId="05584060" w14:textId="77777777" w:rsidTr="00844FF8">
        <w:trPr>
          <w:jc w:val="center"/>
        </w:trPr>
        <w:tc>
          <w:tcPr>
            <w:tcW w:w="4876" w:type="dxa"/>
            <w:tcBorders>
              <w:top w:val="nil"/>
              <w:left w:val="nil"/>
              <w:bottom w:val="nil"/>
              <w:right w:val="nil"/>
            </w:tcBorders>
            <w:hideMark/>
          </w:tcPr>
          <w:p w14:paraId="2A8FB7FB" w14:textId="77777777" w:rsidR="002E6C09" w:rsidRPr="001E6F82" w:rsidRDefault="002E6C09" w:rsidP="00844FF8">
            <w:pPr>
              <w:pStyle w:val="Normal6a"/>
            </w:pPr>
            <w:r w:rsidRPr="001E6F82">
              <w:rPr>
                <w:vertAlign w:val="superscript"/>
              </w:rPr>
              <w:t>4</w:t>
            </w:r>
            <w:r w:rsidRPr="001E6F82">
              <w:t xml:space="preserve"> Rozporządzenie Parlamentu Europejskiego i Rady (WE) nr 1223/2009 z dnia 30 listopada 2009 r. dotyczące produktów kosmetycznych (Dz.U. L 342 z 22.12.2009, s. 59, ELI: http://data.europa.eu/eli/reg/2009/1223/oj).</w:t>
            </w:r>
          </w:p>
        </w:tc>
        <w:tc>
          <w:tcPr>
            <w:tcW w:w="4876" w:type="dxa"/>
            <w:tcBorders>
              <w:top w:val="nil"/>
              <w:left w:val="nil"/>
              <w:bottom w:val="nil"/>
              <w:right w:val="nil"/>
            </w:tcBorders>
            <w:hideMark/>
          </w:tcPr>
          <w:p w14:paraId="6691E056" w14:textId="77777777" w:rsidR="002E6C09" w:rsidRPr="001E6F82" w:rsidRDefault="002E6C09" w:rsidP="00844FF8">
            <w:pPr>
              <w:pStyle w:val="Normal6a"/>
            </w:pPr>
            <w:r w:rsidRPr="001E6F82">
              <w:rPr>
                <w:vertAlign w:val="superscript"/>
              </w:rPr>
              <w:t>4</w:t>
            </w:r>
            <w:r w:rsidRPr="001E6F82">
              <w:t xml:space="preserve"> Rozporządzenie Parlamentu Europejskiego i Rady (WE) nr 1223/2009 z dnia 30 listopada 2009 r. dotyczące produktów kosmetycznych (Dz.U. L 342 z 22.12.2009, s. 59, ELI: http://data.europa.eu/eli/reg/2009/1223/oj).</w:t>
            </w:r>
          </w:p>
        </w:tc>
      </w:tr>
      <w:tr w:rsidR="002E6C09" w:rsidRPr="001E6F82" w14:paraId="4D54C483" w14:textId="77777777" w:rsidTr="00844FF8">
        <w:trPr>
          <w:jc w:val="center"/>
        </w:trPr>
        <w:tc>
          <w:tcPr>
            <w:tcW w:w="4876" w:type="dxa"/>
            <w:tcBorders>
              <w:top w:val="nil"/>
              <w:left w:val="nil"/>
              <w:bottom w:val="nil"/>
              <w:right w:val="nil"/>
            </w:tcBorders>
            <w:hideMark/>
          </w:tcPr>
          <w:p w14:paraId="25AA6364" w14:textId="77777777" w:rsidR="002E6C09" w:rsidRPr="001E6F82" w:rsidRDefault="002E6C09" w:rsidP="00844FF8">
            <w:pPr>
              <w:pStyle w:val="Normal6a"/>
            </w:pPr>
            <w:r w:rsidRPr="001E6F82">
              <w:rPr>
                <w:vertAlign w:val="superscript"/>
              </w:rPr>
              <w:t>5</w:t>
            </w:r>
            <w:r w:rsidRPr="001E6F82">
              <w:t xml:space="preserve"> Rozporządzenie Parlamentu Europejskiego i Rady (UE) 2019/1009 z dnia 5 czerwca 2019 r. ustanawiające </w:t>
            </w:r>
            <w:r w:rsidRPr="001E6F82">
              <w:lastRenderedPageBreak/>
              <w:t>przepisy dotyczące udostępniania na rynku produktów nawozowych UE, zmieniające rozporządzenia (WE) nr 1069/2009 i (WE) nr 1107/2009 oraz uchylające rozporządzenie (WE) nr 2003/2003 (Dz.U. L 170 z 25.6.2019, s. 1, ELI: http://data.europa.eu/eli/reg/2019/1009/oj).</w:t>
            </w:r>
          </w:p>
        </w:tc>
        <w:tc>
          <w:tcPr>
            <w:tcW w:w="4876" w:type="dxa"/>
            <w:tcBorders>
              <w:top w:val="nil"/>
              <w:left w:val="nil"/>
              <w:bottom w:val="nil"/>
              <w:right w:val="nil"/>
            </w:tcBorders>
            <w:hideMark/>
          </w:tcPr>
          <w:p w14:paraId="14B3B5DE" w14:textId="77777777" w:rsidR="002E6C09" w:rsidRPr="001E6F82" w:rsidRDefault="002E6C09" w:rsidP="00844FF8">
            <w:pPr>
              <w:pStyle w:val="Normal6a"/>
            </w:pPr>
            <w:r w:rsidRPr="001E6F82">
              <w:rPr>
                <w:vertAlign w:val="superscript"/>
              </w:rPr>
              <w:lastRenderedPageBreak/>
              <w:t>5</w:t>
            </w:r>
            <w:r w:rsidRPr="001E6F82">
              <w:t xml:space="preserve"> Rozporządzenie Parlamentu Europejskiego i Rady (UE) 2019/1009 z dnia 5 czerwca 2019 r. ustanawiające </w:t>
            </w:r>
            <w:r w:rsidRPr="001E6F82">
              <w:lastRenderedPageBreak/>
              <w:t>przepisy dotyczące udostępniania na rynku produktów nawozowych UE, zmieniające rozporządzenia (WE) nr 1069/2009 i (WE) nr 1107/2009 oraz uchylające rozporządzenie (WE) nr 2003/2003 (Dz.U. L 170 z 25.6.2019, s. 1, ELI: http://data.europa.eu/eli/reg/2019/1009/oj).</w:t>
            </w:r>
          </w:p>
        </w:tc>
      </w:tr>
    </w:tbl>
    <w:p w14:paraId="4803BEA4" w14:textId="77777777" w:rsidR="002E6C09" w:rsidRPr="001E6F82" w:rsidRDefault="002E6C09" w:rsidP="002E6C09"/>
    <w:p w14:paraId="52B56661" w14:textId="77777777" w:rsidR="002E6C09" w:rsidRPr="001E6F82" w:rsidRDefault="002E6C09" w:rsidP="002E6C09">
      <w:pPr>
        <w:pStyle w:val="AmNumberTabs"/>
      </w:pPr>
      <w:r w:rsidRPr="001E6F82">
        <w:t>Poprawka</w:t>
      </w:r>
      <w:r w:rsidRPr="001E6F82">
        <w:tab/>
      </w:r>
      <w:r w:rsidRPr="001E6F82">
        <w:tab/>
        <w:t>2</w:t>
      </w:r>
    </w:p>
    <w:p w14:paraId="1425780C" w14:textId="77777777" w:rsidR="002E6C09" w:rsidRPr="001E6F82" w:rsidRDefault="002E6C09" w:rsidP="002E6C09">
      <w:pPr>
        <w:pStyle w:val="NormalBold"/>
      </w:pPr>
      <w:r w:rsidRPr="001E6F82">
        <w:t>Wniosek dotyczący rozporządzenia</w:t>
      </w:r>
    </w:p>
    <w:p w14:paraId="7C7B31E8" w14:textId="77777777" w:rsidR="002E6C09" w:rsidRPr="001E6F82" w:rsidRDefault="002E6C09" w:rsidP="002E6C09">
      <w:pPr>
        <w:pStyle w:val="NormalBold"/>
      </w:pPr>
      <w:r w:rsidRPr="001E6F82">
        <w:t>Motyw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17533FF" w14:textId="77777777" w:rsidTr="00844FF8">
        <w:trPr>
          <w:trHeight w:val="240"/>
          <w:jc w:val="center"/>
        </w:trPr>
        <w:tc>
          <w:tcPr>
            <w:tcW w:w="9752" w:type="dxa"/>
            <w:gridSpan w:val="2"/>
            <w:tcBorders>
              <w:top w:val="nil"/>
              <w:left w:val="nil"/>
              <w:bottom w:val="nil"/>
              <w:right w:val="nil"/>
            </w:tcBorders>
          </w:tcPr>
          <w:p w14:paraId="1D369169" w14:textId="77777777" w:rsidR="002E6C09" w:rsidRPr="001E6F82" w:rsidRDefault="002E6C09" w:rsidP="00844FF8"/>
        </w:tc>
      </w:tr>
      <w:tr w:rsidR="002E6C09" w:rsidRPr="001E6F82" w14:paraId="7BE1C1F7" w14:textId="77777777" w:rsidTr="00844FF8">
        <w:trPr>
          <w:trHeight w:val="240"/>
          <w:jc w:val="center"/>
        </w:trPr>
        <w:tc>
          <w:tcPr>
            <w:tcW w:w="4876" w:type="dxa"/>
            <w:tcBorders>
              <w:top w:val="nil"/>
              <w:left w:val="nil"/>
              <w:bottom w:val="nil"/>
              <w:right w:val="nil"/>
            </w:tcBorders>
            <w:hideMark/>
          </w:tcPr>
          <w:p w14:paraId="1858A916"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C5B769A" w14:textId="77777777" w:rsidR="002E6C09" w:rsidRPr="001E6F82" w:rsidRDefault="002E6C09" w:rsidP="00844FF8">
            <w:pPr>
              <w:pStyle w:val="AmColumnHeading"/>
            </w:pPr>
            <w:r w:rsidRPr="001E6F82">
              <w:t>Poprawka</w:t>
            </w:r>
          </w:p>
        </w:tc>
      </w:tr>
      <w:tr w:rsidR="002E6C09" w:rsidRPr="001E6F82" w14:paraId="5B6C13D5" w14:textId="77777777" w:rsidTr="00844FF8">
        <w:trPr>
          <w:jc w:val="center"/>
        </w:trPr>
        <w:tc>
          <w:tcPr>
            <w:tcW w:w="4876" w:type="dxa"/>
            <w:tcBorders>
              <w:top w:val="nil"/>
              <w:left w:val="nil"/>
              <w:bottom w:val="nil"/>
              <w:right w:val="nil"/>
            </w:tcBorders>
          </w:tcPr>
          <w:p w14:paraId="1EDB20A3" w14:textId="77777777" w:rsidR="002E6C09" w:rsidRPr="001E6F82" w:rsidRDefault="002E6C09" w:rsidP="00844FF8">
            <w:pPr>
              <w:pStyle w:val="Normal6a"/>
            </w:pPr>
          </w:p>
        </w:tc>
        <w:tc>
          <w:tcPr>
            <w:tcW w:w="4876" w:type="dxa"/>
            <w:tcBorders>
              <w:top w:val="nil"/>
              <w:left w:val="nil"/>
              <w:bottom w:val="nil"/>
              <w:right w:val="nil"/>
            </w:tcBorders>
            <w:hideMark/>
          </w:tcPr>
          <w:p w14:paraId="577FC316" w14:textId="77777777" w:rsidR="002E6C09" w:rsidRPr="001E6F82" w:rsidRDefault="002E6C09" w:rsidP="00844FF8">
            <w:pPr>
              <w:pStyle w:val="Normal6a"/>
            </w:pPr>
            <w:r w:rsidRPr="001E6F82">
              <w:rPr>
                <w:b/>
                <w:i/>
              </w:rPr>
              <w:t>(2a)</w:t>
            </w:r>
            <w:r w:rsidRPr="001E6F82">
              <w:tab/>
            </w:r>
            <w:r w:rsidRPr="001E6F82">
              <w:rPr>
                <w:b/>
                <w:i/>
              </w:rPr>
              <w:t>Produkty nawozowe objęte rozporządzeniem (UE) 2019/1009 mają bezpośredni wpływ na koszty produkcji, dochody, bezpieczeństwo i konkurencyjność rolników, natomiast stawiane producentom wymogi regulacyjne i nakładane na nich obciążenia administracyjne pociągają za sobą skutki dla całego łańcucha dostaw. Ponieważ konkurencyjność Unii zależy między innymi od jej zdolności do innowacji, ramy regulacyjne powinny wspierać innowacje i postęp techniczny, w związku z czym powinny pozostać proporcjonalne i należy w nich uniknąć niepotrzebnych obciążeń, a jednocześnie przy ich pomocy zapewnić osiągnięcie celów tego rozporządzenia.</w:t>
            </w:r>
          </w:p>
        </w:tc>
      </w:tr>
    </w:tbl>
    <w:p w14:paraId="5C41C159" w14:textId="77777777" w:rsidR="002E6C09" w:rsidRPr="001E6F82" w:rsidRDefault="002E6C09" w:rsidP="002E6C09"/>
    <w:p w14:paraId="61A34D8B" w14:textId="77777777" w:rsidR="002E6C09" w:rsidRPr="001E6F82" w:rsidRDefault="002E6C09" w:rsidP="002E6C09">
      <w:pPr>
        <w:pStyle w:val="AmNumberTabs"/>
      </w:pPr>
      <w:r w:rsidRPr="001E6F82">
        <w:t>Poprawka</w:t>
      </w:r>
      <w:r w:rsidRPr="001E6F82">
        <w:tab/>
      </w:r>
      <w:r w:rsidRPr="001E6F82">
        <w:tab/>
        <w:t>3</w:t>
      </w:r>
    </w:p>
    <w:p w14:paraId="50E2C202" w14:textId="77777777" w:rsidR="002E6C09" w:rsidRPr="001E6F82" w:rsidRDefault="002E6C09" w:rsidP="002E6C09">
      <w:pPr>
        <w:pStyle w:val="NormalBold"/>
      </w:pPr>
      <w:r w:rsidRPr="001E6F82">
        <w:t>Wniosek dotyczący rozporządzenia</w:t>
      </w:r>
    </w:p>
    <w:p w14:paraId="2639B1E0" w14:textId="77777777" w:rsidR="002E6C09" w:rsidRPr="001E6F82" w:rsidRDefault="002E6C09" w:rsidP="002E6C09">
      <w:pPr>
        <w:pStyle w:val="NormalBold"/>
      </w:pPr>
      <w:r w:rsidRPr="001E6F82">
        <w:t>Motyw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7573878" w14:textId="77777777" w:rsidTr="00844FF8">
        <w:trPr>
          <w:trHeight w:val="240"/>
          <w:jc w:val="center"/>
        </w:trPr>
        <w:tc>
          <w:tcPr>
            <w:tcW w:w="9752" w:type="dxa"/>
            <w:gridSpan w:val="2"/>
            <w:tcBorders>
              <w:top w:val="nil"/>
              <w:left w:val="nil"/>
              <w:bottom w:val="nil"/>
              <w:right w:val="nil"/>
            </w:tcBorders>
          </w:tcPr>
          <w:p w14:paraId="0E69AE7A" w14:textId="77777777" w:rsidR="002E6C09" w:rsidRPr="001E6F82" w:rsidRDefault="002E6C09" w:rsidP="00844FF8"/>
        </w:tc>
      </w:tr>
      <w:tr w:rsidR="002E6C09" w:rsidRPr="001E6F82" w14:paraId="5A7476A1" w14:textId="77777777" w:rsidTr="00844FF8">
        <w:trPr>
          <w:trHeight w:val="240"/>
          <w:jc w:val="center"/>
        </w:trPr>
        <w:tc>
          <w:tcPr>
            <w:tcW w:w="4876" w:type="dxa"/>
            <w:tcBorders>
              <w:top w:val="nil"/>
              <w:left w:val="nil"/>
              <w:bottom w:val="nil"/>
              <w:right w:val="nil"/>
            </w:tcBorders>
            <w:hideMark/>
          </w:tcPr>
          <w:p w14:paraId="381E0546"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2BD1250" w14:textId="77777777" w:rsidR="002E6C09" w:rsidRPr="001E6F82" w:rsidRDefault="002E6C09" w:rsidP="00844FF8">
            <w:pPr>
              <w:pStyle w:val="AmColumnHeading"/>
            </w:pPr>
            <w:r w:rsidRPr="001E6F82">
              <w:t>Poprawka</w:t>
            </w:r>
          </w:p>
        </w:tc>
      </w:tr>
      <w:tr w:rsidR="002E6C09" w:rsidRPr="001E6F82" w14:paraId="6345DCCE" w14:textId="77777777" w:rsidTr="00844FF8">
        <w:trPr>
          <w:jc w:val="center"/>
        </w:trPr>
        <w:tc>
          <w:tcPr>
            <w:tcW w:w="4876" w:type="dxa"/>
            <w:tcBorders>
              <w:top w:val="nil"/>
              <w:left w:val="nil"/>
              <w:bottom w:val="nil"/>
              <w:right w:val="nil"/>
            </w:tcBorders>
            <w:hideMark/>
          </w:tcPr>
          <w:p w14:paraId="40F7EA29" w14:textId="77777777" w:rsidR="002E6C09" w:rsidRPr="001E6F82" w:rsidRDefault="002E6C09" w:rsidP="00844FF8">
            <w:pPr>
              <w:pStyle w:val="Normal6a"/>
            </w:pPr>
            <w:r w:rsidRPr="001E6F82">
              <w:t>(3)</w:t>
            </w:r>
            <w:r w:rsidRPr="001E6F82">
              <w:tab/>
              <w:t xml:space="preserve">Zgodnie z celem Komisji, jakim jest promowanie zasady „domyślnej cyfrowości”, aby wspierać transformację cyfrową oraz ułatwić komunikację między </w:t>
            </w:r>
            <w:r w:rsidRPr="001E6F82">
              <w:rPr>
                <w:b/>
                <w:i/>
              </w:rPr>
              <w:t>podmiotami gospodarczymi</w:t>
            </w:r>
            <w:r w:rsidRPr="001E6F82">
              <w:t xml:space="preserve"> a organami krajowymi odpowiedzialnymi za egzekwowanie przepisów, wskazanie kontaktu elektronicznego na etykiecie substancji i mieszanin stwarzających </w:t>
            </w:r>
            <w:r w:rsidRPr="001E6F82">
              <w:lastRenderedPageBreak/>
              <w:t xml:space="preserve">zagrożenie </w:t>
            </w:r>
            <w:r w:rsidRPr="001E6F82">
              <w:rPr>
                <w:b/>
                <w:i/>
              </w:rPr>
              <w:t>jest konieczne, aby zwiększyć skuteczność</w:t>
            </w:r>
            <w:r w:rsidRPr="001E6F82">
              <w:t xml:space="preserve"> kontroli urzędowych i egzekwowania przepisów oraz </w:t>
            </w:r>
            <w:r w:rsidRPr="001E6F82">
              <w:rPr>
                <w:b/>
                <w:i/>
              </w:rPr>
              <w:t>przyspieszyć proces</w:t>
            </w:r>
            <w:r w:rsidRPr="001E6F82">
              <w:t xml:space="preserve"> wykrywania substancji i mieszanin, które nie spełniają wymogów rozporządzenia (WE) nr 1272/2008.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w:t>
            </w:r>
            <w:r w:rsidRPr="001E6F82">
              <w:rPr>
                <w:b/>
                <w:i/>
              </w:rPr>
              <w:t>podania</w:t>
            </w:r>
            <w:r w:rsidRPr="001E6F82">
              <w:t xml:space="preserve"> kontaktu elektronicznego, którym </w:t>
            </w:r>
            <w:r w:rsidRPr="001E6F82">
              <w:rPr>
                <w:b/>
                <w:i/>
              </w:rPr>
              <w:t>może</w:t>
            </w:r>
            <w:r w:rsidRPr="001E6F82">
              <w:t xml:space="preserve"> być dowolny aktualny i </w:t>
            </w:r>
            <w:r w:rsidRPr="001E6F82">
              <w:rPr>
                <w:b/>
                <w:i/>
              </w:rPr>
              <w:t>dostępny</w:t>
            </w:r>
            <w:r w:rsidRPr="001E6F82">
              <w:t xml:space="preserve"> internetowy kanał komunikacji z dostawcą.</w:t>
            </w:r>
          </w:p>
        </w:tc>
        <w:tc>
          <w:tcPr>
            <w:tcW w:w="4876" w:type="dxa"/>
            <w:tcBorders>
              <w:top w:val="nil"/>
              <w:left w:val="nil"/>
              <w:bottom w:val="nil"/>
              <w:right w:val="nil"/>
            </w:tcBorders>
            <w:hideMark/>
          </w:tcPr>
          <w:p w14:paraId="01DF0169" w14:textId="77777777" w:rsidR="002E6C09" w:rsidRPr="001E6F82" w:rsidRDefault="002E6C09" w:rsidP="00844FF8">
            <w:pPr>
              <w:pStyle w:val="Normal6a"/>
            </w:pPr>
            <w:r w:rsidRPr="001E6F82">
              <w:lastRenderedPageBreak/>
              <w:t>(3)</w:t>
            </w:r>
            <w:r w:rsidRPr="001E6F82">
              <w:tab/>
              <w:t xml:space="preserve">Zgodnie z celem Komisji, jakim jest promowanie zasady „domyślnej cyfrowości”, aby wspierać transformację cyfrową oraz ułatwić komunikację między </w:t>
            </w:r>
            <w:r w:rsidRPr="001E6F82">
              <w:rPr>
                <w:b/>
                <w:i/>
              </w:rPr>
              <w:t>dostawcami a osobami fizycznymi oraz między dostawcami</w:t>
            </w:r>
            <w:r w:rsidRPr="001E6F82">
              <w:t xml:space="preserve"> a organami krajowymi odpowiedzialnymi za egzekwowanie przepisów, wskazanie kontaktu elektronicznego na etykiecie substancji i </w:t>
            </w:r>
            <w:r w:rsidRPr="001E6F82">
              <w:lastRenderedPageBreak/>
              <w:t xml:space="preserve">mieszanin stwarzających zagrożenie </w:t>
            </w:r>
            <w:r w:rsidRPr="001E6F82">
              <w:rPr>
                <w:b/>
                <w:i/>
              </w:rPr>
              <w:t>przyczynia się do zwiększenia skuteczności</w:t>
            </w:r>
            <w:r w:rsidRPr="001E6F82">
              <w:t xml:space="preserve"> kontroli urzędowych</w:t>
            </w:r>
            <w:r w:rsidRPr="001E6F82">
              <w:rPr>
                <w:b/>
                <w:i/>
              </w:rPr>
              <w:t>, identyfikowalności, rozliczalności</w:t>
            </w:r>
            <w:r w:rsidRPr="001E6F82">
              <w:t xml:space="preserve"> i egzekwowania przepisów oraz </w:t>
            </w:r>
            <w:r w:rsidRPr="001E6F82">
              <w:rPr>
                <w:b/>
                <w:i/>
              </w:rPr>
              <w:t>do przyspieszenia procesu</w:t>
            </w:r>
            <w:r w:rsidRPr="001E6F82">
              <w:t xml:space="preserve"> wykrywania substancji i mieszanin, które nie spełniają wymogów rozporządzenia (WE) nr 1272/2008</w:t>
            </w:r>
            <w:r w:rsidRPr="001E6F82">
              <w:rPr>
                <w:b/>
                <w:i/>
              </w:rPr>
              <w:t>, a także do umożliwienia konsumentom szybkiego i bezpośredniego kontaktu w razie sytuacji nadzwyczajnej lub wypadku</w:t>
            </w:r>
            <w:r w:rsidRPr="001E6F82">
              <w:t xml:space="preserve">. Obecnie dostawcy są zobowiązani do podawania swojego adresu i numeru telefonu na etykiecie opakowania substancji lub mieszanin stwarzających zagrożenie, ale nie zawsze jest to wystarczające, aby zapewnić organom odpowiedzialnym za egzekwowanie przepisów możliwość szybkiego nawiązania kontaktu. Należy zatem wprowadzić wobec dostawców wymóg </w:t>
            </w:r>
            <w:r w:rsidRPr="001E6F82">
              <w:rPr>
                <w:b/>
                <w:i/>
              </w:rPr>
              <w:t>podawania również</w:t>
            </w:r>
            <w:r w:rsidRPr="001E6F82">
              <w:t xml:space="preserve"> kontaktu elektronicznego, którym </w:t>
            </w:r>
            <w:r w:rsidRPr="001E6F82">
              <w:rPr>
                <w:b/>
                <w:i/>
              </w:rPr>
              <w:t>powinien</w:t>
            </w:r>
            <w:r w:rsidRPr="001E6F82">
              <w:t xml:space="preserve"> być dowolny aktualny</w:t>
            </w:r>
            <w:r w:rsidRPr="001E6F82">
              <w:rPr>
                <w:b/>
                <w:i/>
              </w:rPr>
              <w:t>, łatwy w dostępie</w:t>
            </w:r>
            <w:r w:rsidRPr="001E6F82">
              <w:t xml:space="preserve"> i </w:t>
            </w:r>
            <w:r w:rsidRPr="001E6F82">
              <w:rPr>
                <w:b/>
                <w:i/>
              </w:rPr>
              <w:t>ogólnodostępny</w:t>
            </w:r>
            <w:r w:rsidRPr="001E6F82">
              <w:t xml:space="preserve"> internetowy kanał komunikacji z dostawcą </w:t>
            </w:r>
            <w:r w:rsidRPr="001E6F82">
              <w:rPr>
                <w:b/>
                <w:i/>
              </w:rPr>
              <w:t>i który powinien umożliwiać przechowywanie informacji na trwałym nośniku.</w:t>
            </w:r>
            <w:r w:rsidRPr="001E6F82">
              <w:t xml:space="preserve"> </w:t>
            </w:r>
            <w:r w:rsidRPr="001E6F82">
              <w:rPr>
                <w:b/>
                <w:i/>
              </w:rPr>
              <w:t>Jeżeli podano kontakt elektroniczny, numer telefonu można udostępniać bezpośrednio za jego pośrednictwem.</w:t>
            </w:r>
          </w:p>
        </w:tc>
      </w:tr>
    </w:tbl>
    <w:p w14:paraId="0A34A581" w14:textId="77777777" w:rsidR="002E6C09" w:rsidRPr="001E6F82" w:rsidRDefault="002E6C09" w:rsidP="002E6C09"/>
    <w:p w14:paraId="20BE081A" w14:textId="77777777" w:rsidR="002E6C09" w:rsidRPr="001E6F82" w:rsidRDefault="002E6C09" w:rsidP="002E6C09">
      <w:pPr>
        <w:pStyle w:val="AmNumberTabs"/>
      </w:pPr>
      <w:r w:rsidRPr="001E6F82">
        <w:t>Poprawka</w:t>
      </w:r>
      <w:r w:rsidRPr="001E6F82">
        <w:tab/>
      </w:r>
      <w:r w:rsidRPr="001E6F82">
        <w:tab/>
        <w:t>4</w:t>
      </w:r>
    </w:p>
    <w:p w14:paraId="354996CD" w14:textId="77777777" w:rsidR="002E6C09" w:rsidRPr="001E6F82" w:rsidRDefault="002E6C09" w:rsidP="002E6C09">
      <w:pPr>
        <w:pStyle w:val="NormalBold"/>
      </w:pPr>
      <w:r w:rsidRPr="001E6F82">
        <w:t>Wniosek dotyczący rozporządzenia</w:t>
      </w:r>
    </w:p>
    <w:p w14:paraId="632B09A4" w14:textId="77777777" w:rsidR="002E6C09" w:rsidRPr="001E6F82" w:rsidRDefault="002E6C09" w:rsidP="002E6C09">
      <w:pPr>
        <w:pStyle w:val="NormalBold"/>
      </w:pPr>
      <w:r w:rsidRPr="001E6F82">
        <w:t>Motyw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2E49B6A" w14:textId="77777777" w:rsidTr="00844FF8">
        <w:trPr>
          <w:trHeight w:val="240"/>
          <w:jc w:val="center"/>
        </w:trPr>
        <w:tc>
          <w:tcPr>
            <w:tcW w:w="9752" w:type="dxa"/>
            <w:gridSpan w:val="2"/>
            <w:tcBorders>
              <w:top w:val="nil"/>
              <w:left w:val="nil"/>
              <w:bottom w:val="nil"/>
              <w:right w:val="nil"/>
            </w:tcBorders>
          </w:tcPr>
          <w:p w14:paraId="051DCA40" w14:textId="77777777" w:rsidR="002E6C09" w:rsidRPr="001E6F82" w:rsidRDefault="002E6C09" w:rsidP="00844FF8"/>
        </w:tc>
      </w:tr>
      <w:tr w:rsidR="002E6C09" w:rsidRPr="001E6F82" w14:paraId="07078C8C" w14:textId="77777777" w:rsidTr="00844FF8">
        <w:trPr>
          <w:trHeight w:val="240"/>
          <w:jc w:val="center"/>
        </w:trPr>
        <w:tc>
          <w:tcPr>
            <w:tcW w:w="4876" w:type="dxa"/>
            <w:tcBorders>
              <w:top w:val="nil"/>
              <w:left w:val="nil"/>
              <w:bottom w:val="nil"/>
              <w:right w:val="nil"/>
            </w:tcBorders>
            <w:hideMark/>
          </w:tcPr>
          <w:p w14:paraId="772B2B1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E21F02B" w14:textId="77777777" w:rsidR="002E6C09" w:rsidRPr="001E6F82" w:rsidRDefault="002E6C09" w:rsidP="00844FF8">
            <w:pPr>
              <w:pStyle w:val="AmColumnHeading"/>
            </w:pPr>
            <w:r w:rsidRPr="001E6F82">
              <w:t>Poprawka</w:t>
            </w:r>
          </w:p>
        </w:tc>
      </w:tr>
      <w:tr w:rsidR="002E6C09" w:rsidRPr="001E6F82" w14:paraId="0C004324" w14:textId="77777777" w:rsidTr="00844FF8">
        <w:trPr>
          <w:jc w:val="center"/>
        </w:trPr>
        <w:tc>
          <w:tcPr>
            <w:tcW w:w="4876" w:type="dxa"/>
            <w:tcBorders>
              <w:top w:val="nil"/>
              <w:left w:val="nil"/>
              <w:bottom w:val="nil"/>
              <w:right w:val="nil"/>
            </w:tcBorders>
          </w:tcPr>
          <w:p w14:paraId="47A7920D" w14:textId="77777777" w:rsidR="002E6C09" w:rsidRPr="001E6F82" w:rsidRDefault="002E6C09" w:rsidP="00844FF8">
            <w:pPr>
              <w:pStyle w:val="Normal6a"/>
            </w:pPr>
          </w:p>
        </w:tc>
        <w:tc>
          <w:tcPr>
            <w:tcW w:w="4876" w:type="dxa"/>
            <w:tcBorders>
              <w:top w:val="nil"/>
              <w:left w:val="nil"/>
              <w:bottom w:val="nil"/>
              <w:right w:val="nil"/>
            </w:tcBorders>
            <w:hideMark/>
          </w:tcPr>
          <w:p w14:paraId="029AE999" w14:textId="77777777" w:rsidR="002E6C09" w:rsidRPr="001E6F82" w:rsidRDefault="002E6C09" w:rsidP="00844FF8">
            <w:pPr>
              <w:pStyle w:val="Normal6a"/>
            </w:pPr>
            <w:r w:rsidRPr="001E6F82">
              <w:rPr>
                <w:b/>
                <w:i/>
              </w:rPr>
              <w:t>(3a)</w:t>
            </w:r>
            <w:r w:rsidRPr="001E6F82">
              <w:tab/>
            </w:r>
            <w:r w:rsidRPr="001E6F82">
              <w:rPr>
                <w:b/>
                <w:i/>
              </w:rPr>
              <w:t xml:space="preserve">Kontakt elektroniczny powinien umożliwiać konsumentom i właściwym organom bezpośredni i szybki kontakt z dostawcami oraz powinien być dostępny bezpłatnie, bez konieczności przekazywania danych osobowych, pobierania bądź używania aplikacji lub rejestracji wyłącznie w celu skontaktowania się z dostawcą. Takim środkiem kontaktu elektronicznego mógłby być na przykład adres e-mail lub formularz kontaktowy na stronie </w:t>
            </w:r>
            <w:r w:rsidRPr="001E6F82">
              <w:rPr>
                <w:b/>
                <w:i/>
              </w:rPr>
              <w:lastRenderedPageBreak/>
              <w:t xml:space="preserve">internetowej. Nie należy go jednak rozumieć jako obejmującego automatyczne odpowiedzi na pytania, </w:t>
            </w:r>
            <w:proofErr w:type="spellStart"/>
            <w:r w:rsidRPr="001E6F82">
              <w:rPr>
                <w:b/>
                <w:i/>
              </w:rPr>
              <w:t>chatboty</w:t>
            </w:r>
            <w:proofErr w:type="spellEnd"/>
            <w:r w:rsidRPr="001E6F82">
              <w:rPr>
                <w:b/>
                <w:i/>
              </w:rPr>
              <w:t xml:space="preserve"> lub numery faksów. Termin „kontakt elektroniczny”, podobnie jak termin „adres elektroniczny” w rozporządzeniu Parlamentu Europejskiego i Rady (UE) 2023/988, powinien być rozumiany w sposób neutralny technologicznie, mogący ewoluować wraz z przyszłym rozwojem technologii, i powinien obejmować wszystkie formy bezpośredniej komunikacji cyfrowej.</w:t>
            </w:r>
          </w:p>
        </w:tc>
      </w:tr>
    </w:tbl>
    <w:p w14:paraId="011C642C" w14:textId="77777777" w:rsidR="002E6C09" w:rsidRPr="001E6F82" w:rsidRDefault="002E6C09" w:rsidP="002E6C09"/>
    <w:p w14:paraId="393B96E9" w14:textId="77777777" w:rsidR="002E6C09" w:rsidRPr="001E6F82" w:rsidRDefault="002E6C09" w:rsidP="002E6C09">
      <w:pPr>
        <w:pStyle w:val="AmNumberTabs"/>
      </w:pPr>
      <w:r w:rsidRPr="001E6F82">
        <w:t>Poprawka</w:t>
      </w:r>
      <w:r w:rsidRPr="001E6F82">
        <w:tab/>
      </w:r>
      <w:r w:rsidRPr="001E6F82">
        <w:tab/>
        <w:t>5</w:t>
      </w:r>
    </w:p>
    <w:p w14:paraId="3E19364D" w14:textId="77777777" w:rsidR="002E6C09" w:rsidRPr="001E6F82" w:rsidRDefault="002E6C09" w:rsidP="002E6C09">
      <w:pPr>
        <w:pStyle w:val="NormalBold"/>
      </w:pPr>
      <w:r w:rsidRPr="001E6F82">
        <w:t>Wniosek dotyczący rozporządzenia</w:t>
      </w:r>
    </w:p>
    <w:p w14:paraId="6844F539" w14:textId="77777777" w:rsidR="002E6C09" w:rsidRPr="001E6F82" w:rsidRDefault="002E6C09" w:rsidP="002E6C09">
      <w:pPr>
        <w:pStyle w:val="NormalBold"/>
      </w:pPr>
      <w:r w:rsidRPr="001E6F82">
        <w:t>Motyw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2540B8E" w14:textId="77777777" w:rsidTr="00844FF8">
        <w:trPr>
          <w:trHeight w:val="240"/>
          <w:jc w:val="center"/>
        </w:trPr>
        <w:tc>
          <w:tcPr>
            <w:tcW w:w="9752" w:type="dxa"/>
            <w:gridSpan w:val="2"/>
            <w:tcBorders>
              <w:top w:val="nil"/>
              <w:left w:val="nil"/>
              <w:bottom w:val="nil"/>
              <w:right w:val="nil"/>
            </w:tcBorders>
          </w:tcPr>
          <w:p w14:paraId="38806FF6" w14:textId="77777777" w:rsidR="002E6C09" w:rsidRPr="001E6F82" w:rsidRDefault="002E6C09" w:rsidP="00844FF8"/>
        </w:tc>
      </w:tr>
      <w:tr w:rsidR="002E6C09" w:rsidRPr="001E6F82" w14:paraId="1AD77A4A" w14:textId="77777777" w:rsidTr="00844FF8">
        <w:trPr>
          <w:trHeight w:val="240"/>
          <w:jc w:val="center"/>
        </w:trPr>
        <w:tc>
          <w:tcPr>
            <w:tcW w:w="4876" w:type="dxa"/>
            <w:tcBorders>
              <w:top w:val="nil"/>
              <w:left w:val="nil"/>
              <w:bottom w:val="nil"/>
              <w:right w:val="nil"/>
            </w:tcBorders>
            <w:hideMark/>
          </w:tcPr>
          <w:p w14:paraId="5D4C229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CD82385" w14:textId="77777777" w:rsidR="002E6C09" w:rsidRPr="001E6F82" w:rsidRDefault="002E6C09" w:rsidP="00844FF8">
            <w:pPr>
              <w:pStyle w:val="AmColumnHeading"/>
            </w:pPr>
            <w:r w:rsidRPr="001E6F82">
              <w:t>Poprawka</w:t>
            </w:r>
          </w:p>
        </w:tc>
      </w:tr>
      <w:tr w:rsidR="002E6C09" w:rsidRPr="001E6F82" w14:paraId="0F519A34" w14:textId="77777777" w:rsidTr="00844FF8">
        <w:trPr>
          <w:jc w:val="center"/>
        </w:trPr>
        <w:tc>
          <w:tcPr>
            <w:tcW w:w="4876" w:type="dxa"/>
            <w:tcBorders>
              <w:top w:val="nil"/>
              <w:left w:val="nil"/>
              <w:bottom w:val="nil"/>
              <w:right w:val="nil"/>
            </w:tcBorders>
            <w:hideMark/>
          </w:tcPr>
          <w:p w14:paraId="577B1B9C" w14:textId="77777777" w:rsidR="002E6C09" w:rsidRPr="001E6F82" w:rsidRDefault="002E6C09" w:rsidP="00844FF8">
            <w:pPr>
              <w:pStyle w:val="Normal6a"/>
            </w:pPr>
            <w:r w:rsidRPr="001E6F82">
              <w:t>(5)</w:t>
            </w:r>
            <w:r w:rsidRPr="001E6F82">
              <w:tab/>
              <w:t>Rozporządzeniem Parlamentu Europejskiego i Rady (UE) 2024/2865</w:t>
            </w:r>
            <w:r w:rsidRPr="001E6F82">
              <w:rPr>
                <w:vertAlign w:val="superscript"/>
              </w:rPr>
              <w:t>6</w:t>
            </w:r>
            <w:r w:rsidRPr="001E6F82">
              <w:t xml:space="preserve"> wprowadzono zwolnienia z wymogów dotyczących etykietowania i pakowania w odniesieniu do opakowań o pojemności poniżej 10 ml. </w:t>
            </w:r>
            <w:r w:rsidRPr="001E6F82">
              <w:rPr>
                <w:b/>
                <w:i/>
              </w:rPr>
              <w:t>Konieczne są jednak dalsze uproszczenia w odniesieniu do stosowania tego odstępstwa w przypadkach, gdy</w:t>
            </w:r>
            <w:r w:rsidRPr="001E6F82">
              <w:t xml:space="preserve"> opakowania </w:t>
            </w:r>
            <w:r w:rsidRPr="001E6F82">
              <w:rPr>
                <w:b/>
                <w:i/>
              </w:rPr>
              <w:t>te są oznakowane uzupełniającym zwrotem wskazującym rodzaj zagrożenia EUH 208.</w:t>
            </w:r>
            <w:r w:rsidRPr="001E6F82">
              <w:t xml:space="preserve"> </w:t>
            </w:r>
            <w:r w:rsidRPr="001E6F82">
              <w:rPr>
                <w:b/>
                <w:i/>
              </w:rPr>
              <w:t>Należy również doprecyzować wymogi dotyczące opakowań wewnętrznych i zewnętrznych w przypadkach</w:t>
            </w:r>
            <w:r w:rsidRPr="001E6F82">
              <w:t xml:space="preserve">, </w:t>
            </w:r>
            <w:r w:rsidRPr="001E6F82">
              <w:rPr>
                <w:b/>
                <w:i/>
              </w:rPr>
              <w:t>w których stosuje się odstępstwo dla</w:t>
            </w:r>
            <w:r w:rsidRPr="001E6F82">
              <w:t xml:space="preserve"> opakowań o pojemności 10 ml.</w:t>
            </w:r>
          </w:p>
        </w:tc>
        <w:tc>
          <w:tcPr>
            <w:tcW w:w="4876" w:type="dxa"/>
            <w:tcBorders>
              <w:top w:val="nil"/>
              <w:left w:val="nil"/>
              <w:bottom w:val="nil"/>
              <w:right w:val="nil"/>
            </w:tcBorders>
            <w:hideMark/>
          </w:tcPr>
          <w:p w14:paraId="28DF0864" w14:textId="77777777" w:rsidR="002E6C09" w:rsidRPr="001E6F82" w:rsidRDefault="002E6C09" w:rsidP="00844FF8">
            <w:pPr>
              <w:pStyle w:val="Normal6a"/>
            </w:pPr>
            <w:r w:rsidRPr="001E6F82">
              <w:t>(5)</w:t>
            </w:r>
            <w:r w:rsidRPr="001E6F82">
              <w:tab/>
              <w:t>Rozporządzeniem Parlamentu Europejskiego i Rady (UE) 2024/2865</w:t>
            </w:r>
            <w:r w:rsidRPr="001E6F82">
              <w:rPr>
                <w:vertAlign w:val="superscript"/>
              </w:rPr>
              <w:t>6</w:t>
            </w:r>
            <w:r w:rsidRPr="001E6F82">
              <w:t xml:space="preserve"> wprowadzono zwolnienia z wymogów dotyczących etykietowania i pakowania w odniesieniu do opakowań o pojemności poniżej 10 </w:t>
            </w:r>
            <w:proofErr w:type="spellStart"/>
            <w:r w:rsidRPr="001E6F82">
              <w:t>ml.</w:t>
            </w:r>
            <w:r w:rsidRPr="001E6F82">
              <w:rPr>
                <w:b/>
                <w:i/>
              </w:rPr>
              <w:t>Wprowadzono</w:t>
            </w:r>
            <w:proofErr w:type="spellEnd"/>
            <w:r w:rsidRPr="001E6F82">
              <w:rPr>
                <w:b/>
                <w:i/>
              </w:rPr>
              <w:t xml:space="preserve"> w nim również możliwość pominięcia pod pewnymi warunkami elementów etykiety z takiego</w:t>
            </w:r>
            <w:r w:rsidRPr="001E6F82">
              <w:t xml:space="preserve"> opakowania </w:t>
            </w:r>
            <w:r w:rsidRPr="001E6F82">
              <w:rPr>
                <w:b/>
                <w:i/>
              </w:rPr>
              <w:t>wewnętrznego.</w:t>
            </w:r>
            <w:r w:rsidRPr="001E6F82">
              <w:t xml:space="preserve"> </w:t>
            </w:r>
            <w:r w:rsidRPr="001E6F82">
              <w:rPr>
                <w:b/>
                <w:i/>
              </w:rPr>
              <w:t>Konieczne jest jednak uproszczenie tych przepisów i doprecyzowanie, kiedy wymagane jest umieszczenie elementów etykiety na opakowaniu zewnętrznym, a kiedy możliwe jest ich całkowite pominięcie. Ponadto Komisja powinna ocenić</w:t>
            </w:r>
            <w:r w:rsidRPr="001E6F82">
              <w:t xml:space="preserve">, </w:t>
            </w:r>
            <w:r w:rsidRPr="001E6F82">
              <w:rPr>
                <w:b/>
                <w:i/>
              </w:rPr>
              <w:t>czy dalsza redukcja obowiązkowych elementów etykiety powinna mieć zastosowanie do</w:t>
            </w:r>
            <w:r w:rsidRPr="001E6F82">
              <w:t xml:space="preserve"> opakowań o pojemności </w:t>
            </w:r>
            <w:r w:rsidRPr="001E6F82">
              <w:rPr>
                <w:b/>
                <w:i/>
              </w:rPr>
              <w:t>od</w:t>
            </w:r>
            <w:r w:rsidRPr="001E6F82">
              <w:t xml:space="preserve"> 10 </w:t>
            </w:r>
            <w:r w:rsidRPr="001E6F82">
              <w:rPr>
                <w:b/>
                <w:i/>
              </w:rPr>
              <w:t>do 125</w:t>
            </w:r>
            <w:r w:rsidRPr="001E6F82">
              <w:t> ml.</w:t>
            </w:r>
          </w:p>
        </w:tc>
      </w:tr>
      <w:tr w:rsidR="002E6C09" w:rsidRPr="001E6F82" w14:paraId="11B2291E" w14:textId="77777777" w:rsidTr="00844FF8">
        <w:trPr>
          <w:jc w:val="center"/>
        </w:trPr>
        <w:tc>
          <w:tcPr>
            <w:tcW w:w="4876" w:type="dxa"/>
            <w:tcBorders>
              <w:top w:val="nil"/>
              <w:left w:val="nil"/>
              <w:bottom w:val="nil"/>
              <w:right w:val="nil"/>
            </w:tcBorders>
            <w:hideMark/>
          </w:tcPr>
          <w:p w14:paraId="4895875F" w14:textId="77777777" w:rsidR="002E6C09" w:rsidRPr="001E6F82" w:rsidRDefault="002E6C09" w:rsidP="00844FF8">
            <w:pPr>
              <w:pStyle w:val="Normal6a"/>
            </w:pPr>
            <w:r w:rsidRPr="001E6F82">
              <w:rPr>
                <w:b/>
                <w:i/>
              </w:rPr>
              <w:t>_________________</w:t>
            </w:r>
          </w:p>
        </w:tc>
        <w:tc>
          <w:tcPr>
            <w:tcW w:w="4876" w:type="dxa"/>
            <w:tcBorders>
              <w:top w:val="nil"/>
              <w:left w:val="nil"/>
              <w:bottom w:val="nil"/>
              <w:right w:val="nil"/>
            </w:tcBorders>
            <w:hideMark/>
          </w:tcPr>
          <w:p w14:paraId="2B77101E" w14:textId="77777777" w:rsidR="002E6C09" w:rsidRPr="001E6F82" w:rsidRDefault="002E6C09" w:rsidP="00844FF8">
            <w:pPr>
              <w:pStyle w:val="Normal6a"/>
            </w:pPr>
            <w:r w:rsidRPr="001E6F82">
              <w:rPr>
                <w:b/>
                <w:i/>
              </w:rPr>
              <w:t>_________________</w:t>
            </w:r>
          </w:p>
        </w:tc>
      </w:tr>
      <w:tr w:rsidR="002E6C09" w:rsidRPr="001E6F82" w14:paraId="5EC04074" w14:textId="77777777" w:rsidTr="00844FF8">
        <w:trPr>
          <w:jc w:val="center"/>
        </w:trPr>
        <w:tc>
          <w:tcPr>
            <w:tcW w:w="4876" w:type="dxa"/>
            <w:tcBorders>
              <w:top w:val="nil"/>
              <w:left w:val="nil"/>
              <w:bottom w:val="nil"/>
              <w:right w:val="nil"/>
            </w:tcBorders>
            <w:hideMark/>
          </w:tcPr>
          <w:p w14:paraId="7AE00BAF" w14:textId="77777777" w:rsidR="002E6C09" w:rsidRPr="001E6F82" w:rsidRDefault="002E6C09" w:rsidP="00844FF8">
            <w:pPr>
              <w:pStyle w:val="Normal6a"/>
            </w:pPr>
            <w:r w:rsidRPr="001E6F82">
              <w:rPr>
                <w:vertAlign w:val="superscript"/>
              </w:rPr>
              <w:t>6</w:t>
            </w:r>
            <w:r w:rsidRPr="001E6F82">
              <w:t xml:space="preserve"> Rozporządzenie Parlamentu Europejskiego i Rady (UE) 2024/2865 z dnia 23 października 2024 r. w sprawie zmiany rozporządzenia (WE) nr 1272/2008 w sprawie klasyfikacji, oznakowania i pakowania substancji i mieszanin (Dz.U. L, 2024/2865, 20.11.2024, ELI: </w:t>
            </w:r>
            <w:r w:rsidRPr="001E6F82">
              <w:lastRenderedPageBreak/>
              <w:t>http://data.europa.eu/eli/reg/2024/2865/oj).</w:t>
            </w:r>
          </w:p>
        </w:tc>
        <w:tc>
          <w:tcPr>
            <w:tcW w:w="4876" w:type="dxa"/>
            <w:tcBorders>
              <w:top w:val="nil"/>
              <w:left w:val="nil"/>
              <w:bottom w:val="nil"/>
              <w:right w:val="nil"/>
            </w:tcBorders>
            <w:hideMark/>
          </w:tcPr>
          <w:p w14:paraId="002D23BA" w14:textId="77777777" w:rsidR="002E6C09" w:rsidRPr="001E6F82" w:rsidRDefault="002E6C09" w:rsidP="00844FF8">
            <w:pPr>
              <w:pStyle w:val="Normal6a"/>
            </w:pPr>
            <w:r w:rsidRPr="001E6F82">
              <w:rPr>
                <w:vertAlign w:val="superscript"/>
              </w:rPr>
              <w:lastRenderedPageBreak/>
              <w:t>6</w:t>
            </w:r>
            <w:r w:rsidRPr="001E6F82">
              <w:t xml:space="preserve"> Rozporządzenie Parlamentu Europejskiego i Rady (UE) 2024/2865 z dnia 23 października 2024 r. w sprawie zmiany rozporządzenia (WE) nr 1272/2008 w sprawie klasyfikacji, oznakowania i pakowania substancji i mieszanin (Dz.U. L, 2024/2865, 20.11.2024, ELI: </w:t>
            </w:r>
            <w:r w:rsidRPr="001E6F82">
              <w:lastRenderedPageBreak/>
              <w:t>http://data.europa.eu/eli/reg/2024/2865/oj).</w:t>
            </w:r>
          </w:p>
        </w:tc>
      </w:tr>
    </w:tbl>
    <w:p w14:paraId="10759097" w14:textId="77777777" w:rsidR="002E6C09" w:rsidRPr="001E6F82" w:rsidRDefault="002E6C09" w:rsidP="002E6C09"/>
    <w:p w14:paraId="0938A8AE" w14:textId="77777777" w:rsidR="002E6C09" w:rsidRPr="001E6F82" w:rsidRDefault="002E6C09" w:rsidP="002E6C09">
      <w:pPr>
        <w:pStyle w:val="AmNumberTabs"/>
      </w:pPr>
      <w:r w:rsidRPr="001E6F82">
        <w:t>Poprawka</w:t>
      </w:r>
      <w:r w:rsidRPr="001E6F82">
        <w:tab/>
      </w:r>
      <w:r w:rsidRPr="001E6F82">
        <w:tab/>
        <w:t>6</w:t>
      </w:r>
    </w:p>
    <w:p w14:paraId="5DABDB0C" w14:textId="77777777" w:rsidR="002E6C09" w:rsidRPr="001E6F82" w:rsidRDefault="002E6C09" w:rsidP="002E6C09">
      <w:pPr>
        <w:pStyle w:val="NormalBold"/>
      </w:pPr>
      <w:r w:rsidRPr="001E6F82">
        <w:t>Wniosek dotyczący rozporządzenia</w:t>
      </w:r>
    </w:p>
    <w:p w14:paraId="24FF5246" w14:textId="77777777" w:rsidR="002E6C09" w:rsidRPr="001E6F82" w:rsidRDefault="002E6C09" w:rsidP="002E6C09">
      <w:pPr>
        <w:pStyle w:val="NormalBold"/>
      </w:pPr>
      <w:r w:rsidRPr="001E6F82">
        <w:t>Motyw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F41767F" w14:textId="77777777" w:rsidTr="00844FF8">
        <w:trPr>
          <w:trHeight w:val="240"/>
          <w:jc w:val="center"/>
        </w:trPr>
        <w:tc>
          <w:tcPr>
            <w:tcW w:w="9752" w:type="dxa"/>
            <w:gridSpan w:val="2"/>
            <w:tcBorders>
              <w:top w:val="nil"/>
              <w:left w:val="nil"/>
              <w:bottom w:val="nil"/>
              <w:right w:val="nil"/>
            </w:tcBorders>
          </w:tcPr>
          <w:p w14:paraId="72040505" w14:textId="77777777" w:rsidR="002E6C09" w:rsidRPr="001E6F82" w:rsidRDefault="002E6C09" w:rsidP="00844FF8"/>
        </w:tc>
      </w:tr>
      <w:tr w:rsidR="002E6C09" w:rsidRPr="001E6F82" w14:paraId="4D9F7ACF" w14:textId="77777777" w:rsidTr="00844FF8">
        <w:trPr>
          <w:trHeight w:val="240"/>
          <w:jc w:val="center"/>
        </w:trPr>
        <w:tc>
          <w:tcPr>
            <w:tcW w:w="4876" w:type="dxa"/>
            <w:tcBorders>
              <w:top w:val="nil"/>
              <w:left w:val="nil"/>
              <w:bottom w:val="nil"/>
              <w:right w:val="nil"/>
            </w:tcBorders>
            <w:hideMark/>
          </w:tcPr>
          <w:p w14:paraId="2D6BAC5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6BF8D61" w14:textId="77777777" w:rsidR="002E6C09" w:rsidRPr="001E6F82" w:rsidRDefault="002E6C09" w:rsidP="00844FF8">
            <w:pPr>
              <w:pStyle w:val="AmColumnHeading"/>
            </w:pPr>
            <w:r w:rsidRPr="001E6F82">
              <w:t>Poprawka</w:t>
            </w:r>
          </w:p>
        </w:tc>
      </w:tr>
      <w:tr w:rsidR="002E6C09" w:rsidRPr="001E6F82" w14:paraId="685BCE09" w14:textId="77777777" w:rsidTr="00844FF8">
        <w:trPr>
          <w:jc w:val="center"/>
        </w:trPr>
        <w:tc>
          <w:tcPr>
            <w:tcW w:w="4876" w:type="dxa"/>
            <w:tcBorders>
              <w:top w:val="nil"/>
              <w:left w:val="nil"/>
              <w:bottom w:val="nil"/>
              <w:right w:val="nil"/>
            </w:tcBorders>
            <w:hideMark/>
          </w:tcPr>
          <w:p w14:paraId="7A37365B" w14:textId="77777777" w:rsidR="002E6C09" w:rsidRPr="001E6F82" w:rsidRDefault="002E6C09" w:rsidP="00844FF8">
            <w:pPr>
              <w:pStyle w:val="Normal6a"/>
            </w:pPr>
            <w:r w:rsidRPr="001E6F82">
              <w:t>(6)</w:t>
            </w:r>
            <w:r w:rsidRPr="001E6F82">
              <w:tab/>
              <w:t xml:space="preserve">Aby zapewnić </w:t>
            </w:r>
            <w:r w:rsidRPr="001E6F82">
              <w:rPr>
                <w:b/>
                <w:i/>
              </w:rPr>
              <w:t>dostawcom elastyczność i stworzyć równe warunki dla małych</w:t>
            </w:r>
            <w:r w:rsidRPr="001E6F82">
              <w:t xml:space="preserve"> i </w:t>
            </w:r>
            <w:r w:rsidRPr="001E6F82">
              <w:rPr>
                <w:b/>
                <w:i/>
              </w:rPr>
              <w:t>średnich przedsiębiorstw</w:t>
            </w:r>
            <w:r w:rsidRPr="001E6F82">
              <w:t xml:space="preserve">, które często zlecają usługi drukowania etykiet innym podmiotom, oraz ułatwić przygotowanie i produkcję etykiet rozkładanych, </w:t>
            </w:r>
            <w:r w:rsidRPr="001E6F82">
              <w:rPr>
                <w:b/>
                <w:i/>
              </w:rPr>
              <w:t>które trwają</w:t>
            </w:r>
            <w:r w:rsidRPr="001E6F82">
              <w:t xml:space="preserve"> znacznie dłużej niż w przypadku standardowych etykiet, należy </w:t>
            </w:r>
            <w:r w:rsidRPr="001E6F82">
              <w:rPr>
                <w:b/>
                <w:i/>
              </w:rPr>
              <w:t>znieść</w:t>
            </w:r>
            <w:r w:rsidRPr="001E6F82">
              <w:t xml:space="preserve"> ustalony sześciomiesięczny termin na dokonanie ponownego oznakowania </w:t>
            </w:r>
            <w:r w:rsidRPr="001E6F82">
              <w:rPr>
                <w:b/>
                <w:i/>
              </w:rPr>
              <w:t>oraz wprowadzić wymóg</w:t>
            </w:r>
            <w:r w:rsidRPr="001E6F82">
              <w:t xml:space="preserve"> zmiany etykiet bez zbędnej zwłoki po uzyskaniu przez dostawcę nowych danych lub otrzymaniu o nich informacji.</w:t>
            </w:r>
          </w:p>
        </w:tc>
        <w:tc>
          <w:tcPr>
            <w:tcW w:w="4876" w:type="dxa"/>
            <w:tcBorders>
              <w:top w:val="nil"/>
              <w:left w:val="nil"/>
              <w:bottom w:val="nil"/>
              <w:right w:val="nil"/>
            </w:tcBorders>
            <w:hideMark/>
          </w:tcPr>
          <w:p w14:paraId="332D3520" w14:textId="77777777" w:rsidR="002E6C09" w:rsidRPr="001E6F82" w:rsidRDefault="002E6C09" w:rsidP="00844FF8">
            <w:pPr>
              <w:pStyle w:val="Normal6a"/>
            </w:pPr>
            <w:r w:rsidRPr="001E6F82">
              <w:t>(6)</w:t>
            </w:r>
            <w:r w:rsidRPr="001E6F82">
              <w:tab/>
            </w:r>
            <w:r w:rsidRPr="001E6F82">
              <w:rPr>
                <w:b/>
                <w:i/>
              </w:rPr>
              <w:t xml:space="preserve">W razie aktualizacji etykiet w przypadku nowej lub surowszej </w:t>
            </w:r>
            <w:proofErr w:type="spellStart"/>
            <w:r w:rsidRPr="001E6F82">
              <w:rPr>
                <w:b/>
                <w:i/>
              </w:rPr>
              <w:t>samoklasyfikacji</w:t>
            </w:r>
            <w:proofErr w:type="spellEnd"/>
            <w:r w:rsidRPr="001E6F82">
              <w:rPr>
                <w:b/>
                <w:i/>
              </w:rPr>
              <w:t xml:space="preserve"> dostawcy powinni bez zbędnej zwłoki informować swoich bezpośrednich dalszych użytkowników o wynikach nowej oceny.</w:t>
            </w:r>
            <w:r w:rsidRPr="001E6F82">
              <w:t xml:space="preserve"> Aby zapewnić </w:t>
            </w:r>
            <w:r w:rsidRPr="001E6F82">
              <w:rPr>
                <w:b/>
                <w:i/>
              </w:rPr>
              <w:t>dostateczny czas wszystkim dostawcom, a w szczególności małym</w:t>
            </w:r>
            <w:r w:rsidRPr="001E6F82">
              <w:t xml:space="preserve"> i </w:t>
            </w:r>
            <w:r w:rsidRPr="001E6F82">
              <w:rPr>
                <w:b/>
                <w:i/>
              </w:rPr>
              <w:t>średnim przedsiębiorstwom</w:t>
            </w:r>
            <w:r w:rsidRPr="001E6F82">
              <w:t xml:space="preserve">, które często zlecają usługi drukowania etykiet innym podmiotom, oraz ułatwić przygotowanie i produkcję etykiet rozkładanych, </w:t>
            </w:r>
            <w:r w:rsidRPr="001E6F82">
              <w:rPr>
                <w:b/>
                <w:i/>
              </w:rPr>
              <w:t>co trwa</w:t>
            </w:r>
            <w:r w:rsidRPr="001E6F82">
              <w:t xml:space="preserve"> znacznie dłużej niż w przypadku standardowych etykiet, należy </w:t>
            </w:r>
            <w:r w:rsidRPr="001E6F82">
              <w:rPr>
                <w:b/>
                <w:i/>
              </w:rPr>
              <w:t>wydłużyć</w:t>
            </w:r>
            <w:r w:rsidRPr="001E6F82">
              <w:t xml:space="preserve"> ustalony sześciomiesięczny termin na dokonanie ponownego oznakowania </w:t>
            </w:r>
            <w:r w:rsidRPr="001E6F82">
              <w:rPr>
                <w:b/>
                <w:i/>
              </w:rPr>
              <w:t>do osiemnastu miesięcy, a jednocześnie dalej wymagać</w:t>
            </w:r>
            <w:r w:rsidRPr="001E6F82">
              <w:t xml:space="preserve"> zmiany etykiet bez zbędnej zwłoki po uzyskaniu przez dostawcę nowych danych lub otrzymaniu o nich informacji.</w:t>
            </w:r>
          </w:p>
        </w:tc>
      </w:tr>
    </w:tbl>
    <w:p w14:paraId="24FC1F11" w14:textId="77777777" w:rsidR="002E6C09" w:rsidRPr="001E6F82" w:rsidRDefault="002E6C09" w:rsidP="002E6C09"/>
    <w:p w14:paraId="774082F3" w14:textId="77777777" w:rsidR="002E6C09" w:rsidRPr="001E6F82" w:rsidRDefault="002E6C09" w:rsidP="002E6C09">
      <w:pPr>
        <w:pStyle w:val="AmNumberTabs"/>
      </w:pPr>
      <w:r w:rsidRPr="001E6F82">
        <w:t>Poprawka</w:t>
      </w:r>
      <w:r w:rsidRPr="001E6F82">
        <w:tab/>
      </w:r>
      <w:r w:rsidRPr="001E6F82">
        <w:tab/>
        <w:t>7</w:t>
      </w:r>
    </w:p>
    <w:p w14:paraId="00EC91D4" w14:textId="77777777" w:rsidR="002E6C09" w:rsidRPr="001E6F82" w:rsidRDefault="002E6C09" w:rsidP="002E6C09">
      <w:pPr>
        <w:pStyle w:val="NormalBold"/>
      </w:pPr>
      <w:r w:rsidRPr="001E6F82">
        <w:t>Wniosek dotyczący rozporządzenia</w:t>
      </w:r>
    </w:p>
    <w:p w14:paraId="0EA314B6" w14:textId="77777777" w:rsidR="002E6C09" w:rsidRPr="001E6F82" w:rsidRDefault="002E6C09" w:rsidP="002E6C09">
      <w:pPr>
        <w:pStyle w:val="NormalBold"/>
      </w:pPr>
      <w:r w:rsidRPr="001E6F82">
        <w:t>Motyw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80066CC" w14:textId="77777777" w:rsidTr="00844FF8">
        <w:trPr>
          <w:trHeight w:val="240"/>
          <w:jc w:val="center"/>
        </w:trPr>
        <w:tc>
          <w:tcPr>
            <w:tcW w:w="9752" w:type="dxa"/>
            <w:gridSpan w:val="2"/>
            <w:tcBorders>
              <w:top w:val="nil"/>
              <w:left w:val="nil"/>
              <w:bottom w:val="nil"/>
              <w:right w:val="nil"/>
            </w:tcBorders>
          </w:tcPr>
          <w:p w14:paraId="215E416B" w14:textId="77777777" w:rsidR="002E6C09" w:rsidRPr="001E6F82" w:rsidRDefault="002E6C09" w:rsidP="00844FF8"/>
        </w:tc>
      </w:tr>
      <w:tr w:rsidR="002E6C09" w:rsidRPr="001E6F82" w14:paraId="14584ECE" w14:textId="77777777" w:rsidTr="00844FF8">
        <w:trPr>
          <w:trHeight w:val="240"/>
          <w:jc w:val="center"/>
        </w:trPr>
        <w:tc>
          <w:tcPr>
            <w:tcW w:w="4876" w:type="dxa"/>
            <w:tcBorders>
              <w:top w:val="nil"/>
              <w:left w:val="nil"/>
              <w:bottom w:val="nil"/>
              <w:right w:val="nil"/>
            </w:tcBorders>
            <w:hideMark/>
          </w:tcPr>
          <w:p w14:paraId="027475C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8D7A817" w14:textId="77777777" w:rsidR="002E6C09" w:rsidRPr="001E6F82" w:rsidRDefault="002E6C09" w:rsidP="00844FF8">
            <w:pPr>
              <w:pStyle w:val="AmColumnHeading"/>
            </w:pPr>
            <w:r w:rsidRPr="001E6F82">
              <w:t>Poprawka</w:t>
            </w:r>
          </w:p>
        </w:tc>
      </w:tr>
      <w:tr w:rsidR="002E6C09" w:rsidRPr="001E6F82" w14:paraId="4BDE5E69" w14:textId="77777777" w:rsidTr="00844FF8">
        <w:trPr>
          <w:jc w:val="center"/>
        </w:trPr>
        <w:tc>
          <w:tcPr>
            <w:tcW w:w="4876" w:type="dxa"/>
            <w:tcBorders>
              <w:top w:val="nil"/>
              <w:left w:val="nil"/>
              <w:bottom w:val="nil"/>
              <w:right w:val="nil"/>
            </w:tcBorders>
            <w:hideMark/>
          </w:tcPr>
          <w:p w14:paraId="1AD3F427" w14:textId="77777777" w:rsidR="002E6C09" w:rsidRPr="001E6F82" w:rsidRDefault="002E6C09" w:rsidP="00844FF8">
            <w:pPr>
              <w:pStyle w:val="Normal6a"/>
            </w:pPr>
            <w:r w:rsidRPr="001E6F82">
              <w:t>(7)</w:t>
            </w:r>
            <w:r w:rsidRPr="001E6F82">
              <w:tab/>
              <w:t>W rozporządzeniu (UE) 2024/2865 ustanowiono przepisy dotyczące obowiązkowych wymogów dotyczących formatowania etykiet. Z nowo otrzymanych informacji</w:t>
            </w:r>
            <w:r w:rsidRPr="001E6F82">
              <w:rPr>
                <w:vertAlign w:val="superscript"/>
              </w:rPr>
              <w:t>7</w:t>
            </w:r>
            <w:r w:rsidRPr="001E6F82">
              <w:t xml:space="preserve"> wynika, że wymogi te wiążą się z nadmiernymi obciążeniami administracyjnymi oraz kosztami. Aby zrównoważyć potrzebę jasnego zrozumienia przez konsumentów informacji na etykietach z potrzebą zmniejszenia barier rynkowych i obciążeń dla przemysłu</w:t>
            </w:r>
            <w:r w:rsidRPr="001E6F82">
              <w:rPr>
                <w:vertAlign w:val="superscript"/>
              </w:rPr>
              <w:t>8</w:t>
            </w:r>
            <w:r w:rsidRPr="001E6F82">
              <w:t xml:space="preserve">, należy uprościć obecne </w:t>
            </w:r>
            <w:r w:rsidRPr="001E6F82">
              <w:lastRenderedPageBreak/>
              <w:t xml:space="preserve">obowiązki w zakresie formatowania bez obniżenia poziomu ochrony zdrowia ludzkiego i środowiska. </w:t>
            </w:r>
            <w:r w:rsidRPr="001E6F82">
              <w:rPr>
                <w:b/>
                <w:i/>
              </w:rPr>
              <w:t>Podmioty gospodarcze</w:t>
            </w:r>
            <w:r w:rsidRPr="001E6F82">
              <w:t xml:space="preserve"> i </w:t>
            </w:r>
            <w:r w:rsidRPr="001E6F82">
              <w:rPr>
                <w:b/>
                <w:i/>
              </w:rPr>
              <w:t>organy egzekwowania prawa</w:t>
            </w:r>
            <w:r w:rsidRPr="001E6F82">
              <w:t xml:space="preserve"> muszą pozostać </w:t>
            </w:r>
            <w:r w:rsidRPr="001E6F82">
              <w:rPr>
                <w:b/>
                <w:i/>
              </w:rPr>
              <w:t>odpowiedzialne</w:t>
            </w:r>
            <w:r w:rsidRPr="001E6F82">
              <w:t xml:space="preserve"> za zapewnienie czytelności etykiet zgodnie z wymogami prawnymi.</w:t>
            </w:r>
          </w:p>
        </w:tc>
        <w:tc>
          <w:tcPr>
            <w:tcW w:w="4876" w:type="dxa"/>
            <w:tcBorders>
              <w:top w:val="nil"/>
              <w:left w:val="nil"/>
              <w:bottom w:val="nil"/>
              <w:right w:val="nil"/>
            </w:tcBorders>
            <w:hideMark/>
          </w:tcPr>
          <w:p w14:paraId="504A424D" w14:textId="77777777" w:rsidR="002E6C09" w:rsidRPr="001E6F82" w:rsidRDefault="002E6C09" w:rsidP="00844FF8">
            <w:pPr>
              <w:pStyle w:val="Normal6a"/>
            </w:pPr>
            <w:r w:rsidRPr="001E6F82">
              <w:lastRenderedPageBreak/>
              <w:t>(7)</w:t>
            </w:r>
            <w:r w:rsidRPr="001E6F82">
              <w:tab/>
              <w:t>W rozporządzeniu (UE) 2024/2865 ustanowiono przepisy dotyczące obowiązkowych wymogów dotyczących formatowania etykiet. Z nowo otrzymanych informacji</w:t>
            </w:r>
            <w:r w:rsidRPr="001E6F82">
              <w:rPr>
                <w:vertAlign w:val="superscript"/>
              </w:rPr>
              <w:t>7</w:t>
            </w:r>
            <w:r w:rsidRPr="001E6F82">
              <w:t xml:space="preserve"> wynika, że wymogi te wiążą się z nadmiernymi obciążeniami administracyjnymi oraz kosztami. Aby zrównoważyć potrzebę jasnego zrozumienia przez konsumentów informacji na etykietach z potrzebą zmniejszenia barier rynkowych i </w:t>
            </w:r>
            <w:r w:rsidRPr="001E6F82">
              <w:rPr>
                <w:b/>
                <w:i/>
              </w:rPr>
              <w:t>nieuzasadnionych</w:t>
            </w:r>
            <w:r w:rsidRPr="001E6F82">
              <w:t xml:space="preserve"> obciążeń dla </w:t>
            </w:r>
            <w:r w:rsidRPr="001E6F82">
              <w:lastRenderedPageBreak/>
              <w:t>przemysłu</w:t>
            </w:r>
            <w:r w:rsidRPr="001E6F82">
              <w:rPr>
                <w:vertAlign w:val="superscript"/>
              </w:rPr>
              <w:t>8</w:t>
            </w:r>
            <w:r w:rsidRPr="001E6F82">
              <w:t xml:space="preserve">, </w:t>
            </w:r>
            <w:r w:rsidRPr="001E6F82">
              <w:rPr>
                <w:b/>
                <w:i/>
              </w:rPr>
              <w:t>a w szczególności dla małych i średnich przedsiębiorstw,</w:t>
            </w:r>
            <w:r w:rsidRPr="001E6F82">
              <w:t xml:space="preserve"> należy uprościć obecne obowiązki w zakresie formatowania bez obniżenia poziomu ochrony zdrowia ludzkiego i środowiska. </w:t>
            </w:r>
            <w:r w:rsidRPr="001E6F82">
              <w:rPr>
                <w:b/>
                <w:i/>
              </w:rPr>
              <w:t>Nowe środki powinny utrzymać wysoki poziom ochrony konsumentów i zapewnić należyte funkcjonowanie rynku wewnętrznego. Dostawcy</w:t>
            </w:r>
            <w:r w:rsidRPr="001E6F82">
              <w:t xml:space="preserve"> muszą pozostać </w:t>
            </w:r>
            <w:r w:rsidRPr="001E6F82">
              <w:rPr>
                <w:b/>
                <w:i/>
              </w:rPr>
              <w:t>odpowiedzialni</w:t>
            </w:r>
            <w:r w:rsidRPr="001E6F82">
              <w:t xml:space="preserve"> za zapewnienie czytelności etykiet zgodnie z wymogami prawnymi.</w:t>
            </w:r>
          </w:p>
        </w:tc>
      </w:tr>
      <w:tr w:rsidR="002E6C09" w:rsidRPr="001E6F82" w14:paraId="37A21249" w14:textId="77777777" w:rsidTr="00844FF8">
        <w:trPr>
          <w:jc w:val="center"/>
        </w:trPr>
        <w:tc>
          <w:tcPr>
            <w:tcW w:w="4876" w:type="dxa"/>
            <w:tcBorders>
              <w:top w:val="nil"/>
              <w:left w:val="nil"/>
              <w:bottom w:val="nil"/>
              <w:right w:val="nil"/>
            </w:tcBorders>
            <w:hideMark/>
          </w:tcPr>
          <w:p w14:paraId="2CD8C534" w14:textId="77777777" w:rsidR="002E6C09" w:rsidRPr="001E6F82" w:rsidRDefault="002E6C09" w:rsidP="00844FF8">
            <w:pPr>
              <w:pStyle w:val="Normal6a"/>
            </w:pPr>
            <w:r w:rsidRPr="001E6F82">
              <w:rPr>
                <w:b/>
                <w:i/>
              </w:rPr>
              <w:lastRenderedPageBreak/>
              <w:t>_________________</w:t>
            </w:r>
          </w:p>
        </w:tc>
        <w:tc>
          <w:tcPr>
            <w:tcW w:w="4876" w:type="dxa"/>
            <w:tcBorders>
              <w:top w:val="nil"/>
              <w:left w:val="nil"/>
              <w:bottom w:val="nil"/>
              <w:right w:val="nil"/>
            </w:tcBorders>
            <w:hideMark/>
          </w:tcPr>
          <w:p w14:paraId="13121451" w14:textId="77777777" w:rsidR="002E6C09" w:rsidRPr="001E6F82" w:rsidRDefault="002E6C09" w:rsidP="00844FF8">
            <w:pPr>
              <w:pStyle w:val="Normal6a"/>
            </w:pPr>
            <w:r w:rsidRPr="001E6F82">
              <w:rPr>
                <w:b/>
                <w:i/>
              </w:rPr>
              <w:t>_________________</w:t>
            </w:r>
          </w:p>
        </w:tc>
      </w:tr>
      <w:tr w:rsidR="002E6C09" w:rsidRPr="001E6F82" w14:paraId="167932CC" w14:textId="77777777" w:rsidTr="00844FF8">
        <w:trPr>
          <w:jc w:val="center"/>
        </w:trPr>
        <w:tc>
          <w:tcPr>
            <w:tcW w:w="4876" w:type="dxa"/>
            <w:tcBorders>
              <w:top w:val="nil"/>
              <w:left w:val="nil"/>
              <w:bottom w:val="nil"/>
              <w:right w:val="nil"/>
            </w:tcBorders>
            <w:hideMark/>
          </w:tcPr>
          <w:p w14:paraId="5FA45076" w14:textId="77777777" w:rsidR="002E6C09" w:rsidRPr="001E6F82" w:rsidRDefault="002E6C09" w:rsidP="00844FF8">
            <w:pPr>
              <w:pStyle w:val="Normal6a"/>
            </w:pPr>
            <w:r w:rsidRPr="001E6F82">
              <w:rPr>
                <w:vertAlign w:val="superscript"/>
              </w:rPr>
              <w:t>7</w:t>
            </w:r>
            <w:r w:rsidRPr="001E6F82">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c>
          <w:tcPr>
            <w:tcW w:w="4876" w:type="dxa"/>
            <w:tcBorders>
              <w:top w:val="nil"/>
              <w:left w:val="nil"/>
              <w:bottom w:val="nil"/>
              <w:right w:val="nil"/>
            </w:tcBorders>
            <w:hideMark/>
          </w:tcPr>
          <w:p w14:paraId="3DAFA5D2" w14:textId="77777777" w:rsidR="002E6C09" w:rsidRPr="001E6F82" w:rsidRDefault="002E6C09" w:rsidP="00844FF8">
            <w:pPr>
              <w:pStyle w:val="Normal6a"/>
            </w:pPr>
            <w:r w:rsidRPr="001E6F82">
              <w:rPr>
                <w:vertAlign w:val="superscript"/>
              </w:rPr>
              <w:t>7</w:t>
            </w:r>
            <w:r w:rsidRPr="001E6F82">
              <w:t xml:space="preserve"> Szczegółową analizę kosztów związanych z nowymi wymogami dotyczącymi formatowania przedstawiono w dokumencie roboczym służb Komisji towarzyszącym wnioskowi dotyczącemu rozporządzenia Parlamentu Europejskiego i Rady zmieniającego rozporządzenia (WE) nr 1272/2008, (WE) nr 1223/2009 i (UE) 2019/1009 w odniesieniu do uproszczenia niektórych wymogów i procedur dotyczących produktów chemicznych, SWD(2025) 531, s. 14.</w:t>
            </w:r>
          </w:p>
        </w:tc>
      </w:tr>
      <w:tr w:rsidR="002E6C09" w:rsidRPr="001E6F82" w14:paraId="1434070B" w14:textId="77777777" w:rsidTr="00844FF8">
        <w:trPr>
          <w:jc w:val="center"/>
        </w:trPr>
        <w:tc>
          <w:tcPr>
            <w:tcW w:w="4876" w:type="dxa"/>
            <w:tcBorders>
              <w:top w:val="nil"/>
              <w:left w:val="nil"/>
              <w:bottom w:val="nil"/>
              <w:right w:val="nil"/>
            </w:tcBorders>
            <w:hideMark/>
          </w:tcPr>
          <w:p w14:paraId="429E76DA" w14:textId="77777777" w:rsidR="002E6C09" w:rsidRPr="001E6F82" w:rsidRDefault="002E6C09" w:rsidP="00844FF8">
            <w:pPr>
              <w:pStyle w:val="Normal6a"/>
            </w:pPr>
            <w:r w:rsidRPr="001E6F82">
              <w:rPr>
                <w:vertAlign w:val="superscript"/>
              </w:rPr>
              <w:t>8</w:t>
            </w:r>
            <w:r w:rsidRPr="001E6F82">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1E6F82">
              <w:t>final</w:t>
            </w:r>
            <w:proofErr w:type="spellEnd"/>
            <w:r w:rsidRPr="001E6F82">
              <w:t>, s. 10, dokument dostępny pod adresem:https://single-market-economy.ec.europa.eu/document/download/d92c78d0-7d47-4a16-b53f-1cead54bcb49_en?filename=Communication%20-%20Single%20Market%20Strategy.pdf.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5442729E" w14:textId="77777777" w:rsidR="002E6C09" w:rsidRPr="001E6F82" w:rsidRDefault="002E6C09" w:rsidP="00844FF8">
            <w:pPr>
              <w:pStyle w:val="Normal6a"/>
            </w:pPr>
            <w:r w:rsidRPr="001E6F82">
              <w:rPr>
                <w:vertAlign w:val="superscript"/>
              </w:rPr>
              <w:t>8</w:t>
            </w:r>
            <w:r w:rsidRPr="001E6F82">
              <w:t xml:space="preserve"> Jak przedstawiono w komunikacie Komisji do Parlamentu Europejskiego, Rady, Europejskiego Komitetu Ekonomiczno-Społecznego i Komitetu Regionów – Jednolity rynek: nasz europejski rynek wewnętrzny w niepewnym świecie. Strategia na rzecz prostszego, płynniejszego i silniejszego jednolitego rynku, COM(2025) 500 </w:t>
            </w:r>
            <w:proofErr w:type="spellStart"/>
            <w:r w:rsidRPr="001E6F82">
              <w:t>final</w:t>
            </w:r>
            <w:proofErr w:type="spellEnd"/>
            <w:r w:rsidRPr="001E6F82">
              <w:t>, s. 10, dokument dostępny pod adresem:https://single-market-economy.ec.europa.eu/document/download/d92c78d0-7d47-4a16-b53f-1cead54bcb49_en?filename=Communication%20-%20Single%20Market%20Strategy.pdf.</w:t>
            </w:r>
          </w:p>
        </w:tc>
      </w:tr>
    </w:tbl>
    <w:p w14:paraId="2AFEFD33" w14:textId="77777777" w:rsidR="002E6C09" w:rsidRPr="001E6F82" w:rsidRDefault="002E6C09" w:rsidP="002E6C09"/>
    <w:p w14:paraId="13445CF4" w14:textId="77777777" w:rsidR="002E6C09" w:rsidRPr="001E6F82" w:rsidRDefault="002E6C09" w:rsidP="002E6C09">
      <w:pPr>
        <w:pStyle w:val="AmNumberTabs"/>
      </w:pPr>
      <w:r w:rsidRPr="001E6F82">
        <w:t>Poprawka</w:t>
      </w:r>
      <w:r w:rsidRPr="001E6F82">
        <w:tab/>
      </w:r>
      <w:r w:rsidRPr="001E6F82">
        <w:tab/>
        <w:t>8</w:t>
      </w:r>
    </w:p>
    <w:p w14:paraId="40AEC4CC" w14:textId="77777777" w:rsidR="002E6C09" w:rsidRPr="001E6F82" w:rsidRDefault="002E6C09" w:rsidP="002E6C09">
      <w:pPr>
        <w:pStyle w:val="NormalBold"/>
      </w:pPr>
      <w:r w:rsidRPr="001E6F82">
        <w:t>Wniosek dotyczący rozporządzenia</w:t>
      </w:r>
    </w:p>
    <w:p w14:paraId="0BC09CE1" w14:textId="77777777" w:rsidR="002E6C09" w:rsidRPr="001E6F82" w:rsidRDefault="002E6C09" w:rsidP="002E6C09">
      <w:pPr>
        <w:pStyle w:val="NormalBold"/>
      </w:pPr>
      <w:r w:rsidRPr="001E6F82">
        <w:t>Motyw 7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22E9427" w14:textId="77777777" w:rsidTr="00844FF8">
        <w:trPr>
          <w:trHeight w:val="240"/>
          <w:jc w:val="center"/>
        </w:trPr>
        <w:tc>
          <w:tcPr>
            <w:tcW w:w="9752" w:type="dxa"/>
            <w:gridSpan w:val="2"/>
            <w:tcBorders>
              <w:top w:val="nil"/>
              <w:left w:val="nil"/>
              <w:bottom w:val="nil"/>
              <w:right w:val="nil"/>
            </w:tcBorders>
          </w:tcPr>
          <w:p w14:paraId="774F2440" w14:textId="77777777" w:rsidR="002E6C09" w:rsidRPr="001E6F82" w:rsidRDefault="002E6C09" w:rsidP="00844FF8"/>
        </w:tc>
      </w:tr>
      <w:tr w:rsidR="002E6C09" w:rsidRPr="001E6F82" w14:paraId="05EFC5CF" w14:textId="77777777" w:rsidTr="00844FF8">
        <w:trPr>
          <w:trHeight w:val="240"/>
          <w:jc w:val="center"/>
        </w:trPr>
        <w:tc>
          <w:tcPr>
            <w:tcW w:w="4876" w:type="dxa"/>
            <w:tcBorders>
              <w:top w:val="nil"/>
              <w:left w:val="nil"/>
              <w:bottom w:val="nil"/>
              <w:right w:val="nil"/>
            </w:tcBorders>
            <w:hideMark/>
          </w:tcPr>
          <w:p w14:paraId="3FF65B08"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90F2AF4" w14:textId="77777777" w:rsidR="002E6C09" w:rsidRPr="001E6F82" w:rsidRDefault="002E6C09" w:rsidP="00844FF8">
            <w:pPr>
              <w:pStyle w:val="AmColumnHeading"/>
            </w:pPr>
            <w:r w:rsidRPr="001E6F82">
              <w:t>Poprawka</w:t>
            </w:r>
          </w:p>
        </w:tc>
      </w:tr>
      <w:tr w:rsidR="002E6C09" w:rsidRPr="001E6F82" w14:paraId="7ABE9689" w14:textId="77777777" w:rsidTr="00844FF8">
        <w:trPr>
          <w:jc w:val="center"/>
        </w:trPr>
        <w:tc>
          <w:tcPr>
            <w:tcW w:w="4876" w:type="dxa"/>
            <w:tcBorders>
              <w:top w:val="nil"/>
              <w:left w:val="nil"/>
              <w:bottom w:val="nil"/>
              <w:right w:val="nil"/>
            </w:tcBorders>
          </w:tcPr>
          <w:p w14:paraId="5A8450A4" w14:textId="77777777" w:rsidR="002E6C09" w:rsidRPr="001E6F82" w:rsidRDefault="002E6C09" w:rsidP="00844FF8">
            <w:pPr>
              <w:pStyle w:val="Normal6a"/>
            </w:pPr>
          </w:p>
        </w:tc>
        <w:tc>
          <w:tcPr>
            <w:tcW w:w="4876" w:type="dxa"/>
            <w:tcBorders>
              <w:top w:val="nil"/>
              <w:left w:val="nil"/>
              <w:bottom w:val="nil"/>
              <w:right w:val="nil"/>
            </w:tcBorders>
            <w:hideMark/>
          </w:tcPr>
          <w:p w14:paraId="2116977F" w14:textId="77777777" w:rsidR="002E6C09" w:rsidRPr="001E6F82" w:rsidRDefault="002E6C09" w:rsidP="00844FF8">
            <w:pPr>
              <w:pStyle w:val="Normal6a"/>
            </w:pPr>
            <w:r w:rsidRPr="001E6F82">
              <w:rPr>
                <w:b/>
                <w:i/>
              </w:rPr>
              <w:t>(7a)</w:t>
            </w:r>
            <w:r w:rsidRPr="001E6F82">
              <w:tab/>
            </w:r>
            <w:r w:rsidRPr="001E6F82">
              <w:rPr>
                <w:b/>
                <w:i/>
              </w:rPr>
              <w:t>Etykieta służy za podstawowe i często jedno źródło informacji o zagrożeniach i źródło wskazówek dotyczących bezpiecznego stosowania łatwo dostępne konsumentom, natomiast użytkowników profesjonalnych i przemysłowych informuje się o zagrożeniach związanych z daną substancją lub mieszaniną przed użyciem również za pośrednictwem kart charakterystyki i na szkoleniach w zakresie bezpieczeństwa. Dlatego konieczne jest, aby etykieta była łatwo czytelna nie tylko w normalnych warunkach, lecz i w wyjątkowych okolicznościach, takich jak wypadki.</w:t>
            </w:r>
          </w:p>
        </w:tc>
      </w:tr>
    </w:tbl>
    <w:p w14:paraId="7CA1F6D5" w14:textId="77777777" w:rsidR="002E6C09" w:rsidRPr="001E6F82" w:rsidRDefault="002E6C09" w:rsidP="002E6C09"/>
    <w:p w14:paraId="6C874D53" w14:textId="77777777" w:rsidR="002E6C09" w:rsidRPr="001E6F82" w:rsidRDefault="002E6C09" w:rsidP="002E6C09">
      <w:pPr>
        <w:pStyle w:val="AmNumberTabs"/>
      </w:pPr>
      <w:r w:rsidRPr="001E6F82">
        <w:t>Poprawka</w:t>
      </w:r>
      <w:r w:rsidRPr="001E6F82">
        <w:tab/>
      </w:r>
      <w:r w:rsidRPr="001E6F82">
        <w:tab/>
        <w:t>9</w:t>
      </w:r>
    </w:p>
    <w:p w14:paraId="1DAE6469" w14:textId="77777777" w:rsidR="002E6C09" w:rsidRPr="001E6F82" w:rsidRDefault="002E6C09" w:rsidP="002E6C09">
      <w:pPr>
        <w:pStyle w:val="NormalBold"/>
      </w:pPr>
      <w:r w:rsidRPr="001E6F82">
        <w:t>Wniosek dotyczący rozporządzenia</w:t>
      </w:r>
    </w:p>
    <w:p w14:paraId="464EE257" w14:textId="77777777" w:rsidR="002E6C09" w:rsidRPr="001E6F82" w:rsidRDefault="002E6C09" w:rsidP="002E6C09">
      <w:pPr>
        <w:pStyle w:val="NormalBold"/>
      </w:pPr>
      <w:r w:rsidRPr="001E6F82">
        <w:t>Motyw 7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B7F1EE2" w14:textId="77777777" w:rsidTr="00844FF8">
        <w:trPr>
          <w:trHeight w:val="240"/>
          <w:jc w:val="center"/>
        </w:trPr>
        <w:tc>
          <w:tcPr>
            <w:tcW w:w="9752" w:type="dxa"/>
            <w:gridSpan w:val="2"/>
            <w:tcBorders>
              <w:top w:val="nil"/>
              <w:left w:val="nil"/>
              <w:bottom w:val="nil"/>
              <w:right w:val="nil"/>
            </w:tcBorders>
          </w:tcPr>
          <w:p w14:paraId="5B4E0769" w14:textId="77777777" w:rsidR="002E6C09" w:rsidRPr="001E6F82" w:rsidRDefault="002E6C09" w:rsidP="00844FF8"/>
        </w:tc>
      </w:tr>
      <w:tr w:rsidR="002E6C09" w:rsidRPr="001E6F82" w14:paraId="14C8FAD9" w14:textId="77777777" w:rsidTr="00844FF8">
        <w:trPr>
          <w:trHeight w:val="240"/>
          <w:jc w:val="center"/>
        </w:trPr>
        <w:tc>
          <w:tcPr>
            <w:tcW w:w="4876" w:type="dxa"/>
            <w:tcBorders>
              <w:top w:val="nil"/>
              <w:left w:val="nil"/>
              <w:bottom w:val="nil"/>
              <w:right w:val="nil"/>
            </w:tcBorders>
            <w:hideMark/>
          </w:tcPr>
          <w:p w14:paraId="36D0B8D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04FE9CD" w14:textId="77777777" w:rsidR="002E6C09" w:rsidRPr="001E6F82" w:rsidRDefault="002E6C09" w:rsidP="00844FF8">
            <w:pPr>
              <w:pStyle w:val="AmColumnHeading"/>
            </w:pPr>
            <w:r w:rsidRPr="001E6F82">
              <w:t>Poprawka</w:t>
            </w:r>
          </w:p>
        </w:tc>
      </w:tr>
      <w:tr w:rsidR="002E6C09" w:rsidRPr="001E6F82" w14:paraId="64D82BD3" w14:textId="77777777" w:rsidTr="00844FF8">
        <w:trPr>
          <w:jc w:val="center"/>
        </w:trPr>
        <w:tc>
          <w:tcPr>
            <w:tcW w:w="4876" w:type="dxa"/>
            <w:tcBorders>
              <w:top w:val="nil"/>
              <w:left w:val="nil"/>
              <w:bottom w:val="nil"/>
              <w:right w:val="nil"/>
            </w:tcBorders>
          </w:tcPr>
          <w:p w14:paraId="7D4C1219" w14:textId="77777777" w:rsidR="002E6C09" w:rsidRPr="001E6F82" w:rsidRDefault="002E6C09" w:rsidP="00844FF8">
            <w:pPr>
              <w:pStyle w:val="Normal6a"/>
            </w:pPr>
          </w:p>
        </w:tc>
        <w:tc>
          <w:tcPr>
            <w:tcW w:w="4876" w:type="dxa"/>
            <w:tcBorders>
              <w:top w:val="nil"/>
              <w:left w:val="nil"/>
              <w:bottom w:val="nil"/>
              <w:right w:val="nil"/>
            </w:tcBorders>
            <w:hideMark/>
          </w:tcPr>
          <w:p w14:paraId="6A5F4B49" w14:textId="77777777" w:rsidR="002E6C09" w:rsidRPr="001E6F82" w:rsidRDefault="002E6C09" w:rsidP="00844FF8">
            <w:pPr>
              <w:pStyle w:val="Normal6a"/>
            </w:pPr>
            <w:r w:rsidRPr="001E6F82">
              <w:rPr>
                <w:b/>
                <w:i/>
              </w:rPr>
              <w:t>(7b)</w:t>
            </w:r>
            <w:r w:rsidRPr="001E6F82">
              <w:tab/>
            </w:r>
            <w:r w:rsidRPr="001E6F82">
              <w:rPr>
                <w:b/>
                <w:i/>
              </w:rPr>
              <w:t xml:space="preserve">W trosce o odpowiedni stopień czytelności etykiety powinna ona zapewniać co najmniej wyraźny kontrast między tekstem a tłem, odpowiedni krój pisma, odpowiedni rozmiar czcionki, odpowiedni odstęp między wierszami i literami, ogólny wzór etykiety i inne istotne elementy formatowania. W szczególności w przypadku powszechnie dostępnych na rynku substancji lub mieszanin w elementach etykiety, o których mowa w art. 17 ust. 1, należy stosować rozmiar czcionki o wysokości x, która wynosi co najmniej 1,2 mm. </w:t>
            </w:r>
            <w:proofErr w:type="gramStart"/>
            <w:r w:rsidRPr="001E6F82">
              <w:rPr>
                <w:b/>
                <w:i/>
              </w:rPr>
              <w:t>Jednak</w:t>
            </w:r>
            <w:proofErr w:type="gramEnd"/>
            <w:r w:rsidRPr="001E6F82">
              <w:rPr>
                <w:b/>
                <w:i/>
              </w:rPr>
              <w:t xml:space="preserve"> gdy zawartość opakowania nie przekracza 125 ml, w elementach etykiety, o których mowa w art. 17 ust. 1, można stosować rozmiar czcionki o wysokości x, która wynosi co najmniej 0,9 mm. Europejska Agencja Chemikaliów (ECHA) powinna zaktualizować wytyczne dotyczące formatowania etykiet i ująć w nich czytelne przykłady, co stanowi dopuszczalne, a co niedopuszczalne sposoby formatowania etykiet. W wytycznych należy uwzględnić formaty </w:t>
            </w:r>
            <w:r w:rsidRPr="001E6F82">
              <w:rPr>
                <w:b/>
                <w:i/>
              </w:rPr>
              <w:lastRenderedPageBreak/>
              <w:t>etykiet określone w innych stosownych przepisach Unii oraz najlepsze praktyki w zakresie „dostępnego projektowania” i przyjęte normy czytelności, w tym dopuszczalne i niedopuszczalne kombinacje kolorów, aby uzyskać kontrast. Wytyczne powinny wspomóc egzekwowanie przepisów przez właściwe organy krajowe, być spójne z zasadami lepszego stanowienia prawa i opierać się na odpowiednich konsultacjach z zainteresowanymi stronami, wesprzeć konkurencyjność poprzez zmniejszenie zbędnych obciążeń, zagwarantować pewność dostawcom oraz zapewnić uczciwą konkurencję na rynku wewnętrznym.</w:t>
            </w:r>
          </w:p>
        </w:tc>
      </w:tr>
    </w:tbl>
    <w:p w14:paraId="5416249A" w14:textId="77777777" w:rsidR="002E6C09" w:rsidRPr="001E6F82" w:rsidRDefault="002E6C09" w:rsidP="002E6C09"/>
    <w:p w14:paraId="708717D0" w14:textId="77777777" w:rsidR="002E6C09" w:rsidRPr="001E6F82" w:rsidRDefault="002E6C09" w:rsidP="002E6C09">
      <w:pPr>
        <w:pStyle w:val="AmNumberTabs"/>
      </w:pPr>
      <w:r w:rsidRPr="001E6F82">
        <w:t>Poprawka</w:t>
      </w:r>
      <w:r w:rsidRPr="001E6F82">
        <w:tab/>
      </w:r>
      <w:r w:rsidRPr="001E6F82">
        <w:tab/>
        <w:t>10</w:t>
      </w:r>
    </w:p>
    <w:p w14:paraId="09A967AC" w14:textId="77777777" w:rsidR="002E6C09" w:rsidRPr="001E6F82" w:rsidRDefault="002E6C09" w:rsidP="002E6C09">
      <w:pPr>
        <w:pStyle w:val="NormalBold"/>
      </w:pPr>
      <w:r w:rsidRPr="001E6F82">
        <w:t>Wniosek dotyczący rozporządzenia</w:t>
      </w:r>
    </w:p>
    <w:p w14:paraId="42FAF48C" w14:textId="77777777" w:rsidR="002E6C09" w:rsidRPr="001E6F82" w:rsidRDefault="002E6C09" w:rsidP="002E6C09">
      <w:pPr>
        <w:pStyle w:val="NormalBold"/>
      </w:pPr>
      <w:r w:rsidRPr="001E6F82">
        <w:t>Motyw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29BF947" w14:textId="77777777" w:rsidTr="00844FF8">
        <w:trPr>
          <w:trHeight w:val="240"/>
          <w:jc w:val="center"/>
        </w:trPr>
        <w:tc>
          <w:tcPr>
            <w:tcW w:w="9752" w:type="dxa"/>
            <w:gridSpan w:val="2"/>
            <w:tcBorders>
              <w:top w:val="nil"/>
              <w:left w:val="nil"/>
              <w:bottom w:val="nil"/>
              <w:right w:val="nil"/>
            </w:tcBorders>
          </w:tcPr>
          <w:p w14:paraId="30846824" w14:textId="77777777" w:rsidR="002E6C09" w:rsidRPr="001E6F82" w:rsidRDefault="002E6C09" w:rsidP="00844FF8"/>
        </w:tc>
      </w:tr>
      <w:tr w:rsidR="002E6C09" w:rsidRPr="001E6F82" w14:paraId="0810F14A" w14:textId="77777777" w:rsidTr="00844FF8">
        <w:trPr>
          <w:trHeight w:val="240"/>
          <w:jc w:val="center"/>
        </w:trPr>
        <w:tc>
          <w:tcPr>
            <w:tcW w:w="4876" w:type="dxa"/>
            <w:tcBorders>
              <w:top w:val="nil"/>
              <w:left w:val="nil"/>
              <w:bottom w:val="nil"/>
              <w:right w:val="nil"/>
            </w:tcBorders>
            <w:hideMark/>
          </w:tcPr>
          <w:p w14:paraId="14B70E9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DB73249" w14:textId="77777777" w:rsidR="002E6C09" w:rsidRPr="001E6F82" w:rsidRDefault="002E6C09" w:rsidP="00844FF8">
            <w:pPr>
              <w:pStyle w:val="AmColumnHeading"/>
            </w:pPr>
            <w:r w:rsidRPr="001E6F82">
              <w:t>Poprawka</w:t>
            </w:r>
          </w:p>
        </w:tc>
      </w:tr>
      <w:tr w:rsidR="002E6C09" w:rsidRPr="001E6F82" w14:paraId="6E050915" w14:textId="77777777" w:rsidTr="00844FF8">
        <w:trPr>
          <w:jc w:val="center"/>
        </w:trPr>
        <w:tc>
          <w:tcPr>
            <w:tcW w:w="4876" w:type="dxa"/>
            <w:tcBorders>
              <w:top w:val="nil"/>
              <w:left w:val="nil"/>
              <w:bottom w:val="nil"/>
              <w:right w:val="nil"/>
            </w:tcBorders>
            <w:hideMark/>
          </w:tcPr>
          <w:p w14:paraId="0D056466" w14:textId="77777777" w:rsidR="002E6C09" w:rsidRPr="001E6F82" w:rsidRDefault="002E6C09" w:rsidP="00844FF8">
            <w:pPr>
              <w:pStyle w:val="Normal6a"/>
            </w:pPr>
            <w:r w:rsidRPr="001E6F82">
              <w:t>(8)</w:t>
            </w:r>
            <w:r w:rsidRPr="001E6F82">
              <w:tab/>
              <w:t>Aby zmniejszyć obciążenia dla przemysłu i usprawnić swobodny obrót substancjami i mieszaninami na rynku wewnętrznym, należy zmienić rozporządzenie (WE) nr 1272/2008 w odniesieniu do przepisów dotyczących reklam i ofert sprzedaży na odległość, wykorzystując obowiązujące przepisy określone w innym ustawodawstwie Unii o tych samych celach. W tym względzie wymogi dotyczące reklam i ofert sprzedaży na odległość powinny ograniczać się do produktów wprowadzanych do obrotu z przeznaczeniem dla ogółu społeczeństwa, ponieważ rozporządzenie (WE) nr 1907/2006</w:t>
            </w:r>
            <w:r w:rsidRPr="001E6F82">
              <w:rPr>
                <w:vertAlign w:val="superscript"/>
              </w:rPr>
              <w:t>9</w:t>
            </w:r>
            <w:r w:rsidRPr="001E6F82">
              <w:t xml:space="preserve"> przewiduje już jasne obowiązki dotyczące przepływu informacji w łańcuchach dostaw substancji i mieszanin.</w:t>
            </w:r>
          </w:p>
        </w:tc>
        <w:tc>
          <w:tcPr>
            <w:tcW w:w="4876" w:type="dxa"/>
            <w:tcBorders>
              <w:top w:val="nil"/>
              <w:left w:val="nil"/>
              <w:bottom w:val="nil"/>
              <w:right w:val="nil"/>
            </w:tcBorders>
            <w:hideMark/>
          </w:tcPr>
          <w:p w14:paraId="22E95F98" w14:textId="77777777" w:rsidR="002E6C09" w:rsidRPr="001E6F82" w:rsidRDefault="002E6C09" w:rsidP="00844FF8">
            <w:pPr>
              <w:pStyle w:val="Normal6a"/>
            </w:pPr>
            <w:r w:rsidRPr="001E6F82">
              <w:rPr>
                <w:i/>
              </w:rPr>
              <w:t>(Nie dotyczy polskiej wersji językowej)</w:t>
            </w:r>
            <w:r w:rsidRPr="001E6F82">
              <w:tab/>
              <w:t xml:space="preserve">   </w:t>
            </w:r>
          </w:p>
        </w:tc>
      </w:tr>
      <w:tr w:rsidR="002E6C09" w:rsidRPr="001E6F82" w14:paraId="49849EA3" w14:textId="77777777" w:rsidTr="00844FF8">
        <w:trPr>
          <w:jc w:val="center"/>
        </w:trPr>
        <w:tc>
          <w:tcPr>
            <w:tcW w:w="4876" w:type="dxa"/>
            <w:tcBorders>
              <w:top w:val="nil"/>
              <w:left w:val="nil"/>
              <w:bottom w:val="nil"/>
              <w:right w:val="nil"/>
            </w:tcBorders>
            <w:hideMark/>
          </w:tcPr>
          <w:p w14:paraId="523A53AD" w14:textId="77777777" w:rsidR="002E6C09" w:rsidRPr="001E6F82" w:rsidRDefault="002E6C09" w:rsidP="00844FF8">
            <w:pPr>
              <w:pStyle w:val="Normal6a"/>
            </w:pPr>
            <w:r w:rsidRPr="001E6F82">
              <w:rPr>
                <w:b/>
                <w:i/>
              </w:rPr>
              <w:t>_________________</w:t>
            </w:r>
          </w:p>
        </w:tc>
        <w:tc>
          <w:tcPr>
            <w:tcW w:w="4876" w:type="dxa"/>
            <w:tcBorders>
              <w:top w:val="nil"/>
              <w:left w:val="nil"/>
              <w:bottom w:val="nil"/>
              <w:right w:val="nil"/>
            </w:tcBorders>
            <w:hideMark/>
          </w:tcPr>
          <w:p w14:paraId="22A9072A" w14:textId="77777777" w:rsidR="002E6C09" w:rsidRPr="001E6F82" w:rsidRDefault="002E6C09" w:rsidP="00844FF8">
            <w:pPr>
              <w:pStyle w:val="Normal6a"/>
            </w:pPr>
            <w:r w:rsidRPr="001E6F82">
              <w:rPr>
                <w:b/>
                <w:i/>
              </w:rPr>
              <w:t xml:space="preserve"> </w:t>
            </w:r>
          </w:p>
        </w:tc>
      </w:tr>
      <w:tr w:rsidR="002E6C09" w:rsidRPr="001E6F82" w14:paraId="3F7E34D8" w14:textId="77777777" w:rsidTr="00844FF8">
        <w:trPr>
          <w:jc w:val="center"/>
        </w:trPr>
        <w:tc>
          <w:tcPr>
            <w:tcW w:w="4876" w:type="dxa"/>
            <w:tcBorders>
              <w:top w:val="nil"/>
              <w:left w:val="nil"/>
              <w:bottom w:val="nil"/>
              <w:right w:val="nil"/>
            </w:tcBorders>
            <w:hideMark/>
          </w:tcPr>
          <w:p w14:paraId="7FC6BEE2" w14:textId="77777777" w:rsidR="002E6C09" w:rsidRPr="001E6F82" w:rsidRDefault="002E6C09" w:rsidP="00844FF8">
            <w:pPr>
              <w:pStyle w:val="Normal6a"/>
            </w:pPr>
            <w:r w:rsidRPr="001E6F82">
              <w:rPr>
                <w:vertAlign w:val="superscript"/>
              </w:rPr>
              <w:t>9</w:t>
            </w:r>
            <w:r w:rsidRPr="001E6F82">
              <w:t xml:space="preserve"> Rozporządzenie (WE) nr 1907/2006 Parlamentu Europejskiego i Rady z dnia 18 grudnia 2006 r. w sprawie rejestracji, oceny, udzielania zezwoleń i stosowanych </w:t>
            </w:r>
            <w:r w:rsidRPr="001E6F82">
              <w:lastRenderedPageBreak/>
              <w:t>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http://data.europa.eu/eli/reg/2006/1907/oj).</w:t>
            </w:r>
          </w:p>
        </w:tc>
        <w:tc>
          <w:tcPr>
            <w:tcW w:w="4876" w:type="dxa"/>
            <w:tcBorders>
              <w:top w:val="nil"/>
              <w:left w:val="nil"/>
              <w:bottom w:val="nil"/>
              <w:right w:val="nil"/>
            </w:tcBorders>
            <w:hideMark/>
          </w:tcPr>
          <w:p w14:paraId="0695E4FB" w14:textId="77777777" w:rsidR="002E6C09" w:rsidRPr="001E6F82" w:rsidRDefault="002E6C09" w:rsidP="00844FF8">
            <w:pPr>
              <w:pStyle w:val="Normal6a"/>
            </w:pPr>
            <w:r w:rsidRPr="001E6F82">
              <w:lastRenderedPageBreak/>
              <w:t xml:space="preserve">   </w:t>
            </w:r>
          </w:p>
        </w:tc>
      </w:tr>
    </w:tbl>
    <w:p w14:paraId="67BE1D21" w14:textId="77777777" w:rsidR="002E6C09" w:rsidRPr="001E6F82" w:rsidRDefault="002E6C09" w:rsidP="002E6C09"/>
    <w:p w14:paraId="037072F4" w14:textId="77777777" w:rsidR="002E6C09" w:rsidRPr="001E6F82" w:rsidRDefault="002E6C09" w:rsidP="002E6C09">
      <w:pPr>
        <w:pStyle w:val="AmNumberTabs"/>
      </w:pPr>
      <w:r w:rsidRPr="001E6F82">
        <w:t>Poprawka</w:t>
      </w:r>
      <w:r w:rsidRPr="001E6F82">
        <w:tab/>
      </w:r>
      <w:r w:rsidRPr="001E6F82">
        <w:tab/>
        <w:t>11</w:t>
      </w:r>
    </w:p>
    <w:p w14:paraId="0BF6A6B4" w14:textId="77777777" w:rsidR="002E6C09" w:rsidRPr="001E6F82" w:rsidRDefault="002E6C09" w:rsidP="002E6C09">
      <w:pPr>
        <w:pStyle w:val="NormalBold"/>
      </w:pPr>
      <w:r w:rsidRPr="001E6F82">
        <w:t>Wniosek dotyczący rozporządzenia</w:t>
      </w:r>
    </w:p>
    <w:p w14:paraId="1065F360" w14:textId="77777777" w:rsidR="002E6C09" w:rsidRPr="001E6F82" w:rsidRDefault="002E6C09" w:rsidP="002E6C09">
      <w:pPr>
        <w:pStyle w:val="NormalBold"/>
      </w:pPr>
      <w:r w:rsidRPr="001E6F82">
        <w:t>Motyw 8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E3D0E1C" w14:textId="77777777" w:rsidTr="00844FF8">
        <w:trPr>
          <w:trHeight w:val="240"/>
          <w:jc w:val="center"/>
        </w:trPr>
        <w:tc>
          <w:tcPr>
            <w:tcW w:w="9752" w:type="dxa"/>
            <w:gridSpan w:val="2"/>
            <w:tcBorders>
              <w:top w:val="nil"/>
              <w:left w:val="nil"/>
              <w:bottom w:val="nil"/>
              <w:right w:val="nil"/>
            </w:tcBorders>
          </w:tcPr>
          <w:p w14:paraId="32367541" w14:textId="77777777" w:rsidR="002E6C09" w:rsidRPr="001E6F82" w:rsidRDefault="002E6C09" w:rsidP="00844FF8"/>
        </w:tc>
      </w:tr>
      <w:tr w:rsidR="002E6C09" w:rsidRPr="001E6F82" w14:paraId="08F219E3" w14:textId="77777777" w:rsidTr="00844FF8">
        <w:trPr>
          <w:trHeight w:val="240"/>
          <w:jc w:val="center"/>
        </w:trPr>
        <w:tc>
          <w:tcPr>
            <w:tcW w:w="4876" w:type="dxa"/>
            <w:tcBorders>
              <w:top w:val="nil"/>
              <w:left w:val="nil"/>
              <w:bottom w:val="nil"/>
              <w:right w:val="nil"/>
            </w:tcBorders>
            <w:hideMark/>
          </w:tcPr>
          <w:p w14:paraId="37533DA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F714F0B" w14:textId="77777777" w:rsidR="002E6C09" w:rsidRPr="001E6F82" w:rsidRDefault="002E6C09" w:rsidP="00844FF8">
            <w:pPr>
              <w:pStyle w:val="AmColumnHeading"/>
            </w:pPr>
            <w:r w:rsidRPr="001E6F82">
              <w:t>Poprawka</w:t>
            </w:r>
          </w:p>
        </w:tc>
      </w:tr>
      <w:tr w:rsidR="002E6C09" w:rsidRPr="001E6F82" w14:paraId="5EBD1642" w14:textId="77777777" w:rsidTr="00844FF8">
        <w:trPr>
          <w:jc w:val="center"/>
        </w:trPr>
        <w:tc>
          <w:tcPr>
            <w:tcW w:w="4876" w:type="dxa"/>
            <w:tcBorders>
              <w:top w:val="nil"/>
              <w:left w:val="nil"/>
              <w:bottom w:val="nil"/>
              <w:right w:val="nil"/>
            </w:tcBorders>
          </w:tcPr>
          <w:p w14:paraId="4AD7D87B" w14:textId="77777777" w:rsidR="002E6C09" w:rsidRPr="001E6F82" w:rsidRDefault="002E6C09" w:rsidP="00844FF8">
            <w:pPr>
              <w:pStyle w:val="Normal6a"/>
            </w:pPr>
          </w:p>
        </w:tc>
        <w:tc>
          <w:tcPr>
            <w:tcW w:w="4876" w:type="dxa"/>
            <w:tcBorders>
              <w:top w:val="nil"/>
              <w:left w:val="nil"/>
              <w:bottom w:val="nil"/>
              <w:right w:val="nil"/>
            </w:tcBorders>
            <w:hideMark/>
          </w:tcPr>
          <w:p w14:paraId="5598B74E" w14:textId="77777777" w:rsidR="002E6C09" w:rsidRPr="001E6F82" w:rsidRDefault="002E6C09" w:rsidP="00844FF8">
            <w:pPr>
              <w:pStyle w:val="Normal6a"/>
            </w:pPr>
            <w:r w:rsidRPr="001E6F82">
              <w:rPr>
                <w:b/>
                <w:i/>
              </w:rPr>
              <w:t>(8a)</w:t>
            </w:r>
            <w:r w:rsidRPr="001E6F82">
              <w:tab/>
            </w:r>
            <w:r w:rsidRPr="001E6F82">
              <w:rPr>
                <w:b/>
                <w:i/>
              </w:rPr>
              <w:t>Użytkownicy profesjonalni i przemysłowi są zazwyczaj lepiej poinformowani o zagrożeniach związanych z substancjami i mieszaninami niż konsumenci. Należy zatem rozróżnić wymogi informacyjne dotyczące reklam w zależności od tego, czy produkty są przeznaczone do użytku profesjonalnego i przemysłowego, czy dla konsumentów bądź też czy są im bezpośrednio udostępniane. Oceniając, czy reklama jest skierowana do konsumentów lub im udostępniana, właściwe organy powinny brać pod uwagę obiektywne elementy, w tym to, czy wyraźnie wskazano, że substancja lub mieszanina jest przeznaczona wyłącznie do użytku profesjonalnego, a także kontekst, w jakim reklama lub oferta są udostępniane, taki jak targi, publikacje handlowe czy platformy cyfrowe dla użytkowników profesjonalnych. W prawie Unii istnieją już podobne przepisy.</w:t>
            </w:r>
          </w:p>
        </w:tc>
      </w:tr>
    </w:tbl>
    <w:p w14:paraId="170BC389" w14:textId="77777777" w:rsidR="002E6C09" w:rsidRPr="001E6F82" w:rsidRDefault="002E6C09" w:rsidP="002E6C09"/>
    <w:p w14:paraId="39592547" w14:textId="77777777" w:rsidR="002E6C09" w:rsidRPr="001E6F82" w:rsidRDefault="002E6C09" w:rsidP="002E6C09">
      <w:pPr>
        <w:pStyle w:val="AmNumberTabs"/>
      </w:pPr>
      <w:r w:rsidRPr="001E6F82">
        <w:t>Poprawka</w:t>
      </w:r>
      <w:r w:rsidRPr="001E6F82">
        <w:tab/>
      </w:r>
      <w:r w:rsidRPr="001E6F82">
        <w:tab/>
        <w:t>12</w:t>
      </w:r>
    </w:p>
    <w:p w14:paraId="2BF7EBB6" w14:textId="77777777" w:rsidR="002E6C09" w:rsidRPr="001E6F82" w:rsidRDefault="002E6C09" w:rsidP="002E6C09">
      <w:pPr>
        <w:pStyle w:val="NormalBold"/>
      </w:pPr>
      <w:r w:rsidRPr="001E6F82">
        <w:t>Wniosek dotyczący rozporządzenia</w:t>
      </w:r>
    </w:p>
    <w:p w14:paraId="611A7391" w14:textId="77777777" w:rsidR="002E6C09" w:rsidRPr="001E6F82" w:rsidRDefault="002E6C09" w:rsidP="002E6C09">
      <w:pPr>
        <w:pStyle w:val="NormalBold"/>
      </w:pPr>
      <w:r w:rsidRPr="001E6F82">
        <w:t>Motyw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B593CDC" w14:textId="77777777" w:rsidTr="00844FF8">
        <w:trPr>
          <w:trHeight w:val="240"/>
          <w:jc w:val="center"/>
        </w:trPr>
        <w:tc>
          <w:tcPr>
            <w:tcW w:w="9752" w:type="dxa"/>
            <w:gridSpan w:val="2"/>
            <w:tcBorders>
              <w:top w:val="nil"/>
              <w:left w:val="nil"/>
              <w:bottom w:val="nil"/>
              <w:right w:val="nil"/>
            </w:tcBorders>
          </w:tcPr>
          <w:p w14:paraId="4ED06255" w14:textId="77777777" w:rsidR="002E6C09" w:rsidRPr="001E6F82" w:rsidRDefault="002E6C09" w:rsidP="00844FF8"/>
        </w:tc>
      </w:tr>
      <w:tr w:rsidR="002E6C09" w:rsidRPr="001E6F82" w14:paraId="3AEDB00B" w14:textId="77777777" w:rsidTr="00844FF8">
        <w:trPr>
          <w:trHeight w:val="240"/>
          <w:jc w:val="center"/>
        </w:trPr>
        <w:tc>
          <w:tcPr>
            <w:tcW w:w="4876" w:type="dxa"/>
            <w:tcBorders>
              <w:top w:val="nil"/>
              <w:left w:val="nil"/>
              <w:bottom w:val="nil"/>
              <w:right w:val="nil"/>
            </w:tcBorders>
            <w:hideMark/>
          </w:tcPr>
          <w:p w14:paraId="19807F91"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1AAA7A1" w14:textId="77777777" w:rsidR="002E6C09" w:rsidRPr="001E6F82" w:rsidRDefault="002E6C09" w:rsidP="00844FF8">
            <w:pPr>
              <w:pStyle w:val="AmColumnHeading"/>
            </w:pPr>
            <w:r w:rsidRPr="001E6F82">
              <w:t>Poprawka</w:t>
            </w:r>
          </w:p>
        </w:tc>
      </w:tr>
      <w:tr w:rsidR="002E6C09" w:rsidRPr="001E6F82" w14:paraId="0E64B705" w14:textId="77777777" w:rsidTr="00844FF8">
        <w:trPr>
          <w:jc w:val="center"/>
        </w:trPr>
        <w:tc>
          <w:tcPr>
            <w:tcW w:w="4876" w:type="dxa"/>
            <w:tcBorders>
              <w:top w:val="nil"/>
              <w:left w:val="nil"/>
              <w:bottom w:val="nil"/>
              <w:right w:val="nil"/>
            </w:tcBorders>
            <w:hideMark/>
          </w:tcPr>
          <w:p w14:paraId="4B8766D8" w14:textId="77777777" w:rsidR="002E6C09" w:rsidRPr="001E6F82" w:rsidRDefault="002E6C09" w:rsidP="00844FF8">
            <w:pPr>
              <w:pStyle w:val="Normal6a"/>
            </w:pPr>
            <w:r w:rsidRPr="001E6F82">
              <w:lastRenderedPageBreak/>
              <w:t>(9)</w:t>
            </w:r>
            <w:r w:rsidRPr="001E6F82">
              <w:tab/>
              <w:t>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ale bez powielania informacji o zagrożeniach uwzględnionych na etykiecie.</w:t>
            </w:r>
          </w:p>
        </w:tc>
        <w:tc>
          <w:tcPr>
            <w:tcW w:w="4876" w:type="dxa"/>
            <w:tcBorders>
              <w:top w:val="nil"/>
              <w:left w:val="nil"/>
              <w:bottom w:val="nil"/>
              <w:right w:val="nil"/>
            </w:tcBorders>
            <w:hideMark/>
          </w:tcPr>
          <w:p w14:paraId="248145EF" w14:textId="77777777" w:rsidR="002E6C09" w:rsidRPr="001E6F82" w:rsidRDefault="002E6C09" w:rsidP="00844FF8">
            <w:pPr>
              <w:pStyle w:val="Normal6a"/>
            </w:pPr>
            <w:r w:rsidRPr="001E6F82">
              <w:t>(9)</w:t>
            </w:r>
            <w:r w:rsidRPr="001E6F82">
              <w:tab/>
              <w:t xml:space="preserve">Przed zmianami wprowadzonymi rozporządzeniem (UE) 2024/2865 rozporządzenie (WE) nr 1272/2008 zawierało wymóg, aby w reklamach mieszanin stwarzających zagrożenie, które mogą być nabywane przez ogół społeczeństwa bez uprzedniego zapoznania się z etykietą, wymieniano rodzaj lub rodzaje zagrożeń wskazanych na etykiecie, a także aby w reklamach substancji wymieniano odnośne klasy zagrożenia lub kategorie zagrożeń. Rozporządzeniem (UE) 2024/2865 wprowadzono nowy wymóg, zgodnie z którym w przypadku wszelkiej sprzedaży na odległość substancji i mieszanin stwarzających zagrożenie w ofercie należy uwzględnić wszystkie informacje z etykiety, dbając tym samym o to, aby nabywca był zawsze informowany o zagrożeniach przed zakupem produktu. Rozporządzeniem tym rozszerzono również wymogi dotyczące reklam, nakazując wskazywanie w nich piktogramów określających rodzaj zagrożenia, haseł ostrzegawczych, zwrotów określających zagrożenie i zwrotów uzupełniających, a ponadto zachęcanie ogółu społeczeństwa do postępowania zgodnie z informacjami zamieszczonymi na etykiecie produktu. Reklamy są środkami promocji sprzedaży lub stosowania produktów chemicznych, a w momencie sprzedaży etykieta umieszczona na opakowaniu substancji lub mieszaniny lub informacje uwzględnione na etykiecie w przypadku ofert sprzedaży na odległość zawierają pełne informacje o zagrożeniach związanych z tą substancją lub mieszaniną. W związku z tym w odniesieniu do reklam należałoby wprowadzić obowiązek zachęcania klientów do zapoznania się z etykietą i informacjami o produkcie przed użyciem </w:t>
            </w:r>
            <w:r w:rsidRPr="001E6F82">
              <w:rPr>
                <w:b/>
                <w:i/>
              </w:rPr>
              <w:t>oraz obowiązek zamieszczania hasła ostrzegawczego lub piktogramu</w:t>
            </w:r>
            <w:r w:rsidRPr="001E6F82">
              <w:t xml:space="preserve">, ale bez powielania </w:t>
            </w:r>
            <w:r w:rsidRPr="001E6F82">
              <w:rPr>
                <w:b/>
                <w:i/>
              </w:rPr>
              <w:t>wszystkich</w:t>
            </w:r>
            <w:r w:rsidRPr="001E6F82">
              <w:t xml:space="preserve"> informacji o zagrożeniach uwzględnionych na etykiecie. </w:t>
            </w:r>
            <w:r w:rsidRPr="001E6F82">
              <w:rPr>
                <w:b/>
                <w:i/>
              </w:rPr>
              <w:t xml:space="preserve">Podejście to gwarantuje, że reklamy będą miały wciąż wystarczająco informacyjny charakter, aby ostrzegać potencjalnych </w:t>
            </w:r>
            <w:r w:rsidRPr="001E6F82">
              <w:rPr>
                <w:b/>
                <w:i/>
              </w:rPr>
              <w:lastRenderedPageBreak/>
              <w:t>użytkowników o niebezpiecznym charakterze produktu, lecz bez nakładania obowiązków, w wyniku których reklamy zawierałyby zbyt wiele szczegółów lub byłyby trudne do interpretacji lub niepraktyczne z handlowego punktu widzenia. Biorąc pod uwagę różnorodność form reklamy, dostawcom należy zapewnić pewien stopień elastyczności co do sposobu przekazywania tych informacji w reklamach.</w:t>
            </w:r>
          </w:p>
        </w:tc>
      </w:tr>
    </w:tbl>
    <w:p w14:paraId="48CE0273" w14:textId="77777777" w:rsidR="002E6C09" w:rsidRPr="001E6F82" w:rsidRDefault="002E6C09" w:rsidP="002E6C09"/>
    <w:p w14:paraId="2240C222" w14:textId="77777777" w:rsidR="002E6C09" w:rsidRPr="001E6F82" w:rsidRDefault="002E6C09" w:rsidP="002E6C09">
      <w:pPr>
        <w:pStyle w:val="AmNumberTabs"/>
      </w:pPr>
      <w:r w:rsidRPr="001E6F82">
        <w:t>Poprawka</w:t>
      </w:r>
      <w:r w:rsidRPr="001E6F82">
        <w:tab/>
      </w:r>
      <w:r w:rsidRPr="001E6F82">
        <w:tab/>
        <w:t>13</w:t>
      </w:r>
    </w:p>
    <w:p w14:paraId="2964495A" w14:textId="77777777" w:rsidR="002E6C09" w:rsidRPr="001E6F82" w:rsidRDefault="002E6C09" w:rsidP="002E6C09">
      <w:pPr>
        <w:pStyle w:val="NormalBold"/>
      </w:pPr>
      <w:r w:rsidRPr="001E6F82">
        <w:t>Wniosek dotyczący rozporządzenia</w:t>
      </w:r>
    </w:p>
    <w:p w14:paraId="075EC19D" w14:textId="77777777" w:rsidR="002E6C09" w:rsidRPr="001E6F82" w:rsidRDefault="002E6C09" w:rsidP="002E6C09">
      <w:pPr>
        <w:pStyle w:val="NormalBold"/>
      </w:pPr>
      <w:r w:rsidRPr="001E6F82">
        <w:t>Motyw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46EF246" w14:textId="77777777" w:rsidTr="00844FF8">
        <w:trPr>
          <w:trHeight w:val="240"/>
          <w:jc w:val="center"/>
        </w:trPr>
        <w:tc>
          <w:tcPr>
            <w:tcW w:w="9752" w:type="dxa"/>
            <w:gridSpan w:val="2"/>
            <w:tcBorders>
              <w:top w:val="nil"/>
              <w:left w:val="nil"/>
              <w:bottom w:val="nil"/>
              <w:right w:val="nil"/>
            </w:tcBorders>
          </w:tcPr>
          <w:p w14:paraId="59365530" w14:textId="77777777" w:rsidR="002E6C09" w:rsidRPr="001E6F82" w:rsidRDefault="002E6C09" w:rsidP="00844FF8"/>
        </w:tc>
      </w:tr>
      <w:tr w:rsidR="002E6C09" w:rsidRPr="001E6F82" w14:paraId="7F4D6148" w14:textId="77777777" w:rsidTr="00844FF8">
        <w:trPr>
          <w:trHeight w:val="240"/>
          <w:jc w:val="center"/>
        </w:trPr>
        <w:tc>
          <w:tcPr>
            <w:tcW w:w="4876" w:type="dxa"/>
            <w:tcBorders>
              <w:top w:val="nil"/>
              <w:left w:val="nil"/>
              <w:bottom w:val="nil"/>
              <w:right w:val="nil"/>
            </w:tcBorders>
            <w:hideMark/>
          </w:tcPr>
          <w:p w14:paraId="7F51271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75692DF" w14:textId="77777777" w:rsidR="002E6C09" w:rsidRPr="001E6F82" w:rsidRDefault="002E6C09" w:rsidP="00844FF8">
            <w:pPr>
              <w:pStyle w:val="AmColumnHeading"/>
            </w:pPr>
            <w:r w:rsidRPr="001E6F82">
              <w:t>Poprawka</w:t>
            </w:r>
          </w:p>
        </w:tc>
      </w:tr>
      <w:tr w:rsidR="002E6C09" w:rsidRPr="001E6F82" w14:paraId="194D27BE" w14:textId="77777777" w:rsidTr="00844FF8">
        <w:trPr>
          <w:jc w:val="center"/>
        </w:trPr>
        <w:tc>
          <w:tcPr>
            <w:tcW w:w="4876" w:type="dxa"/>
            <w:tcBorders>
              <w:top w:val="nil"/>
              <w:left w:val="nil"/>
              <w:bottom w:val="nil"/>
              <w:right w:val="nil"/>
            </w:tcBorders>
            <w:hideMark/>
          </w:tcPr>
          <w:p w14:paraId="5699F30D" w14:textId="77777777" w:rsidR="002E6C09" w:rsidRPr="001E6F82" w:rsidRDefault="002E6C09" w:rsidP="00844FF8">
            <w:pPr>
              <w:pStyle w:val="Normal6a"/>
            </w:pPr>
            <w:r w:rsidRPr="001E6F82">
              <w:t>(10)</w:t>
            </w:r>
            <w:r w:rsidRPr="001E6F82">
              <w:tab/>
              <w:t>Ponieważ rozporządzenie Parlamentu Europejskiego i Rady (WE) nr 1107/2009</w:t>
            </w:r>
            <w:r w:rsidRPr="001E6F82">
              <w:rPr>
                <w:vertAlign w:val="superscript"/>
              </w:rPr>
              <w:t>10</w:t>
            </w:r>
            <w:r w:rsidRPr="001E6F82">
              <w:t xml:space="preserve"> i rozporządzenie Parlamentu Europejskiego i Rady (UE) nr 528/2012</w:t>
            </w:r>
            <w:r w:rsidRPr="001E6F82">
              <w:rPr>
                <w:vertAlign w:val="superscript"/>
              </w:rPr>
              <w:t>11</w:t>
            </w:r>
            <w:r w:rsidRPr="001E6F82">
              <w:t xml:space="preserve"> zawierają wymóg, aby w reklamach dozwolonych środków ochrony roślin i produktów biobójczych stosowano sformułowanie „Przed każdym użyciem należy przeczytać etykietę i informacje dotyczące produktu”, właściwe byłoby </w:t>
            </w:r>
            <w:r w:rsidRPr="001E6F82">
              <w:rPr>
                <w:b/>
                <w:i/>
              </w:rPr>
              <w:t>zastosowanie</w:t>
            </w:r>
            <w:r w:rsidRPr="001E6F82">
              <w:t xml:space="preserve"> tego samego </w:t>
            </w:r>
            <w:r w:rsidRPr="001E6F82">
              <w:rPr>
                <w:b/>
                <w:i/>
              </w:rPr>
              <w:t>wymogu</w:t>
            </w:r>
            <w:r w:rsidRPr="001E6F82">
              <w:t xml:space="preserve">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c>
          <w:tcPr>
            <w:tcW w:w="4876" w:type="dxa"/>
            <w:tcBorders>
              <w:top w:val="nil"/>
              <w:left w:val="nil"/>
              <w:bottom w:val="nil"/>
              <w:right w:val="nil"/>
            </w:tcBorders>
            <w:hideMark/>
          </w:tcPr>
          <w:p w14:paraId="6B0E2924" w14:textId="77777777" w:rsidR="002E6C09" w:rsidRPr="001E6F82" w:rsidRDefault="002E6C09" w:rsidP="00844FF8">
            <w:pPr>
              <w:pStyle w:val="Normal6a"/>
            </w:pPr>
            <w:r w:rsidRPr="001E6F82">
              <w:t>(10)</w:t>
            </w:r>
            <w:r w:rsidRPr="001E6F82">
              <w:tab/>
              <w:t>Ponieważ rozporządzenie Parlamentu Europejskiego i Rady (WE) nr 1107/2009</w:t>
            </w:r>
            <w:r w:rsidRPr="001E6F82">
              <w:rPr>
                <w:vertAlign w:val="superscript"/>
              </w:rPr>
              <w:t>10</w:t>
            </w:r>
            <w:r w:rsidRPr="001E6F82">
              <w:t xml:space="preserve"> i rozporządzenie Parlamentu Europejskiego i Rady (UE) nr 528/2012</w:t>
            </w:r>
            <w:r w:rsidRPr="001E6F82">
              <w:rPr>
                <w:vertAlign w:val="superscript"/>
              </w:rPr>
              <w:t>11</w:t>
            </w:r>
            <w:r w:rsidRPr="001E6F82">
              <w:t xml:space="preserve"> zawierają wymóg, aby w reklamach dozwolonych środków ochrony roślin i produktów biobójczych stosowano sformułowanie „Przed każdym użyciem należy przeczytać etykietę i informacje dotyczące produktu”, właściwe byłoby </w:t>
            </w:r>
            <w:r w:rsidRPr="001E6F82">
              <w:rPr>
                <w:b/>
                <w:i/>
              </w:rPr>
              <w:t>stosowanie przez reklamodawców</w:t>
            </w:r>
            <w:r w:rsidRPr="001E6F82">
              <w:t xml:space="preserve"> tego samego </w:t>
            </w:r>
            <w:r w:rsidRPr="001E6F82">
              <w:rPr>
                <w:b/>
                <w:i/>
              </w:rPr>
              <w:t>sformułowania</w:t>
            </w:r>
            <w:r w:rsidRPr="001E6F82">
              <w:t xml:space="preserve"> w odniesieniu do reklam substancji i mieszanin stwarzających zagrożenie w celu zapewnienia spójności, zwłaszcza w przypadkach, gdy reklamowane substancje i mieszaniny stwarzające zagrożenie stanowią zarazem dozwolone środki ochrony roślin lub produkty biobójcze.</w:t>
            </w:r>
          </w:p>
        </w:tc>
      </w:tr>
      <w:tr w:rsidR="002E6C09" w:rsidRPr="001E6F82" w14:paraId="3C305550" w14:textId="77777777" w:rsidTr="00844FF8">
        <w:trPr>
          <w:jc w:val="center"/>
        </w:trPr>
        <w:tc>
          <w:tcPr>
            <w:tcW w:w="4876" w:type="dxa"/>
            <w:tcBorders>
              <w:top w:val="nil"/>
              <w:left w:val="nil"/>
              <w:bottom w:val="nil"/>
              <w:right w:val="nil"/>
            </w:tcBorders>
            <w:hideMark/>
          </w:tcPr>
          <w:p w14:paraId="3FFA5999" w14:textId="77777777" w:rsidR="002E6C09" w:rsidRPr="001E6F82" w:rsidRDefault="002E6C09" w:rsidP="00844FF8">
            <w:pPr>
              <w:pStyle w:val="Normal6a"/>
            </w:pPr>
            <w:r w:rsidRPr="001E6F82">
              <w:rPr>
                <w:b/>
                <w:i/>
              </w:rPr>
              <w:t>_________________</w:t>
            </w:r>
          </w:p>
        </w:tc>
        <w:tc>
          <w:tcPr>
            <w:tcW w:w="4876" w:type="dxa"/>
            <w:tcBorders>
              <w:top w:val="nil"/>
              <w:left w:val="nil"/>
              <w:bottom w:val="nil"/>
              <w:right w:val="nil"/>
            </w:tcBorders>
            <w:hideMark/>
          </w:tcPr>
          <w:p w14:paraId="024C178E" w14:textId="77777777" w:rsidR="002E6C09" w:rsidRPr="001E6F82" w:rsidRDefault="002E6C09" w:rsidP="00844FF8">
            <w:pPr>
              <w:pStyle w:val="Normal6a"/>
            </w:pPr>
            <w:r w:rsidRPr="001E6F82">
              <w:rPr>
                <w:b/>
                <w:i/>
              </w:rPr>
              <w:t>_________________</w:t>
            </w:r>
          </w:p>
        </w:tc>
      </w:tr>
      <w:tr w:rsidR="002E6C09" w:rsidRPr="001E6F82" w14:paraId="5802C02E" w14:textId="77777777" w:rsidTr="00844FF8">
        <w:trPr>
          <w:jc w:val="center"/>
        </w:trPr>
        <w:tc>
          <w:tcPr>
            <w:tcW w:w="4876" w:type="dxa"/>
            <w:tcBorders>
              <w:top w:val="nil"/>
              <w:left w:val="nil"/>
              <w:bottom w:val="nil"/>
              <w:right w:val="nil"/>
            </w:tcBorders>
            <w:hideMark/>
          </w:tcPr>
          <w:p w14:paraId="2545B6C8" w14:textId="77777777" w:rsidR="002E6C09" w:rsidRPr="001E6F82" w:rsidRDefault="002E6C09" w:rsidP="00844FF8">
            <w:pPr>
              <w:pStyle w:val="Normal6a"/>
            </w:pPr>
            <w:r w:rsidRPr="001E6F82">
              <w:rPr>
                <w:vertAlign w:val="superscript"/>
              </w:rPr>
              <w:t>10</w:t>
            </w:r>
            <w:r w:rsidRPr="001E6F82">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c>
          <w:tcPr>
            <w:tcW w:w="4876" w:type="dxa"/>
            <w:tcBorders>
              <w:top w:val="nil"/>
              <w:left w:val="nil"/>
              <w:bottom w:val="nil"/>
              <w:right w:val="nil"/>
            </w:tcBorders>
            <w:hideMark/>
          </w:tcPr>
          <w:p w14:paraId="7E81E387" w14:textId="77777777" w:rsidR="002E6C09" w:rsidRPr="001E6F82" w:rsidRDefault="002E6C09" w:rsidP="00844FF8">
            <w:pPr>
              <w:pStyle w:val="Normal6a"/>
            </w:pPr>
            <w:r w:rsidRPr="001E6F82">
              <w:rPr>
                <w:vertAlign w:val="superscript"/>
              </w:rPr>
              <w:t>10</w:t>
            </w:r>
            <w:r w:rsidRPr="001E6F82">
              <w:t xml:space="preserve"> Rozporządzenie Parlamentu Europejskiego i Rady (WE) nr 1107/2009 z dnia 21 października 2009 r. dotyczące wprowadzania do obrotu środków ochrony roślin i uchylające dyrektywy Rady 79/117/EWG i 91/414/EWG (Dz.U. L 309 z 24.11.2009, s. 1, ELI: http://data.europa.eu/eli/reg/2009/1107/oj).</w:t>
            </w:r>
          </w:p>
        </w:tc>
      </w:tr>
      <w:tr w:rsidR="002E6C09" w:rsidRPr="001E6F82" w14:paraId="5B219E6F" w14:textId="77777777" w:rsidTr="00844FF8">
        <w:trPr>
          <w:jc w:val="center"/>
        </w:trPr>
        <w:tc>
          <w:tcPr>
            <w:tcW w:w="4876" w:type="dxa"/>
            <w:tcBorders>
              <w:top w:val="nil"/>
              <w:left w:val="nil"/>
              <w:bottom w:val="nil"/>
              <w:right w:val="nil"/>
            </w:tcBorders>
            <w:hideMark/>
          </w:tcPr>
          <w:p w14:paraId="7C939493" w14:textId="77777777" w:rsidR="002E6C09" w:rsidRPr="001E6F82" w:rsidRDefault="002E6C09" w:rsidP="00844FF8">
            <w:pPr>
              <w:pStyle w:val="Normal6a"/>
            </w:pPr>
            <w:r w:rsidRPr="001E6F82">
              <w:rPr>
                <w:vertAlign w:val="superscript"/>
              </w:rPr>
              <w:t>11</w:t>
            </w:r>
            <w:r w:rsidRPr="001E6F82">
              <w:t xml:space="preserve"> Rozporządzenie Parlamentu Europejskiego i Rady (UE) nr 528/2012 </w:t>
            </w:r>
            <w:r w:rsidRPr="001E6F82">
              <w:lastRenderedPageBreak/>
              <w:t>z dnia 22 maja 2012 r. w sprawie udostępniania na rynku i stosowania produktów biobójczych (Dz.U. L 167 z 27.6.2012, s. 1, ELI: http://data.europa.eu/eli/reg/2012/528/oj).</w:t>
            </w:r>
          </w:p>
        </w:tc>
        <w:tc>
          <w:tcPr>
            <w:tcW w:w="4876" w:type="dxa"/>
            <w:tcBorders>
              <w:top w:val="nil"/>
              <w:left w:val="nil"/>
              <w:bottom w:val="nil"/>
              <w:right w:val="nil"/>
            </w:tcBorders>
            <w:hideMark/>
          </w:tcPr>
          <w:p w14:paraId="44B7D2DF" w14:textId="77777777" w:rsidR="002E6C09" w:rsidRPr="001E6F82" w:rsidRDefault="002E6C09" w:rsidP="00844FF8">
            <w:pPr>
              <w:pStyle w:val="Normal6a"/>
            </w:pPr>
            <w:r w:rsidRPr="001E6F82">
              <w:rPr>
                <w:vertAlign w:val="superscript"/>
              </w:rPr>
              <w:lastRenderedPageBreak/>
              <w:t>11</w:t>
            </w:r>
            <w:r w:rsidRPr="001E6F82">
              <w:t xml:space="preserve"> Rozporządzenie Parlamentu Europejskiego i Rady (UE) nr 528/2012 </w:t>
            </w:r>
            <w:r w:rsidRPr="001E6F82">
              <w:lastRenderedPageBreak/>
              <w:t>z dnia 22 maja 2012 r. w sprawie udostępniania na rynku i stosowania produktów biobójczych (Dz.U. L 167 z 27.6.2012, s. 1, ELI: http://data.europa.eu/eli/reg/2012/528/oj).</w:t>
            </w:r>
          </w:p>
        </w:tc>
      </w:tr>
    </w:tbl>
    <w:p w14:paraId="33C7F7F8" w14:textId="77777777" w:rsidR="002E6C09" w:rsidRPr="001E6F82" w:rsidRDefault="002E6C09" w:rsidP="002E6C09"/>
    <w:p w14:paraId="1980B14C" w14:textId="77777777" w:rsidR="002E6C09" w:rsidRPr="001E6F82" w:rsidRDefault="002E6C09" w:rsidP="002E6C09">
      <w:pPr>
        <w:pStyle w:val="AmNumberTabs"/>
      </w:pPr>
      <w:r w:rsidRPr="001E6F82">
        <w:t>Poprawka</w:t>
      </w:r>
      <w:r w:rsidRPr="001E6F82">
        <w:tab/>
      </w:r>
      <w:r w:rsidRPr="001E6F82">
        <w:tab/>
        <w:t>14</w:t>
      </w:r>
    </w:p>
    <w:p w14:paraId="791E8008" w14:textId="77777777" w:rsidR="002E6C09" w:rsidRPr="001E6F82" w:rsidRDefault="002E6C09" w:rsidP="002E6C09">
      <w:pPr>
        <w:pStyle w:val="NormalBold"/>
      </w:pPr>
      <w:r w:rsidRPr="001E6F82">
        <w:t>Wniosek dotyczący rozporządzenia</w:t>
      </w:r>
    </w:p>
    <w:p w14:paraId="2222A16D" w14:textId="77777777" w:rsidR="002E6C09" w:rsidRPr="001E6F82" w:rsidRDefault="002E6C09" w:rsidP="002E6C09">
      <w:pPr>
        <w:pStyle w:val="NormalBold"/>
      </w:pPr>
      <w:r w:rsidRPr="001E6F82">
        <w:t>Motyw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64C1B88" w14:textId="77777777" w:rsidTr="00844FF8">
        <w:trPr>
          <w:trHeight w:val="240"/>
          <w:jc w:val="center"/>
        </w:trPr>
        <w:tc>
          <w:tcPr>
            <w:tcW w:w="9752" w:type="dxa"/>
            <w:gridSpan w:val="2"/>
            <w:tcBorders>
              <w:top w:val="nil"/>
              <w:left w:val="nil"/>
              <w:bottom w:val="nil"/>
              <w:right w:val="nil"/>
            </w:tcBorders>
          </w:tcPr>
          <w:p w14:paraId="2597A971" w14:textId="77777777" w:rsidR="002E6C09" w:rsidRPr="001E6F82" w:rsidRDefault="002E6C09" w:rsidP="00844FF8"/>
        </w:tc>
      </w:tr>
      <w:tr w:rsidR="002E6C09" w:rsidRPr="001E6F82" w14:paraId="14677F61" w14:textId="77777777" w:rsidTr="00844FF8">
        <w:trPr>
          <w:trHeight w:val="240"/>
          <w:jc w:val="center"/>
        </w:trPr>
        <w:tc>
          <w:tcPr>
            <w:tcW w:w="4876" w:type="dxa"/>
            <w:tcBorders>
              <w:top w:val="nil"/>
              <w:left w:val="nil"/>
              <w:bottom w:val="nil"/>
              <w:right w:val="nil"/>
            </w:tcBorders>
            <w:hideMark/>
          </w:tcPr>
          <w:p w14:paraId="70C9152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D3E91AD" w14:textId="77777777" w:rsidR="002E6C09" w:rsidRPr="001E6F82" w:rsidRDefault="002E6C09" w:rsidP="00844FF8">
            <w:pPr>
              <w:pStyle w:val="AmColumnHeading"/>
            </w:pPr>
            <w:r w:rsidRPr="001E6F82">
              <w:t>Poprawka</w:t>
            </w:r>
          </w:p>
        </w:tc>
      </w:tr>
      <w:tr w:rsidR="002E6C09" w:rsidRPr="001E6F82" w14:paraId="196B4790" w14:textId="77777777" w:rsidTr="00844FF8">
        <w:trPr>
          <w:jc w:val="center"/>
        </w:trPr>
        <w:tc>
          <w:tcPr>
            <w:tcW w:w="4876" w:type="dxa"/>
            <w:tcBorders>
              <w:top w:val="nil"/>
              <w:left w:val="nil"/>
              <w:bottom w:val="nil"/>
              <w:right w:val="nil"/>
            </w:tcBorders>
            <w:hideMark/>
          </w:tcPr>
          <w:p w14:paraId="618E6482" w14:textId="77777777" w:rsidR="002E6C09" w:rsidRPr="001E6F82" w:rsidRDefault="002E6C09" w:rsidP="00844FF8">
            <w:pPr>
              <w:pStyle w:val="Normal6a"/>
            </w:pPr>
            <w:r w:rsidRPr="001E6F82">
              <w:t>(12)</w:t>
            </w:r>
            <w:r w:rsidRPr="001E6F82">
              <w:tab/>
              <w:t>Rozporządzeniem (UE) 2024/2865 wprowadzono możliwość umieszczenia niektórych elementów etykiety wyłącznie na etykiecie cyfrowej. Aby zapewnić szersze wykorzystanie technologii oraz umożliwić prostsze i bardziej elastyczne podejście do etykietowania, dostawcy powinni mieć możliwość umieszczenia danych kontaktowych wszelkich dodatkowych dostawców wyłącznie na etykiecie cyfrowej. Umieszczenie kontaktu elektronicznego będzie również właściwe w przypadku, gdy dane kontaktowe dodatkowych dostawców są podane na etykiecie cyfrowej.</w:t>
            </w:r>
          </w:p>
        </w:tc>
        <w:tc>
          <w:tcPr>
            <w:tcW w:w="4876" w:type="dxa"/>
            <w:tcBorders>
              <w:top w:val="nil"/>
              <w:left w:val="nil"/>
              <w:bottom w:val="nil"/>
              <w:right w:val="nil"/>
            </w:tcBorders>
            <w:hideMark/>
          </w:tcPr>
          <w:p w14:paraId="2EB2B8E0" w14:textId="77777777" w:rsidR="002E6C09" w:rsidRPr="001E6F82" w:rsidRDefault="002E6C09" w:rsidP="00844FF8">
            <w:pPr>
              <w:pStyle w:val="Normal6a"/>
            </w:pPr>
            <w:r w:rsidRPr="001E6F82">
              <w:t>(12)</w:t>
            </w:r>
            <w:r w:rsidRPr="001E6F82">
              <w:tab/>
              <w:t xml:space="preserve">Rozporządzeniem (UE) 2024/2865 wprowadzono możliwość umieszczenia niektórych elementów etykiety wyłącznie na etykiecie cyfrowej. Aby zapewnić szersze wykorzystanie technologii oraz umożliwić prostsze i bardziej elastyczne podejście do etykietowania, dostawcy powinni mieć możliwość umieszczenia danych kontaktowych wszelkich dodatkowych dostawców wyłącznie na etykiecie cyfrowej. Umieszczenie kontaktu elektronicznego będzie również właściwe w przypadku, gdy dane kontaktowe dodatkowych dostawców są podane na etykiecie cyfrowej. </w:t>
            </w:r>
            <w:r w:rsidRPr="001E6F82">
              <w:rPr>
                <w:b/>
                <w:i/>
              </w:rPr>
              <w:t>Aby umożliwić szybki kontakt niezbędny w niektórych sytuacjach, takich jak sytuacje nadzwyczajne, obecność kontaktu elektronicznego nie powinna wykluczać podania numeru telefonu.</w:t>
            </w:r>
          </w:p>
        </w:tc>
      </w:tr>
    </w:tbl>
    <w:p w14:paraId="43A51F27" w14:textId="77777777" w:rsidR="002E6C09" w:rsidRPr="001E6F82" w:rsidRDefault="002E6C09" w:rsidP="002E6C09"/>
    <w:p w14:paraId="30A8EBB8" w14:textId="77777777" w:rsidR="002E6C09" w:rsidRPr="001E6F82" w:rsidRDefault="002E6C09" w:rsidP="002E6C09">
      <w:pPr>
        <w:pStyle w:val="AmNumberTabs"/>
      </w:pPr>
      <w:r w:rsidRPr="001E6F82">
        <w:t>Poprawka</w:t>
      </w:r>
      <w:r w:rsidRPr="001E6F82">
        <w:tab/>
      </w:r>
      <w:r w:rsidRPr="001E6F82">
        <w:tab/>
        <w:t>15</w:t>
      </w:r>
    </w:p>
    <w:p w14:paraId="5B67AF6F" w14:textId="77777777" w:rsidR="002E6C09" w:rsidRPr="001E6F82" w:rsidRDefault="002E6C09" w:rsidP="002E6C09">
      <w:pPr>
        <w:pStyle w:val="NormalBold"/>
      </w:pPr>
      <w:r w:rsidRPr="001E6F82">
        <w:t>Wniosek dotyczący rozporządzenia</w:t>
      </w:r>
    </w:p>
    <w:p w14:paraId="33C21B01" w14:textId="77777777" w:rsidR="002E6C09" w:rsidRPr="001E6F82" w:rsidRDefault="002E6C09" w:rsidP="002E6C09">
      <w:pPr>
        <w:pStyle w:val="NormalBold"/>
      </w:pPr>
      <w:r w:rsidRPr="001E6F82">
        <w:t>Motyw 12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02FD193" w14:textId="77777777" w:rsidTr="00844FF8">
        <w:trPr>
          <w:trHeight w:val="240"/>
          <w:jc w:val="center"/>
        </w:trPr>
        <w:tc>
          <w:tcPr>
            <w:tcW w:w="9752" w:type="dxa"/>
            <w:gridSpan w:val="2"/>
            <w:tcBorders>
              <w:top w:val="nil"/>
              <w:left w:val="nil"/>
              <w:bottom w:val="nil"/>
              <w:right w:val="nil"/>
            </w:tcBorders>
          </w:tcPr>
          <w:p w14:paraId="3892BB7F" w14:textId="77777777" w:rsidR="002E6C09" w:rsidRPr="001E6F82" w:rsidRDefault="002E6C09" w:rsidP="00844FF8"/>
        </w:tc>
      </w:tr>
      <w:tr w:rsidR="002E6C09" w:rsidRPr="001E6F82" w14:paraId="72D5E1EB" w14:textId="77777777" w:rsidTr="00844FF8">
        <w:trPr>
          <w:trHeight w:val="240"/>
          <w:jc w:val="center"/>
        </w:trPr>
        <w:tc>
          <w:tcPr>
            <w:tcW w:w="4876" w:type="dxa"/>
            <w:tcBorders>
              <w:top w:val="nil"/>
              <w:left w:val="nil"/>
              <w:bottom w:val="nil"/>
              <w:right w:val="nil"/>
            </w:tcBorders>
            <w:hideMark/>
          </w:tcPr>
          <w:p w14:paraId="7587D77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761826F" w14:textId="77777777" w:rsidR="002E6C09" w:rsidRPr="001E6F82" w:rsidRDefault="002E6C09" w:rsidP="00844FF8">
            <w:pPr>
              <w:pStyle w:val="AmColumnHeading"/>
            </w:pPr>
            <w:r w:rsidRPr="001E6F82">
              <w:t>Poprawka</w:t>
            </w:r>
          </w:p>
        </w:tc>
      </w:tr>
      <w:tr w:rsidR="002E6C09" w:rsidRPr="001E6F82" w14:paraId="1BA8DA9A" w14:textId="77777777" w:rsidTr="00844FF8">
        <w:trPr>
          <w:jc w:val="center"/>
        </w:trPr>
        <w:tc>
          <w:tcPr>
            <w:tcW w:w="4876" w:type="dxa"/>
            <w:tcBorders>
              <w:top w:val="nil"/>
              <w:left w:val="nil"/>
              <w:bottom w:val="nil"/>
              <w:right w:val="nil"/>
            </w:tcBorders>
          </w:tcPr>
          <w:p w14:paraId="1248EF7B" w14:textId="77777777" w:rsidR="002E6C09" w:rsidRPr="001E6F82" w:rsidRDefault="002E6C09" w:rsidP="00844FF8">
            <w:pPr>
              <w:pStyle w:val="Normal6a"/>
            </w:pPr>
          </w:p>
        </w:tc>
        <w:tc>
          <w:tcPr>
            <w:tcW w:w="4876" w:type="dxa"/>
            <w:tcBorders>
              <w:top w:val="nil"/>
              <w:left w:val="nil"/>
              <w:bottom w:val="nil"/>
              <w:right w:val="nil"/>
            </w:tcBorders>
            <w:hideMark/>
          </w:tcPr>
          <w:p w14:paraId="131805F2" w14:textId="77777777" w:rsidR="002E6C09" w:rsidRPr="001E6F82" w:rsidRDefault="002E6C09" w:rsidP="00844FF8">
            <w:pPr>
              <w:pStyle w:val="Normal6a"/>
            </w:pPr>
            <w:r w:rsidRPr="001E6F82">
              <w:rPr>
                <w:b/>
                <w:i/>
              </w:rPr>
              <w:t>(12a)</w:t>
            </w:r>
            <w:r w:rsidRPr="001E6F82">
              <w:tab/>
            </w:r>
            <w:r w:rsidRPr="001E6F82">
              <w:rPr>
                <w:b/>
                <w:i/>
              </w:rPr>
              <w:t xml:space="preserve">Wkłady atramentowe (≤ 150 ml) (dostarczane w opakowaniu zewnętrznym i przeznaczone do zainstalowania w drukarce przez konsumenta lub użytkownika profesjonalnego) mają bardzo ograniczoną powierzchnię użytkową do opatrzenia etykietą i nie można w ich przypadku skorzystać z opcji etykiety rozkładanej w wersji </w:t>
            </w:r>
            <w:r w:rsidRPr="001E6F82">
              <w:rPr>
                <w:b/>
                <w:i/>
              </w:rPr>
              <w:lastRenderedPageBreak/>
              <w:t>wielojęzycznej. W takich przypadkach dostawcom należy pod pewnymi warunkami zezwolić na ograniczenie liczby zamieszczanych na etykiecie informacji o zagrożeniach.</w:t>
            </w:r>
          </w:p>
        </w:tc>
      </w:tr>
    </w:tbl>
    <w:p w14:paraId="37D6F693" w14:textId="77777777" w:rsidR="002E6C09" w:rsidRPr="001E6F82" w:rsidRDefault="002E6C09" w:rsidP="002E6C09"/>
    <w:p w14:paraId="4CBE3AD2" w14:textId="77777777" w:rsidR="002E6C09" w:rsidRPr="001E6F82" w:rsidRDefault="002E6C09" w:rsidP="002E6C09">
      <w:pPr>
        <w:pStyle w:val="AmNumberTabs"/>
      </w:pPr>
      <w:r w:rsidRPr="001E6F82">
        <w:t>Poprawka</w:t>
      </w:r>
      <w:r w:rsidRPr="001E6F82">
        <w:tab/>
      </w:r>
      <w:r w:rsidRPr="001E6F82">
        <w:tab/>
        <w:t>16</w:t>
      </w:r>
    </w:p>
    <w:p w14:paraId="38E366D4" w14:textId="77777777" w:rsidR="002E6C09" w:rsidRPr="001E6F82" w:rsidRDefault="002E6C09" w:rsidP="002E6C09">
      <w:pPr>
        <w:pStyle w:val="NormalBold"/>
      </w:pPr>
      <w:r w:rsidRPr="001E6F82">
        <w:t>Wniosek dotyczący rozporządzenia</w:t>
      </w:r>
    </w:p>
    <w:p w14:paraId="06EC9302" w14:textId="77777777" w:rsidR="002E6C09" w:rsidRPr="001E6F82" w:rsidRDefault="002E6C09" w:rsidP="002E6C09">
      <w:pPr>
        <w:pStyle w:val="NormalBold"/>
      </w:pPr>
      <w:r w:rsidRPr="001E6F82">
        <w:t>Motyw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2C63F8C" w14:textId="77777777" w:rsidTr="00844FF8">
        <w:trPr>
          <w:trHeight w:val="240"/>
          <w:jc w:val="center"/>
        </w:trPr>
        <w:tc>
          <w:tcPr>
            <w:tcW w:w="9752" w:type="dxa"/>
            <w:gridSpan w:val="2"/>
            <w:tcBorders>
              <w:top w:val="nil"/>
              <w:left w:val="nil"/>
              <w:bottom w:val="nil"/>
              <w:right w:val="nil"/>
            </w:tcBorders>
          </w:tcPr>
          <w:p w14:paraId="3CD06BD9" w14:textId="77777777" w:rsidR="002E6C09" w:rsidRPr="001E6F82" w:rsidRDefault="002E6C09" w:rsidP="00844FF8"/>
        </w:tc>
      </w:tr>
      <w:tr w:rsidR="002E6C09" w:rsidRPr="001E6F82" w14:paraId="1B72A508" w14:textId="77777777" w:rsidTr="00844FF8">
        <w:trPr>
          <w:trHeight w:val="240"/>
          <w:jc w:val="center"/>
        </w:trPr>
        <w:tc>
          <w:tcPr>
            <w:tcW w:w="4876" w:type="dxa"/>
            <w:tcBorders>
              <w:top w:val="nil"/>
              <w:left w:val="nil"/>
              <w:bottom w:val="nil"/>
              <w:right w:val="nil"/>
            </w:tcBorders>
            <w:hideMark/>
          </w:tcPr>
          <w:p w14:paraId="2A809DE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3374C30" w14:textId="77777777" w:rsidR="002E6C09" w:rsidRPr="001E6F82" w:rsidRDefault="002E6C09" w:rsidP="00844FF8">
            <w:pPr>
              <w:pStyle w:val="AmColumnHeading"/>
            </w:pPr>
            <w:r w:rsidRPr="001E6F82">
              <w:t>Poprawka</w:t>
            </w:r>
          </w:p>
        </w:tc>
      </w:tr>
      <w:tr w:rsidR="002E6C09" w:rsidRPr="001E6F82" w14:paraId="42AD91E7" w14:textId="77777777" w:rsidTr="00844FF8">
        <w:trPr>
          <w:jc w:val="center"/>
        </w:trPr>
        <w:tc>
          <w:tcPr>
            <w:tcW w:w="4876" w:type="dxa"/>
            <w:tcBorders>
              <w:top w:val="nil"/>
              <w:left w:val="nil"/>
              <w:bottom w:val="nil"/>
              <w:right w:val="nil"/>
            </w:tcBorders>
            <w:hideMark/>
          </w:tcPr>
          <w:p w14:paraId="1831E459" w14:textId="77777777" w:rsidR="002E6C09" w:rsidRPr="001E6F82" w:rsidRDefault="002E6C09" w:rsidP="00844FF8">
            <w:pPr>
              <w:pStyle w:val="Normal6a"/>
            </w:pPr>
            <w:r w:rsidRPr="001E6F82">
              <w:t>(14)</w:t>
            </w:r>
            <w:r w:rsidRPr="001E6F82">
              <w:tab/>
              <w:t>Zgodnie z przepisami przejściowymi rozporządzenia (WE) nr 1272/2008 dostawcy powinni mieć możliwość stosowania nowych, wprowadzonych w niniejszym rozporządzeniu przepisów dotyczących klasyfikacji, oznakowania i pakowania na zasadzie dobrowolności przed datą odroczonego rozpoczęcia stosowania tych przepisów.</w:t>
            </w:r>
          </w:p>
        </w:tc>
        <w:tc>
          <w:tcPr>
            <w:tcW w:w="4876" w:type="dxa"/>
            <w:tcBorders>
              <w:top w:val="nil"/>
              <w:left w:val="nil"/>
              <w:bottom w:val="nil"/>
              <w:right w:val="nil"/>
            </w:tcBorders>
            <w:hideMark/>
          </w:tcPr>
          <w:p w14:paraId="4D11E5E6" w14:textId="77777777" w:rsidR="002E6C09" w:rsidRPr="001E6F82" w:rsidRDefault="002E6C09" w:rsidP="00844FF8">
            <w:pPr>
              <w:pStyle w:val="Normal6a"/>
            </w:pPr>
            <w:r w:rsidRPr="001E6F82">
              <w:t>(14)</w:t>
            </w:r>
            <w:r w:rsidRPr="001E6F82">
              <w:tab/>
              <w:t>Zgodnie z przepisami przejściowymi rozporządzenia (WE) nr 1272/2008 dostawcy powinni mieć możliwość stosowania nowych, wprowadzonych w niniejszym rozporządzeniu przepisów dotyczących klasyfikacji, oznakowania i pakowania na zasadzie dobrowolności przed datą odroczonego rozpoczęcia stosowania tych przepisów</w:t>
            </w:r>
            <w:r w:rsidRPr="001E6F82">
              <w:rPr>
                <w:b/>
                <w:i/>
              </w:rPr>
              <w:t>, a organy krajowe powinny ich do tego zachęcać</w:t>
            </w:r>
            <w:r w:rsidRPr="001E6F82">
              <w:t>.</w:t>
            </w:r>
          </w:p>
        </w:tc>
      </w:tr>
    </w:tbl>
    <w:p w14:paraId="17C33398" w14:textId="77777777" w:rsidR="002E6C09" w:rsidRPr="001E6F82" w:rsidRDefault="002E6C09" w:rsidP="002E6C09"/>
    <w:p w14:paraId="369F1E8B" w14:textId="77777777" w:rsidR="002E6C09" w:rsidRPr="001E6F82" w:rsidRDefault="002E6C09" w:rsidP="002E6C09">
      <w:pPr>
        <w:pStyle w:val="AmNumberTabs"/>
      </w:pPr>
      <w:r w:rsidRPr="001E6F82">
        <w:t>Poprawka</w:t>
      </w:r>
      <w:r w:rsidRPr="001E6F82">
        <w:tab/>
      </w:r>
      <w:r w:rsidRPr="001E6F82">
        <w:tab/>
        <w:t>17</w:t>
      </w:r>
    </w:p>
    <w:p w14:paraId="1163898C" w14:textId="77777777" w:rsidR="002E6C09" w:rsidRPr="001E6F82" w:rsidRDefault="002E6C09" w:rsidP="002E6C09">
      <w:pPr>
        <w:pStyle w:val="NormalBold"/>
      </w:pPr>
      <w:r w:rsidRPr="001E6F82">
        <w:t>Wniosek dotyczący rozporządzenia</w:t>
      </w:r>
    </w:p>
    <w:p w14:paraId="32A08B8A" w14:textId="77777777" w:rsidR="002E6C09" w:rsidRPr="001E6F82" w:rsidRDefault="002E6C09" w:rsidP="002E6C09">
      <w:pPr>
        <w:pStyle w:val="NormalBold"/>
      </w:pPr>
      <w:r w:rsidRPr="001E6F82">
        <w:t>Motyw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8F73414" w14:textId="77777777" w:rsidTr="00844FF8">
        <w:trPr>
          <w:trHeight w:val="240"/>
          <w:jc w:val="center"/>
        </w:trPr>
        <w:tc>
          <w:tcPr>
            <w:tcW w:w="9752" w:type="dxa"/>
            <w:gridSpan w:val="2"/>
            <w:tcBorders>
              <w:top w:val="nil"/>
              <w:left w:val="nil"/>
              <w:bottom w:val="nil"/>
              <w:right w:val="nil"/>
            </w:tcBorders>
          </w:tcPr>
          <w:p w14:paraId="5415F224" w14:textId="77777777" w:rsidR="002E6C09" w:rsidRPr="001E6F82" w:rsidRDefault="002E6C09" w:rsidP="00844FF8"/>
        </w:tc>
      </w:tr>
      <w:tr w:rsidR="002E6C09" w:rsidRPr="001E6F82" w14:paraId="24144E8E" w14:textId="77777777" w:rsidTr="00844FF8">
        <w:trPr>
          <w:trHeight w:val="240"/>
          <w:jc w:val="center"/>
        </w:trPr>
        <w:tc>
          <w:tcPr>
            <w:tcW w:w="4876" w:type="dxa"/>
            <w:tcBorders>
              <w:top w:val="nil"/>
              <w:left w:val="nil"/>
              <w:bottom w:val="nil"/>
              <w:right w:val="nil"/>
            </w:tcBorders>
            <w:hideMark/>
          </w:tcPr>
          <w:p w14:paraId="6E95DDC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669CE19" w14:textId="77777777" w:rsidR="002E6C09" w:rsidRPr="001E6F82" w:rsidRDefault="002E6C09" w:rsidP="00844FF8">
            <w:pPr>
              <w:pStyle w:val="AmColumnHeading"/>
            </w:pPr>
            <w:r w:rsidRPr="001E6F82">
              <w:t>Poprawka</w:t>
            </w:r>
          </w:p>
        </w:tc>
      </w:tr>
      <w:tr w:rsidR="002E6C09" w:rsidRPr="001E6F82" w14:paraId="6CF86E9D" w14:textId="77777777" w:rsidTr="00844FF8">
        <w:trPr>
          <w:jc w:val="center"/>
        </w:trPr>
        <w:tc>
          <w:tcPr>
            <w:tcW w:w="4876" w:type="dxa"/>
            <w:tcBorders>
              <w:top w:val="nil"/>
              <w:left w:val="nil"/>
              <w:bottom w:val="nil"/>
              <w:right w:val="nil"/>
            </w:tcBorders>
            <w:hideMark/>
          </w:tcPr>
          <w:p w14:paraId="3A165D47" w14:textId="77777777" w:rsidR="002E6C09" w:rsidRPr="001E6F82" w:rsidRDefault="002E6C09" w:rsidP="00844FF8">
            <w:pPr>
              <w:pStyle w:val="Normal6a"/>
            </w:pPr>
            <w:r w:rsidRPr="001E6F82">
              <w:t>(17)</w:t>
            </w:r>
            <w:r w:rsidRPr="001E6F82">
              <w:tab/>
              <w:t xml:space="preserve">Warunki umożliwiające zwolnienie z zakazu stosowania takich substancji w produktach kosmetycznych należy uprościć, a ich zakres należy określić w sposób bardziej szczegółowy. Ponadto obowiązek spełnienia wymogów dotyczących bezpieczeństwa żywności nie odpowiada osiągnięciom postępu naukowo-technicznego, umożliwiającym opracowywanie nowych substancji do stosowania w produktach kosmetycznych, których nie stosuje się w żywności lub które w niej nie występują. Zgodność z wymogami dotyczącymi bezpieczeństwa żywności </w:t>
            </w:r>
            <w:r w:rsidRPr="001E6F82">
              <w:rPr>
                <w:b/>
                <w:i/>
              </w:rPr>
              <w:t>nie</w:t>
            </w:r>
            <w:r w:rsidRPr="001E6F82">
              <w:t xml:space="preserve"> zwiększa </w:t>
            </w:r>
            <w:r w:rsidRPr="001E6F82">
              <w:rPr>
                <w:b/>
                <w:i/>
              </w:rPr>
              <w:t>bezpieczeństwa</w:t>
            </w:r>
            <w:r w:rsidRPr="001E6F82">
              <w:t xml:space="preserve"> produktów kosmetycznych, ponieważ te kategorie produktów są z natury różne. </w:t>
            </w:r>
            <w:r w:rsidRPr="001E6F82">
              <w:lastRenderedPageBreak/>
              <w:t>Należy zatem znieść ten warunek.</w:t>
            </w:r>
          </w:p>
        </w:tc>
        <w:tc>
          <w:tcPr>
            <w:tcW w:w="4876" w:type="dxa"/>
            <w:tcBorders>
              <w:top w:val="nil"/>
              <w:left w:val="nil"/>
              <w:bottom w:val="nil"/>
              <w:right w:val="nil"/>
            </w:tcBorders>
            <w:hideMark/>
          </w:tcPr>
          <w:p w14:paraId="07052F68" w14:textId="77777777" w:rsidR="002E6C09" w:rsidRPr="001E6F82" w:rsidRDefault="002E6C09" w:rsidP="00844FF8">
            <w:pPr>
              <w:pStyle w:val="Normal6a"/>
            </w:pPr>
            <w:r w:rsidRPr="001E6F82">
              <w:lastRenderedPageBreak/>
              <w:t>(17)</w:t>
            </w:r>
            <w:r w:rsidRPr="001E6F82">
              <w:tab/>
              <w:t xml:space="preserve">Warunki umożliwiające zwolnienie z zakazu stosowania takich substancji w produktach kosmetycznych należy uprościć </w:t>
            </w:r>
            <w:r w:rsidRPr="001E6F82">
              <w:rPr>
                <w:b/>
                <w:i/>
              </w:rPr>
              <w:t>bez obniżania wysokiego poziomu zdrowia i bezpieczeństwa ludzi oraz ochrony konsumentów</w:t>
            </w:r>
            <w:r w:rsidRPr="001E6F82">
              <w:t xml:space="preserve">, a ich zakres należy określić w sposób bardziej szczegółowy. Ponadto obowiązek spełnienia wymogów dotyczących bezpieczeństwa żywności nie odpowiada osiągnięciom postępu naukowo-technicznego, umożliwiającym opracowywanie nowych substancji do stosowania w produktach kosmetycznych, których nie stosuje się w żywności lub które w niej nie występują. Zgodność z wymogami dotyczącymi bezpieczeństwa żywności </w:t>
            </w:r>
            <w:r w:rsidRPr="001E6F82">
              <w:rPr>
                <w:b/>
                <w:i/>
              </w:rPr>
              <w:t>niekoniecznie</w:t>
            </w:r>
            <w:r w:rsidRPr="001E6F82">
              <w:t xml:space="preserve"> zwiększa </w:t>
            </w:r>
            <w:r w:rsidRPr="001E6F82">
              <w:rPr>
                <w:b/>
                <w:i/>
              </w:rPr>
              <w:t>bezpieczeństwo</w:t>
            </w:r>
            <w:r w:rsidRPr="001E6F82">
              <w:t xml:space="preserve"> produktów </w:t>
            </w:r>
            <w:r w:rsidRPr="001E6F82">
              <w:lastRenderedPageBreak/>
              <w:t>kosmetycznych, ponieważ te kategorie produktów są z natury różne. Należy zatem znieść ten warunek.</w:t>
            </w:r>
          </w:p>
        </w:tc>
      </w:tr>
    </w:tbl>
    <w:p w14:paraId="11B861F7" w14:textId="77777777" w:rsidR="002E6C09" w:rsidRPr="001E6F82" w:rsidRDefault="002E6C09" w:rsidP="002E6C09"/>
    <w:p w14:paraId="69930DFB" w14:textId="77777777" w:rsidR="002E6C09" w:rsidRPr="001E6F82" w:rsidRDefault="002E6C09" w:rsidP="002E6C09">
      <w:pPr>
        <w:pStyle w:val="AmNumberTabs"/>
      </w:pPr>
      <w:r w:rsidRPr="001E6F82">
        <w:t>Poprawka</w:t>
      </w:r>
      <w:r w:rsidRPr="001E6F82">
        <w:tab/>
      </w:r>
      <w:r w:rsidRPr="001E6F82">
        <w:tab/>
        <w:t>18</w:t>
      </w:r>
    </w:p>
    <w:p w14:paraId="498C3A70" w14:textId="77777777" w:rsidR="002E6C09" w:rsidRPr="001E6F82" w:rsidRDefault="002E6C09" w:rsidP="002E6C09">
      <w:pPr>
        <w:pStyle w:val="NormalBold"/>
      </w:pPr>
      <w:r w:rsidRPr="001E6F82">
        <w:t>Wniosek dotyczący rozporządzenia</w:t>
      </w:r>
    </w:p>
    <w:p w14:paraId="23AAB5E1" w14:textId="77777777" w:rsidR="002E6C09" w:rsidRPr="001E6F82" w:rsidRDefault="002E6C09" w:rsidP="002E6C09">
      <w:pPr>
        <w:pStyle w:val="NormalBold"/>
      </w:pPr>
      <w:r w:rsidRPr="001E6F82">
        <w:t>Motyw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2D067E6" w14:textId="77777777" w:rsidTr="00844FF8">
        <w:trPr>
          <w:trHeight w:val="240"/>
          <w:jc w:val="center"/>
        </w:trPr>
        <w:tc>
          <w:tcPr>
            <w:tcW w:w="9752" w:type="dxa"/>
            <w:gridSpan w:val="2"/>
            <w:tcBorders>
              <w:top w:val="nil"/>
              <w:left w:val="nil"/>
              <w:bottom w:val="nil"/>
              <w:right w:val="nil"/>
            </w:tcBorders>
          </w:tcPr>
          <w:p w14:paraId="67102E63" w14:textId="77777777" w:rsidR="002E6C09" w:rsidRPr="001E6F82" w:rsidRDefault="002E6C09" w:rsidP="00844FF8"/>
        </w:tc>
      </w:tr>
      <w:tr w:rsidR="002E6C09" w:rsidRPr="001E6F82" w14:paraId="50F0AE0B" w14:textId="77777777" w:rsidTr="00844FF8">
        <w:trPr>
          <w:trHeight w:val="240"/>
          <w:jc w:val="center"/>
        </w:trPr>
        <w:tc>
          <w:tcPr>
            <w:tcW w:w="4876" w:type="dxa"/>
            <w:tcBorders>
              <w:top w:val="nil"/>
              <w:left w:val="nil"/>
              <w:bottom w:val="nil"/>
              <w:right w:val="nil"/>
            </w:tcBorders>
            <w:hideMark/>
          </w:tcPr>
          <w:p w14:paraId="402EDDE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10326B4" w14:textId="77777777" w:rsidR="002E6C09" w:rsidRPr="001E6F82" w:rsidRDefault="002E6C09" w:rsidP="00844FF8">
            <w:pPr>
              <w:pStyle w:val="AmColumnHeading"/>
            </w:pPr>
            <w:r w:rsidRPr="001E6F82">
              <w:t>Poprawka</w:t>
            </w:r>
          </w:p>
        </w:tc>
      </w:tr>
      <w:tr w:rsidR="002E6C09" w:rsidRPr="001E6F82" w14:paraId="44710C6D" w14:textId="77777777" w:rsidTr="00844FF8">
        <w:trPr>
          <w:jc w:val="center"/>
        </w:trPr>
        <w:tc>
          <w:tcPr>
            <w:tcW w:w="4876" w:type="dxa"/>
            <w:tcBorders>
              <w:top w:val="nil"/>
              <w:left w:val="nil"/>
              <w:bottom w:val="nil"/>
              <w:right w:val="nil"/>
            </w:tcBorders>
            <w:hideMark/>
          </w:tcPr>
          <w:p w14:paraId="3C51AFFE" w14:textId="77777777" w:rsidR="002E6C09" w:rsidRPr="001E6F82" w:rsidRDefault="002E6C09" w:rsidP="00844FF8">
            <w:pPr>
              <w:pStyle w:val="Normal6a"/>
            </w:pPr>
            <w:r w:rsidRPr="001E6F82">
              <w:t>(18)</w:t>
            </w:r>
            <w:r w:rsidRPr="001E6F82">
              <w:tab/>
              <w:t xml:space="preserve">Ponadto należy </w:t>
            </w:r>
            <w:r w:rsidRPr="001E6F82">
              <w:rPr>
                <w:b/>
                <w:i/>
              </w:rPr>
              <w:t>określić</w:t>
            </w:r>
            <w:r w:rsidRPr="001E6F82">
              <w:t xml:space="preserve"> elementy uwzględniane przy ocenie dostępności odpowiednich substancji alternatywnych. Należy wskazać w szczególności, że stosowanie substancji </w:t>
            </w:r>
            <w:r w:rsidRPr="001E6F82">
              <w:rPr>
                <w:b/>
                <w:i/>
              </w:rPr>
              <w:t>alternatywnych powinno skutkować zmniejszeniem ogólnego ryzyka</w:t>
            </w:r>
            <w:r w:rsidRPr="001E6F82">
              <w:t xml:space="preserve"> dla zdrowia ludzkiego </w:t>
            </w:r>
            <w:r w:rsidRPr="001E6F82">
              <w:rPr>
                <w:b/>
                <w:i/>
              </w:rPr>
              <w:t>i środowiska, a substancja</w:t>
            </w:r>
            <w:r w:rsidRPr="001E6F82">
              <w:t xml:space="preserve"> powinna pełnić równoważną </w:t>
            </w:r>
            <w:r w:rsidRPr="001E6F82">
              <w:rPr>
                <w:b/>
                <w:i/>
              </w:rPr>
              <w:t>lub podobną funkcję w produkcie kosmetycznym</w:t>
            </w:r>
            <w:r w:rsidRPr="001E6F82">
              <w:t xml:space="preserve"> i być dostępna na rynku w wystarczających ilościach</w:t>
            </w:r>
            <w:r w:rsidRPr="001E6F82">
              <w:rPr>
                <w:b/>
                <w:i/>
              </w:rPr>
              <w:t>, aby jej wykorzystywanie było technicznie wykonalne</w:t>
            </w:r>
            <w:r w:rsidRPr="001E6F82">
              <w:t xml:space="preserve"> i </w:t>
            </w:r>
            <w:r w:rsidRPr="001E6F82">
              <w:rPr>
                <w:b/>
                <w:i/>
              </w:rPr>
              <w:t>ekonomicznie opłacalne dla przedsiębiorstw, a zwłaszcza dla MŚP</w:t>
            </w:r>
            <w:r w:rsidRPr="001E6F82">
              <w:t>.</w:t>
            </w:r>
            <w:r w:rsidRPr="001E6F82">
              <w:rPr>
                <w:b/>
                <w:i/>
              </w:rPr>
              <w:t xml:space="preserve"> Ponadto dostęp do takiej substancji nie powinien być utrudniony w związku z istnieniem patentów lub ograniczeń dotyczących surowców. Należy również przewidzieć możliwość uwzględnienia aspektów ekonomicznych</w:t>
            </w:r>
            <w:r w:rsidRPr="001E6F82">
              <w:t xml:space="preserve">, </w:t>
            </w:r>
            <w:r w:rsidRPr="001E6F82">
              <w:rPr>
                <w:b/>
                <w:i/>
              </w:rPr>
              <w:t>takich</w:t>
            </w:r>
            <w:r w:rsidRPr="001E6F82">
              <w:t xml:space="preserve"> jak koszt sporządzenia nowych receptur i porównawczy udział w ogólnych kosztach produkcji, jako </w:t>
            </w:r>
            <w:r w:rsidRPr="001E6F82">
              <w:rPr>
                <w:b/>
                <w:i/>
              </w:rPr>
              <w:t>istotnych czynników</w:t>
            </w:r>
            <w:r w:rsidRPr="001E6F82">
              <w:t xml:space="preserve"> w analizie przydatności substancji alternatywnych.</w:t>
            </w:r>
          </w:p>
        </w:tc>
        <w:tc>
          <w:tcPr>
            <w:tcW w:w="4876" w:type="dxa"/>
            <w:tcBorders>
              <w:top w:val="nil"/>
              <w:left w:val="nil"/>
              <w:bottom w:val="nil"/>
              <w:right w:val="nil"/>
            </w:tcBorders>
            <w:hideMark/>
          </w:tcPr>
          <w:p w14:paraId="24D96E81" w14:textId="77777777" w:rsidR="002E6C09" w:rsidRPr="001E6F82" w:rsidRDefault="002E6C09" w:rsidP="00844FF8">
            <w:pPr>
              <w:pStyle w:val="Normal6a"/>
            </w:pPr>
            <w:r w:rsidRPr="001E6F82">
              <w:t>(18)</w:t>
            </w:r>
            <w:r w:rsidRPr="001E6F82">
              <w:tab/>
              <w:t xml:space="preserve">Ponadto należy </w:t>
            </w:r>
            <w:r w:rsidRPr="001E6F82">
              <w:rPr>
                <w:b/>
                <w:i/>
              </w:rPr>
              <w:t>uwypuklić</w:t>
            </w:r>
            <w:r w:rsidRPr="001E6F82">
              <w:t xml:space="preserve"> elementy uwzględniane przy ocenie dostępności odpowiednich substancji alternatywnych. Należy wskazać w szczególności, że stosowanie substancji </w:t>
            </w:r>
            <w:r w:rsidRPr="001E6F82">
              <w:rPr>
                <w:b/>
                <w:i/>
              </w:rPr>
              <w:t>alternatywnej, która zastępuje sklasyfikowaną substancję, jest bezpieczne</w:t>
            </w:r>
            <w:r w:rsidRPr="001E6F82">
              <w:t xml:space="preserve"> dla zdrowia ludzkiego</w:t>
            </w:r>
            <w:r w:rsidRPr="001E6F82">
              <w:rPr>
                <w:b/>
                <w:i/>
              </w:rPr>
              <w:t>. Substancja alternatywna</w:t>
            </w:r>
            <w:r w:rsidRPr="001E6F82">
              <w:t xml:space="preserve"> powinna pełnić równoważną </w:t>
            </w:r>
            <w:r w:rsidRPr="001E6F82">
              <w:rPr>
                <w:b/>
                <w:i/>
              </w:rPr>
              <w:t>funkcję i gwarantować porównywalny poziom skuteczności</w:t>
            </w:r>
            <w:r w:rsidRPr="001E6F82">
              <w:t xml:space="preserve"> i </w:t>
            </w:r>
            <w:r w:rsidRPr="001E6F82">
              <w:rPr>
                <w:b/>
                <w:i/>
              </w:rPr>
              <w:t>wydajności oraz powinna</w:t>
            </w:r>
            <w:r w:rsidRPr="001E6F82">
              <w:t xml:space="preserve"> być dostępna na rynku w wystarczających ilościach </w:t>
            </w:r>
            <w:r w:rsidRPr="001E6F82">
              <w:rPr>
                <w:b/>
                <w:i/>
              </w:rPr>
              <w:t>lub potencjalnie być dostępna w ilościach wystarczających do zaspokojenia bieżącego popytu</w:t>
            </w:r>
            <w:r w:rsidRPr="001E6F82">
              <w:t xml:space="preserve"> i </w:t>
            </w:r>
            <w:r w:rsidRPr="001E6F82">
              <w:rPr>
                <w:b/>
                <w:i/>
              </w:rPr>
              <w:t>być w stanie na podstawie wykazanych przesłanek zaspokoić oczekiwany popyt w rozsądnych ramach czasowych</w:t>
            </w:r>
            <w:r w:rsidRPr="001E6F82">
              <w:t>.</w:t>
            </w:r>
            <w:r w:rsidRPr="001E6F82">
              <w:rPr>
                <w:b/>
                <w:i/>
              </w:rPr>
              <w:t xml:space="preserve"> Jej stosowanie powinno być technicznie i ekonomicznie wykonalne dla przedsiębiorstw, a zwłaszcza dla MŚP, aby umożliwić stabilną produkcję</w:t>
            </w:r>
            <w:r w:rsidRPr="001E6F82">
              <w:t>.</w:t>
            </w:r>
            <w:r w:rsidRPr="001E6F82">
              <w:rPr>
                <w:b/>
                <w:i/>
              </w:rPr>
              <w:t xml:space="preserve"> Aby ocenić wykonalność ekonomiczną, można rozważyć aspekty ekonomiczne</w:t>
            </w:r>
            <w:r w:rsidRPr="001E6F82">
              <w:t xml:space="preserve">, </w:t>
            </w:r>
            <w:r w:rsidRPr="001E6F82">
              <w:rPr>
                <w:b/>
                <w:i/>
              </w:rPr>
              <w:t>takie</w:t>
            </w:r>
            <w:r w:rsidRPr="001E6F82">
              <w:t xml:space="preserve"> jak koszt sporządzenia nowych receptur i porównawczy udział w ogólnych kosztach produkcji, jako </w:t>
            </w:r>
            <w:r w:rsidRPr="001E6F82">
              <w:rPr>
                <w:b/>
                <w:i/>
              </w:rPr>
              <w:t>istotne czynniki</w:t>
            </w:r>
            <w:r w:rsidRPr="001E6F82">
              <w:t xml:space="preserve"> w analizie przydatności substancji alternatywnych.</w:t>
            </w:r>
          </w:p>
        </w:tc>
      </w:tr>
    </w:tbl>
    <w:p w14:paraId="3FF688F7" w14:textId="77777777" w:rsidR="002E6C09" w:rsidRPr="001E6F82" w:rsidRDefault="002E6C09" w:rsidP="002E6C09"/>
    <w:p w14:paraId="6FF13DA0" w14:textId="77777777" w:rsidR="002E6C09" w:rsidRPr="001E6F82" w:rsidRDefault="002E6C09" w:rsidP="002E6C09">
      <w:pPr>
        <w:pStyle w:val="AmNumberTabs"/>
      </w:pPr>
      <w:r w:rsidRPr="001E6F82">
        <w:t>Poprawka</w:t>
      </w:r>
      <w:r w:rsidRPr="001E6F82">
        <w:tab/>
      </w:r>
      <w:r w:rsidRPr="001E6F82">
        <w:tab/>
        <w:t>19</w:t>
      </w:r>
    </w:p>
    <w:p w14:paraId="14D6116C" w14:textId="77777777" w:rsidR="002E6C09" w:rsidRPr="001E6F82" w:rsidRDefault="002E6C09" w:rsidP="002E6C09">
      <w:pPr>
        <w:pStyle w:val="NormalBold"/>
      </w:pPr>
      <w:r w:rsidRPr="001E6F82">
        <w:t>Wniosek dotyczący rozporządzenia</w:t>
      </w:r>
    </w:p>
    <w:p w14:paraId="73671E18" w14:textId="77777777" w:rsidR="002E6C09" w:rsidRPr="001E6F82" w:rsidRDefault="002E6C09" w:rsidP="002E6C09">
      <w:pPr>
        <w:pStyle w:val="NormalBold"/>
      </w:pPr>
      <w:r w:rsidRPr="001E6F82">
        <w:t>Motyw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3F2ABEF" w14:textId="77777777" w:rsidTr="00844FF8">
        <w:trPr>
          <w:trHeight w:val="240"/>
          <w:jc w:val="center"/>
        </w:trPr>
        <w:tc>
          <w:tcPr>
            <w:tcW w:w="9752" w:type="dxa"/>
            <w:gridSpan w:val="2"/>
            <w:tcBorders>
              <w:top w:val="nil"/>
              <w:left w:val="nil"/>
              <w:bottom w:val="nil"/>
              <w:right w:val="nil"/>
            </w:tcBorders>
          </w:tcPr>
          <w:p w14:paraId="55FA71F5" w14:textId="77777777" w:rsidR="002E6C09" w:rsidRPr="001E6F82" w:rsidRDefault="002E6C09" w:rsidP="00844FF8"/>
        </w:tc>
      </w:tr>
      <w:tr w:rsidR="002E6C09" w:rsidRPr="001E6F82" w14:paraId="1A4DF6F1" w14:textId="77777777" w:rsidTr="00844FF8">
        <w:trPr>
          <w:trHeight w:val="240"/>
          <w:jc w:val="center"/>
        </w:trPr>
        <w:tc>
          <w:tcPr>
            <w:tcW w:w="4876" w:type="dxa"/>
            <w:tcBorders>
              <w:top w:val="nil"/>
              <w:left w:val="nil"/>
              <w:bottom w:val="nil"/>
              <w:right w:val="nil"/>
            </w:tcBorders>
            <w:hideMark/>
          </w:tcPr>
          <w:p w14:paraId="0FBAA0D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5B8B6EB" w14:textId="77777777" w:rsidR="002E6C09" w:rsidRPr="001E6F82" w:rsidRDefault="002E6C09" w:rsidP="00844FF8">
            <w:pPr>
              <w:pStyle w:val="AmColumnHeading"/>
            </w:pPr>
            <w:r w:rsidRPr="001E6F82">
              <w:t>Poprawka</w:t>
            </w:r>
          </w:p>
        </w:tc>
      </w:tr>
      <w:tr w:rsidR="002E6C09" w:rsidRPr="001E6F82" w14:paraId="33390F61" w14:textId="77777777" w:rsidTr="00844FF8">
        <w:trPr>
          <w:jc w:val="center"/>
        </w:trPr>
        <w:tc>
          <w:tcPr>
            <w:tcW w:w="4876" w:type="dxa"/>
            <w:tcBorders>
              <w:top w:val="nil"/>
              <w:left w:val="nil"/>
              <w:bottom w:val="nil"/>
              <w:right w:val="nil"/>
            </w:tcBorders>
            <w:hideMark/>
          </w:tcPr>
          <w:p w14:paraId="3C073D6A" w14:textId="77777777" w:rsidR="002E6C09" w:rsidRPr="001E6F82" w:rsidRDefault="002E6C09" w:rsidP="00844FF8">
            <w:pPr>
              <w:pStyle w:val="Normal6a"/>
            </w:pPr>
            <w:r w:rsidRPr="001E6F82">
              <w:t>(19)</w:t>
            </w:r>
            <w:r w:rsidRPr="001E6F82">
              <w:tab/>
              <w:t xml:space="preserve">Ponadto, aby usprawnić procedurę przyznawania odstępstw, warunek złożenia wniosku o odstępstwo dla określonego </w:t>
            </w:r>
            <w:r w:rsidRPr="001E6F82">
              <w:lastRenderedPageBreak/>
              <w:t>zastosowania w kategorii produktu o znanym poziomie narażenia należy uwzględnić w ramach kryterium oceny SCCS. Obecnie komitet naukowy ocenia już bezpieczeństwo substancji, biorąc pod uwagę jej właściwości stwarzające zagrożenie i narażenie (tj. konkretne zastosowanie w określonej kategorii produktu), w związku z czym odrębne kryterium jest zbędne.</w:t>
            </w:r>
          </w:p>
        </w:tc>
        <w:tc>
          <w:tcPr>
            <w:tcW w:w="4876" w:type="dxa"/>
            <w:tcBorders>
              <w:top w:val="nil"/>
              <w:left w:val="nil"/>
              <w:bottom w:val="nil"/>
              <w:right w:val="nil"/>
            </w:tcBorders>
            <w:hideMark/>
          </w:tcPr>
          <w:p w14:paraId="7CCBD861" w14:textId="77777777" w:rsidR="002E6C09" w:rsidRPr="001E6F82" w:rsidRDefault="002E6C09" w:rsidP="00844FF8">
            <w:pPr>
              <w:pStyle w:val="Normal6a"/>
            </w:pPr>
            <w:r w:rsidRPr="001E6F82">
              <w:rPr>
                <w:i/>
              </w:rPr>
              <w:lastRenderedPageBreak/>
              <w:t>(Nie dotyczy polskiej wersji językowej)</w:t>
            </w:r>
            <w:r w:rsidRPr="001E6F82">
              <w:tab/>
              <w:t xml:space="preserve">   </w:t>
            </w:r>
          </w:p>
        </w:tc>
      </w:tr>
    </w:tbl>
    <w:p w14:paraId="2F0FC5BF" w14:textId="77777777" w:rsidR="002E6C09" w:rsidRPr="001E6F82" w:rsidRDefault="002E6C09" w:rsidP="002E6C09"/>
    <w:p w14:paraId="0B21EB22" w14:textId="77777777" w:rsidR="002E6C09" w:rsidRPr="001E6F82" w:rsidRDefault="002E6C09" w:rsidP="002E6C09">
      <w:pPr>
        <w:pStyle w:val="AmNumberTabs"/>
      </w:pPr>
      <w:r w:rsidRPr="001E6F82">
        <w:t>Poprawka</w:t>
      </w:r>
      <w:r w:rsidRPr="001E6F82">
        <w:tab/>
      </w:r>
      <w:r w:rsidRPr="001E6F82">
        <w:tab/>
        <w:t>20</w:t>
      </w:r>
    </w:p>
    <w:p w14:paraId="2F463A6A" w14:textId="77777777" w:rsidR="002E6C09" w:rsidRPr="001E6F82" w:rsidRDefault="002E6C09" w:rsidP="002E6C09">
      <w:pPr>
        <w:pStyle w:val="NormalBold"/>
      </w:pPr>
      <w:r w:rsidRPr="001E6F82">
        <w:t>Wniosek dotyczący rozporządzenia</w:t>
      </w:r>
    </w:p>
    <w:p w14:paraId="343BBDCA" w14:textId="77777777" w:rsidR="002E6C09" w:rsidRPr="001E6F82" w:rsidRDefault="002E6C09" w:rsidP="002E6C09">
      <w:pPr>
        <w:pStyle w:val="NormalBold"/>
      </w:pPr>
      <w:r w:rsidRPr="001E6F82">
        <w:t>Motyw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EBEDBEA" w14:textId="77777777" w:rsidTr="00844FF8">
        <w:trPr>
          <w:trHeight w:val="240"/>
          <w:jc w:val="center"/>
        </w:trPr>
        <w:tc>
          <w:tcPr>
            <w:tcW w:w="9752" w:type="dxa"/>
            <w:gridSpan w:val="2"/>
            <w:tcBorders>
              <w:top w:val="nil"/>
              <w:left w:val="nil"/>
              <w:bottom w:val="nil"/>
              <w:right w:val="nil"/>
            </w:tcBorders>
          </w:tcPr>
          <w:p w14:paraId="72ECBA95" w14:textId="77777777" w:rsidR="002E6C09" w:rsidRPr="001E6F82" w:rsidRDefault="002E6C09" w:rsidP="00844FF8"/>
        </w:tc>
      </w:tr>
      <w:tr w:rsidR="002E6C09" w:rsidRPr="001E6F82" w14:paraId="7D7C7705" w14:textId="77777777" w:rsidTr="00844FF8">
        <w:trPr>
          <w:trHeight w:val="240"/>
          <w:jc w:val="center"/>
        </w:trPr>
        <w:tc>
          <w:tcPr>
            <w:tcW w:w="4876" w:type="dxa"/>
            <w:tcBorders>
              <w:top w:val="nil"/>
              <w:left w:val="nil"/>
              <w:bottom w:val="nil"/>
              <w:right w:val="nil"/>
            </w:tcBorders>
            <w:hideMark/>
          </w:tcPr>
          <w:p w14:paraId="7B078E86"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BF3A7E2" w14:textId="77777777" w:rsidR="002E6C09" w:rsidRPr="001E6F82" w:rsidRDefault="002E6C09" w:rsidP="00844FF8">
            <w:pPr>
              <w:pStyle w:val="AmColumnHeading"/>
            </w:pPr>
            <w:r w:rsidRPr="001E6F82">
              <w:t>Poprawka</w:t>
            </w:r>
          </w:p>
        </w:tc>
      </w:tr>
      <w:tr w:rsidR="002E6C09" w:rsidRPr="001E6F82" w14:paraId="31B7B269" w14:textId="77777777" w:rsidTr="00844FF8">
        <w:trPr>
          <w:jc w:val="center"/>
        </w:trPr>
        <w:tc>
          <w:tcPr>
            <w:tcW w:w="4876" w:type="dxa"/>
            <w:tcBorders>
              <w:top w:val="nil"/>
              <w:left w:val="nil"/>
              <w:bottom w:val="nil"/>
              <w:right w:val="nil"/>
            </w:tcBorders>
            <w:hideMark/>
          </w:tcPr>
          <w:p w14:paraId="2AEEE6A4" w14:textId="77777777" w:rsidR="002E6C09" w:rsidRPr="001E6F82" w:rsidRDefault="002E6C09" w:rsidP="00844FF8">
            <w:pPr>
              <w:pStyle w:val="Normal6a"/>
            </w:pPr>
            <w:r w:rsidRPr="001E6F82">
              <w:t>(21)</w:t>
            </w:r>
            <w:r w:rsidRPr="001E6F82">
              <w:tab/>
              <w:t xml:space="preserve">Często </w:t>
            </w:r>
            <w:r w:rsidRPr="001E6F82">
              <w:rPr>
                <w:b/>
                <w:i/>
              </w:rPr>
              <w:t>substancja może być również składnikiem naturalnych substancji złożonych</w:t>
            </w:r>
            <w:r w:rsidRPr="001E6F82">
              <w:t xml:space="preserve">, </w:t>
            </w:r>
            <w:r w:rsidRPr="001E6F82">
              <w:rPr>
                <w:b/>
                <w:i/>
              </w:rPr>
              <w:t>na przykład olejków eterycznych</w:t>
            </w:r>
            <w:r w:rsidRPr="001E6F82">
              <w:t>.</w:t>
            </w:r>
            <w:r w:rsidRPr="001E6F82">
              <w:rPr>
                <w:b/>
                <w:i/>
              </w:rPr>
              <w:t xml:space="preserve"> </w:t>
            </w:r>
            <w:r w:rsidRPr="001E6F82">
              <w:t xml:space="preserve">W takich </w:t>
            </w:r>
            <w:r w:rsidRPr="001E6F82">
              <w:rPr>
                <w:b/>
                <w:i/>
              </w:rPr>
              <w:t>przypadkach</w:t>
            </w:r>
            <w:r w:rsidRPr="001E6F82">
              <w:t xml:space="preserve"> zakaz stosowania w produktach kosmetycznych na podstawie art. 15 rozporządzenia (WE) nr 1223/2009 ma zastosowanie wyłącznie do substancji wymienionej w części 3 załącznika VI do rozporządzenia (WE) nr 1272/2008. </w:t>
            </w:r>
            <w:r w:rsidRPr="001E6F82">
              <w:rPr>
                <w:b/>
                <w:i/>
              </w:rPr>
              <w:t>Oznacza to, że</w:t>
            </w:r>
            <w:r w:rsidRPr="001E6F82">
              <w:t xml:space="preserve"> naturalne substancje złożone, które zawierają składnik sklasyfikowany jako CMR, nie podlegają zakazowi, z wyjątkiem sytuacji, gdy sama taka naturalna złożona substancja jest </w:t>
            </w:r>
            <w:r w:rsidRPr="001E6F82">
              <w:rPr>
                <w:b/>
                <w:i/>
              </w:rPr>
              <w:t>wymieniona</w:t>
            </w:r>
            <w:r w:rsidRPr="001E6F82">
              <w:t xml:space="preserve"> jako substancja CMR kategorii 1A, 1B lub 2 w części 3 załącznika VI do rozporządzenia (WE) nr 1272/2008. Niemniej jednak, ponieważ zharmonizowana klasyfikacja składnika </w:t>
            </w:r>
            <w:r w:rsidRPr="001E6F82">
              <w:rPr>
                <w:b/>
                <w:i/>
              </w:rPr>
              <w:t>może budzić</w:t>
            </w:r>
            <w:r w:rsidRPr="001E6F82">
              <w:t xml:space="preserve"> obawy co do bezpieczeństwa naturalnych substancji złożonych stosowanych w produktach kosmetycznych, Komisja powinna upoważnić SCCS do przeprowadzenia oceny </w:t>
            </w:r>
            <w:r w:rsidRPr="001E6F82">
              <w:rPr>
                <w:b/>
                <w:i/>
              </w:rPr>
              <w:t>wpływu takiego składnika na bezpieczeństwo naturalnych</w:t>
            </w:r>
            <w:r w:rsidRPr="001E6F82">
              <w:t xml:space="preserve"> substancji </w:t>
            </w:r>
            <w:r w:rsidRPr="001E6F82">
              <w:rPr>
                <w:b/>
                <w:i/>
              </w:rPr>
              <w:t>złożonych</w:t>
            </w:r>
            <w:r w:rsidRPr="001E6F82">
              <w:t xml:space="preserve">, </w:t>
            </w:r>
            <w:r w:rsidRPr="001E6F82">
              <w:rPr>
                <w:b/>
                <w:i/>
              </w:rPr>
              <w:t>jeżeli wystąpią obawy co do ich bezpieczeństwa</w:t>
            </w:r>
            <w:r w:rsidRPr="001E6F82">
              <w:t xml:space="preserve">, </w:t>
            </w:r>
            <w:r w:rsidRPr="001E6F82">
              <w:rPr>
                <w:b/>
                <w:i/>
              </w:rPr>
              <w:t>oraz</w:t>
            </w:r>
            <w:r w:rsidRPr="001E6F82">
              <w:t xml:space="preserve"> podjąć </w:t>
            </w:r>
            <w:r w:rsidRPr="001E6F82">
              <w:rPr>
                <w:b/>
                <w:i/>
              </w:rPr>
              <w:t>działania następcze w związku z odpowiednimi środkami regulacyjnymi</w:t>
            </w:r>
            <w:r w:rsidRPr="001E6F82">
              <w:t xml:space="preserve"> zgodnie z art. 31 ust. 1 rozporządzenia (WE) nr 1223/2009.</w:t>
            </w:r>
          </w:p>
        </w:tc>
        <w:tc>
          <w:tcPr>
            <w:tcW w:w="4876" w:type="dxa"/>
            <w:tcBorders>
              <w:top w:val="nil"/>
              <w:left w:val="nil"/>
              <w:bottom w:val="nil"/>
              <w:right w:val="nil"/>
            </w:tcBorders>
            <w:hideMark/>
          </w:tcPr>
          <w:p w14:paraId="2A12E3BE" w14:textId="77777777" w:rsidR="002E6C09" w:rsidRPr="001E6F82" w:rsidRDefault="002E6C09" w:rsidP="00844FF8">
            <w:pPr>
              <w:pStyle w:val="Normal6a"/>
            </w:pPr>
            <w:r w:rsidRPr="001E6F82">
              <w:t>(21)</w:t>
            </w:r>
            <w:r w:rsidRPr="001E6F82">
              <w:tab/>
            </w:r>
            <w:r w:rsidRPr="001E6F82">
              <w:rPr>
                <w:b/>
                <w:i/>
              </w:rPr>
              <w:t>Substancje wyekstrahowane z roślin lub części roślin i zawierające więcej niż jeden składnik, które są substancjami niemodyfikowanymi chemicznie zdefiniowanymi w art. 3 pkt 40 rozporządzenia (WE) nr 1907/2006,</w:t>
            </w:r>
            <w:r w:rsidRPr="001E6F82">
              <w:t xml:space="preserve"> często </w:t>
            </w:r>
            <w:r w:rsidRPr="001E6F82">
              <w:rPr>
                <w:b/>
                <w:i/>
              </w:rPr>
              <w:t>określa się jako naturalne substancje złożone. Mogą one zawierać jeden lub więcej składników sklasyfikowanych jako substancje CMR, chociaż ogólna naturalna substancja złożona nie jest sklasyfikowana jako substancja CMR. W przypadku takich substancji należy zapewnić wysoki poziom ochrony konsumentów, który powinien opierać się na wiedzy naukowej i rzeczywistych warunkach narażenia wynikających z ich stosowania w produktach kosmetycznych.</w:t>
            </w:r>
            <w:r w:rsidRPr="001E6F82">
              <w:t xml:space="preserve"> Zakaz stosowania w produktach kosmetycznych na podstawie art. 15 rozporządzenia (WE) nr 1223/2009 ma zastosowanie wyłącznie do substancji wymienionej w części 3 załącznika VI do rozporządzenia (WE) nr 1272/2008. Naturalne substancje złożone, które zawierają składnik sklasyfikowany jako CMR, nie podlegają zakazowi, z wyjątkiem sytuacji, gdy sama taka naturalna złożona substancja jest </w:t>
            </w:r>
            <w:r w:rsidRPr="001E6F82">
              <w:rPr>
                <w:b/>
                <w:i/>
              </w:rPr>
              <w:t>sklasyfikowana</w:t>
            </w:r>
            <w:r w:rsidRPr="001E6F82">
              <w:t xml:space="preserve"> jako substancja CMR kategorii 1A, 1B lub 2 w części 3 załącznika VI do rozporządzenia (WE) nr </w:t>
            </w:r>
            <w:r w:rsidRPr="001E6F82">
              <w:lastRenderedPageBreak/>
              <w:t xml:space="preserve">1272/2008. Niemniej jednak, ponieważ zharmonizowana klasyfikacja składnika </w:t>
            </w:r>
            <w:r w:rsidRPr="001E6F82">
              <w:rPr>
                <w:b/>
                <w:i/>
              </w:rPr>
              <w:t>budzi</w:t>
            </w:r>
            <w:r w:rsidRPr="001E6F82">
              <w:t xml:space="preserve"> obawy co do </w:t>
            </w:r>
            <w:r w:rsidRPr="001E6F82">
              <w:rPr>
                <w:b/>
                <w:i/>
              </w:rPr>
              <w:t>stosowania i</w:t>
            </w:r>
            <w:r w:rsidRPr="001E6F82">
              <w:t xml:space="preserve"> bezpieczeństwa naturalnych substancji złożonych stosowanych w produktach kosmetycznych, Komisja powinna </w:t>
            </w:r>
            <w:r w:rsidRPr="001E6F82">
              <w:rPr>
                <w:b/>
                <w:i/>
              </w:rPr>
              <w:t>niezwłocznie</w:t>
            </w:r>
            <w:r w:rsidRPr="001E6F82">
              <w:t xml:space="preserve"> upoważnić SCCS do przeprowadzenia oceny </w:t>
            </w:r>
            <w:r w:rsidRPr="001E6F82">
              <w:rPr>
                <w:b/>
                <w:i/>
              </w:rPr>
              <w:t>bezpieczeństwa takich</w:t>
            </w:r>
            <w:r w:rsidRPr="001E6F82">
              <w:t xml:space="preserve"> substancji </w:t>
            </w:r>
            <w:proofErr w:type="gramStart"/>
            <w:r w:rsidRPr="001E6F82">
              <w:rPr>
                <w:b/>
                <w:i/>
              </w:rPr>
              <w:t>oraz</w:t>
            </w:r>
            <w:r w:rsidRPr="001E6F82">
              <w:t>,</w:t>
            </w:r>
            <w:proofErr w:type="gramEnd"/>
            <w:r w:rsidRPr="001E6F82">
              <w:t xml:space="preserve"> </w:t>
            </w:r>
            <w:r w:rsidRPr="001E6F82">
              <w:rPr>
                <w:b/>
                <w:i/>
              </w:rPr>
              <w:t>w razie potrzeby</w:t>
            </w:r>
            <w:r w:rsidRPr="001E6F82">
              <w:t xml:space="preserve">, podjąć </w:t>
            </w:r>
            <w:r w:rsidRPr="001E6F82">
              <w:rPr>
                <w:b/>
                <w:i/>
              </w:rPr>
              <w:t>odpowiednie działania regulacyjne</w:t>
            </w:r>
            <w:r w:rsidRPr="001E6F82">
              <w:t xml:space="preserve"> zgodnie z art. 31 ust. 1 rozporządzenia (WE) nr 1223/2009. </w:t>
            </w:r>
            <w:r w:rsidRPr="001E6F82">
              <w:rPr>
                <w:b/>
                <w:i/>
              </w:rPr>
              <w:t>Ocena SCCS powinna być przeprowadzana terminowo, aby zapewnić przemysłowi przewidywalność.</w:t>
            </w:r>
          </w:p>
        </w:tc>
      </w:tr>
    </w:tbl>
    <w:p w14:paraId="6F443D6F" w14:textId="77777777" w:rsidR="002E6C09" w:rsidRPr="001E6F82" w:rsidRDefault="002E6C09" w:rsidP="002E6C09"/>
    <w:p w14:paraId="27F5BC9E" w14:textId="77777777" w:rsidR="002E6C09" w:rsidRPr="001E6F82" w:rsidRDefault="002E6C09" w:rsidP="002E6C09">
      <w:pPr>
        <w:pStyle w:val="AmNumberTabs"/>
      </w:pPr>
      <w:r w:rsidRPr="001E6F82">
        <w:t>Poprawka</w:t>
      </w:r>
      <w:r w:rsidRPr="001E6F82">
        <w:tab/>
      </w:r>
      <w:r w:rsidRPr="001E6F82">
        <w:tab/>
        <w:t>21</w:t>
      </w:r>
    </w:p>
    <w:p w14:paraId="1951C574" w14:textId="77777777" w:rsidR="002E6C09" w:rsidRPr="001E6F82" w:rsidRDefault="002E6C09" w:rsidP="002E6C09">
      <w:pPr>
        <w:pStyle w:val="NormalBold"/>
      </w:pPr>
      <w:r w:rsidRPr="001E6F82">
        <w:t>Wniosek dotyczący rozporządzenia</w:t>
      </w:r>
    </w:p>
    <w:p w14:paraId="7110B4A0" w14:textId="77777777" w:rsidR="002E6C09" w:rsidRPr="001E6F82" w:rsidRDefault="002E6C09" w:rsidP="002E6C09">
      <w:pPr>
        <w:pStyle w:val="NormalBold"/>
      </w:pPr>
      <w:r w:rsidRPr="001E6F82">
        <w:t>Motyw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A3B5E8E" w14:textId="77777777" w:rsidTr="00844FF8">
        <w:trPr>
          <w:trHeight w:val="240"/>
          <w:jc w:val="center"/>
        </w:trPr>
        <w:tc>
          <w:tcPr>
            <w:tcW w:w="9752" w:type="dxa"/>
            <w:gridSpan w:val="2"/>
            <w:tcBorders>
              <w:top w:val="nil"/>
              <w:left w:val="nil"/>
              <w:bottom w:val="nil"/>
              <w:right w:val="nil"/>
            </w:tcBorders>
          </w:tcPr>
          <w:p w14:paraId="28EE54E3" w14:textId="77777777" w:rsidR="002E6C09" w:rsidRPr="001E6F82" w:rsidRDefault="002E6C09" w:rsidP="00844FF8"/>
        </w:tc>
      </w:tr>
      <w:tr w:rsidR="002E6C09" w:rsidRPr="001E6F82" w14:paraId="07856CFD" w14:textId="77777777" w:rsidTr="00844FF8">
        <w:trPr>
          <w:trHeight w:val="240"/>
          <w:jc w:val="center"/>
        </w:trPr>
        <w:tc>
          <w:tcPr>
            <w:tcW w:w="4876" w:type="dxa"/>
            <w:tcBorders>
              <w:top w:val="nil"/>
              <w:left w:val="nil"/>
              <w:bottom w:val="nil"/>
              <w:right w:val="nil"/>
            </w:tcBorders>
            <w:hideMark/>
          </w:tcPr>
          <w:p w14:paraId="32A7627A"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A79A395" w14:textId="77777777" w:rsidR="002E6C09" w:rsidRPr="001E6F82" w:rsidRDefault="002E6C09" w:rsidP="00844FF8">
            <w:pPr>
              <w:pStyle w:val="AmColumnHeading"/>
            </w:pPr>
            <w:r w:rsidRPr="001E6F82">
              <w:t>Poprawka</w:t>
            </w:r>
          </w:p>
        </w:tc>
      </w:tr>
      <w:tr w:rsidR="002E6C09" w:rsidRPr="001E6F82" w14:paraId="6BF77A23" w14:textId="77777777" w:rsidTr="00844FF8">
        <w:trPr>
          <w:jc w:val="center"/>
        </w:trPr>
        <w:tc>
          <w:tcPr>
            <w:tcW w:w="4876" w:type="dxa"/>
            <w:tcBorders>
              <w:top w:val="nil"/>
              <w:left w:val="nil"/>
              <w:bottom w:val="nil"/>
              <w:right w:val="nil"/>
            </w:tcBorders>
            <w:hideMark/>
          </w:tcPr>
          <w:p w14:paraId="24B2E1EE" w14:textId="77777777" w:rsidR="002E6C09" w:rsidRPr="001E6F82" w:rsidRDefault="002E6C09" w:rsidP="00844FF8">
            <w:pPr>
              <w:pStyle w:val="Normal6a"/>
            </w:pPr>
            <w:r w:rsidRPr="001E6F82">
              <w:t>(22)</w:t>
            </w:r>
            <w:r w:rsidRPr="001E6F82">
              <w:tab/>
              <w:t xml:space="preserve">W </w:t>
            </w:r>
            <w:proofErr w:type="gramStart"/>
            <w:r w:rsidRPr="001E6F82">
              <w:t>przypadku</w:t>
            </w:r>
            <w:proofErr w:type="gramEnd"/>
            <w:r w:rsidRPr="001E6F82">
              <w:t xml:space="preserve"> gdy stosowanie substancji w produktach kosmetycznych jest zakazane lub ograniczone, producentom, importerom, dystrybutorom i osobom odpowiedzialnym należy zapewnić odpowiedni czas na podjęcie niezbędnych działań w celu przeprojektowania etykiety </w:t>
            </w:r>
            <w:r w:rsidRPr="001E6F82">
              <w:rPr>
                <w:b/>
                <w:i/>
              </w:rPr>
              <w:t>i</w:t>
            </w:r>
            <w:r w:rsidRPr="001E6F82">
              <w:t xml:space="preserve"> ponownego </w:t>
            </w:r>
            <w:r w:rsidRPr="001E6F82">
              <w:rPr>
                <w:b/>
                <w:i/>
              </w:rPr>
              <w:t>oznakowania</w:t>
            </w:r>
            <w:r w:rsidRPr="001E6F82">
              <w:t xml:space="preserve"> swoich produktów, a także wycofania z dystrybucji i zniszczenia niesprzedanych produktów niespełniających nowych wymogów. </w:t>
            </w:r>
            <w:r w:rsidRPr="001E6F82">
              <w:rPr>
                <w:b/>
                <w:i/>
              </w:rPr>
              <w:t>W związku z tym</w:t>
            </w:r>
            <w:r w:rsidRPr="001E6F82">
              <w:t xml:space="preserve"> należy przewidzieć </w:t>
            </w:r>
            <w:r w:rsidRPr="001E6F82">
              <w:rPr>
                <w:b/>
                <w:i/>
              </w:rPr>
              <w:t>terminy 12</w:t>
            </w:r>
            <w:r w:rsidRPr="001E6F82">
              <w:t xml:space="preserve"> miesięcy w odniesieniu do wprowadzenia do obrotu i </w:t>
            </w:r>
            <w:r w:rsidRPr="001E6F82">
              <w:rPr>
                <w:b/>
                <w:i/>
              </w:rPr>
              <w:t>24</w:t>
            </w:r>
            <w:r w:rsidRPr="001E6F82">
              <w:t xml:space="preserve"> miesięcy w odniesieniu do udostępnienia na rynku produktów kosmetycznych zawierających daną substancję po wejściu w życie odpowiednich zmian do rozporządzenia (WE) nr 1223/2009.</w:t>
            </w:r>
          </w:p>
        </w:tc>
        <w:tc>
          <w:tcPr>
            <w:tcW w:w="4876" w:type="dxa"/>
            <w:tcBorders>
              <w:top w:val="nil"/>
              <w:left w:val="nil"/>
              <w:bottom w:val="nil"/>
              <w:right w:val="nil"/>
            </w:tcBorders>
            <w:hideMark/>
          </w:tcPr>
          <w:p w14:paraId="7D922DE4" w14:textId="77777777" w:rsidR="002E6C09" w:rsidRPr="001E6F82" w:rsidRDefault="002E6C09" w:rsidP="00844FF8">
            <w:pPr>
              <w:pStyle w:val="Normal6a"/>
            </w:pPr>
            <w:r w:rsidRPr="001E6F82">
              <w:t>(22)</w:t>
            </w:r>
            <w:r w:rsidRPr="001E6F82">
              <w:tab/>
              <w:t xml:space="preserve">W </w:t>
            </w:r>
            <w:proofErr w:type="gramStart"/>
            <w:r w:rsidRPr="001E6F82">
              <w:t>przypadku</w:t>
            </w:r>
            <w:proofErr w:type="gramEnd"/>
            <w:r w:rsidRPr="001E6F82">
              <w:t xml:space="preserve"> gdy stosowanie substancji w produktach kosmetycznych jest zakazane lub ograniczone, producentom, importerom, dystrybutorom i osobom odpowiedzialnym należy zapewnić odpowiedni czas na podjęcie niezbędnych działań w celu przeprojektowania </w:t>
            </w:r>
            <w:r w:rsidRPr="001E6F82">
              <w:rPr>
                <w:b/>
                <w:i/>
              </w:rPr>
              <w:t>i przetestowania</w:t>
            </w:r>
            <w:r w:rsidRPr="001E6F82">
              <w:t xml:space="preserve"> etykiety </w:t>
            </w:r>
            <w:r w:rsidRPr="001E6F82">
              <w:rPr>
                <w:b/>
                <w:i/>
              </w:rPr>
              <w:t>oraz</w:t>
            </w:r>
            <w:r w:rsidRPr="001E6F82">
              <w:t xml:space="preserve"> ponownego </w:t>
            </w:r>
            <w:r w:rsidRPr="001E6F82">
              <w:rPr>
                <w:b/>
                <w:i/>
              </w:rPr>
              <w:t>opatrzenia etykietą</w:t>
            </w:r>
            <w:r w:rsidRPr="001E6F82">
              <w:t xml:space="preserve"> swoich produktów, a także wycofania z dystrybucji i zniszczenia niesprzedanych produktów niespełniających nowych wymogów. </w:t>
            </w:r>
            <w:r w:rsidRPr="001E6F82">
              <w:rPr>
                <w:b/>
                <w:i/>
              </w:rPr>
              <w:t>Odpowiednio, jeżeli nie wpłynie wniosek o odstępstwo,</w:t>
            </w:r>
            <w:r w:rsidRPr="001E6F82">
              <w:t xml:space="preserve"> należy przewidzieć </w:t>
            </w:r>
            <w:r w:rsidRPr="001E6F82">
              <w:rPr>
                <w:b/>
                <w:i/>
              </w:rPr>
              <w:t>termin 6</w:t>
            </w:r>
            <w:r w:rsidRPr="001E6F82">
              <w:t xml:space="preserve"> miesięcy w odniesieniu do wprowadzenia do obrotu i </w:t>
            </w:r>
            <w:r w:rsidRPr="001E6F82">
              <w:rPr>
                <w:b/>
                <w:i/>
              </w:rPr>
              <w:t>termin 15</w:t>
            </w:r>
            <w:r w:rsidRPr="001E6F82">
              <w:t xml:space="preserve"> miesięcy w odniesieniu do udostępnienia na rynku produktów kosmetycznych zawierających daną substancję po wejściu w życie odpowiednich zmian do rozporządzenia (WE) nr 1223/2009. </w:t>
            </w:r>
            <w:r w:rsidRPr="001E6F82">
              <w:rPr>
                <w:b/>
                <w:i/>
              </w:rPr>
              <w:t xml:space="preserve">Jeżeli wpłynie wniosek o odstępstwo i SCCS stwierdzi, że substancja nie jest bezpieczna, terminy te należy skrócić do 3 miesięcy na wprowadzenie do obrotu i do 12 miesięcy na udostępnienie na rynku. Jeżeli wpłynie wniosek o odstępstwo i SCCS stwierdzi, że </w:t>
            </w:r>
            <w:r w:rsidRPr="001E6F82">
              <w:rPr>
                <w:b/>
                <w:i/>
              </w:rPr>
              <w:lastRenderedPageBreak/>
              <w:t xml:space="preserve">substancja jest bezpieczna, lecz wniosek zostanie odrzucony ze względu na dostępność odpowiednich substancji alternatywnych, terminy te należy przedłużyć do 24 miesięcy na wprowadzenie do obrotu i do 48 miesięcy na udostępnienie na rynku, pod </w:t>
            </w:r>
            <w:proofErr w:type="gramStart"/>
            <w:r w:rsidRPr="001E6F82">
              <w:rPr>
                <w:b/>
                <w:i/>
              </w:rPr>
              <w:t>warunkiem</w:t>
            </w:r>
            <w:proofErr w:type="gramEnd"/>
            <w:r w:rsidRPr="001E6F82">
              <w:rPr>
                <w:b/>
                <w:i/>
              </w:rPr>
              <w:t xml:space="preserve"> że przez cały czas dostępny będzie aktualny raport bezpieczeństwa produktu kosmetycznego (CPSR).</w:t>
            </w:r>
          </w:p>
        </w:tc>
      </w:tr>
    </w:tbl>
    <w:p w14:paraId="101589BA" w14:textId="77777777" w:rsidR="002E6C09" w:rsidRPr="001E6F82" w:rsidRDefault="002E6C09" w:rsidP="002E6C09"/>
    <w:p w14:paraId="25516589" w14:textId="77777777" w:rsidR="002E6C09" w:rsidRPr="001E6F82" w:rsidRDefault="002E6C09" w:rsidP="002E6C09">
      <w:pPr>
        <w:pStyle w:val="AmNumberTabs"/>
      </w:pPr>
      <w:r w:rsidRPr="001E6F82">
        <w:t>Poprawka</w:t>
      </w:r>
      <w:r w:rsidRPr="001E6F82">
        <w:tab/>
      </w:r>
      <w:r w:rsidRPr="001E6F82">
        <w:tab/>
        <w:t>22</w:t>
      </w:r>
    </w:p>
    <w:p w14:paraId="3EB0FEC1" w14:textId="77777777" w:rsidR="002E6C09" w:rsidRPr="001E6F82" w:rsidRDefault="002E6C09" w:rsidP="002E6C09">
      <w:pPr>
        <w:pStyle w:val="NormalBold"/>
      </w:pPr>
      <w:r w:rsidRPr="001E6F82">
        <w:t>Wniosek dotyczący rozporządzenia</w:t>
      </w:r>
    </w:p>
    <w:p w14:paraId="2729FE9E" w14:textId="77777777" w:rsidR="002E6C09" w:rsidRPr="001E6F82" w:rsidRDefault="002E6C09" w:rsidP="002E6C09">
      <w:pPr>
        <w:pStyle w:val="NormalBold"/>
      </w:pPr>
      <w:r w:rsidRPr="001E6F82">
        <w:t>Motyw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2C172EB" w14:textId="77777777" w:rsidTr="00844FF8">
        <w:trPr>
          <w:trHeight w:val="240"/>
          <w:jc w:val="center"/>
        </w:trPr>
        <w:tc>
          <w:tcPr>
            <w:tcW w:w="9752" w:type="dxa"/>
            <w:gridSpan w:val="2"/>
            <w:tcBorders>
              <w:top w:val="nil"/>
              <w:left w:val="nil"/>
              <w:bottom w:val="nil"/>
              <w:right w:val="nil"/>
            </w:tcBorders>
          </w:tcPr>
          <w:p w14:paraId="1119B856" w14:textId="77777777" w:rsidR="002E6C09" w:rsidRPr="001E6F82" w:rsidRDefault="002E6C09" w:rsidP="00844FF8"/>
        </w:tc>
      </w:tr>
      <w:tr w:rsidR="002E6C09" w:rsidRPr="001E6F82" w14:paraId="3CCDB0A0" w14:textId="77777777" w:rsidTr="00844FF8">
        <w:trPr>
          <w:trHeight w:val="240"/>
          <w:jc w:val="center"/>
        </w:trPr>
        <w:tc>
          <w:tcPr>
            <w:tcW w:w="4876" w:type="dxa"/>
            <w:tcBorders>
              <w:top w:val="nil"/>
              <w:left w:val="nil"/>
              <w:bottom w:val="nil"/>
              <w:right w:val="nil"/>
            </w:tcBorders>
            <w:hideMark/>
          </w:tcPr>
          <w:p w14:paraId="7262534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1217D38" w14:textId="77777777" w:rsidR="002E6C09" w:rsidRPr="001E6F82" w:rsidRDefault="002E6C09" w:rsidP="00844FF8">
            <w:pPr>
              <w:pStyle w:val="AmColumnHeading"/>
            </w:pPr>
            <w:r w:rsidRPr="001E6F82">
              <w:t>Poprawka</w:t>
            </w:r>
          </w:p>
        </w:tc>
      </w:tr>
      <w:tr w:rsidR="002E6C09" w:rsidRPr="001E6F82" w14:paraId="501AB111" w14:textId="77777777" w:rsidTr="00844FF8">
        <w:trPr>
          <w:jc w:val="center"/>
        </w:trPr>
        <w:tc>
          <w:tcPr>
            <w:tcW w:w="4876" w:type="dxa"/>
            <w:tcBorders>
              <w:top w:val="nil"/>
              <w:left w:val="nil"/>
              <w:bottom w:val="nil"/>
              <w:right w:val="nil"/>
            </w:tcBorders>
            <w:hideMark/>
          </w:tcPr>
          <w:p w14:paraId="39FDB774" w14:textId="77777777" w:rsidR="002E6C09" w:rsidRPr="001E6F82" w:rsidRDefault="002E6C09" w:rsidP="00844FF8">
            <w:pPr>
              <w:pStyle w:val="Normal6a"/>
            </w:pPr>
            <w:r w:rsidRPr="001E6F82">
              <w:t>(23)</w:t>
            </w:r>
            <w:r w:rsidRPr="001E6F82">
              <w:tab/>
              <w:t xml:space="preserve">Aby zmniejszyć obciążenia administracyjne i związane z przestrzeganiem przepisów dla przedsiębiorstw działających w sektorze kosmetycznym, </w:t>
            </w:r>
            <w:r w:rsidRPr="001E6F82">
              <w:rPr>
                <w:b/>
                <w:i/>
              </w:rPr>
              <w:t>należy wymagać tylko jednego zgłoszenia</w:t>
            </w:r>
            <w:r w:rsidRPr="001E6F82">
              <w:t xml:space="preserve"> produktów kosmetycznych przed wprowadzeniem ich do obrotu w Unii. </w:t>
            </w:r>
            <w:r w:rsidRPr="001E6F82">
              <w:rPr>
                <w:b/>
                <w:i/>
              </w:rPr>
              <w:t>Warunki takiego zgłoszenia powinny mieć zastosowanie w sposób niedyskryminacyjny do produktów kosmetycznych zawierających nanomateriały oraz do produktów kosmetycznych, które ich nie zawierają.</w:t>
            </w:r>
            <w:r w:rsidRPr="001E6F82">
              <w:t xml:space="preserve"> W </w:t>
            </w:r>
            <w:r w:rsidRPr="001E6F82">
              <w:rPr>
                <w:b/>
                <w:i/>
              </w:rPr>
              <w:t>celu zachowania czujności w odniesieniu do nanomateriałów</w:t>
            </w:r>
            <w:r w:rsidRPr="001E6F82">
              <w:t xml:space="preserve"> szczegółowe informacje na temat nanomateriałów stosowanych w produkcie kosmetycznym </w:t>
            </w:r>
            <w:r w:rsidRPr="001E6F82">
              <w:rPr>
                <w:b/>
                <w:i/>
              </w:rPr>
              <w:t>powinny obowiązkowo być zawarte</w:t>
            </w:r>
            <w:r w:rsidRPr="001E6F82">
              <w:t xml:space="preserve"> w raporcie bezpieczeństwa produktu kosmetycznego, tak aby właściwe organy mogły się z nimi zapoznać, </w:t>
            </w:r>
            <w:r w:rsidRPr="001E6F82">
              <w:rPr>
                <w:b/>
                <w:i/>
              </w:rPr>
              <w:t>jeżeli</w:t>
            </w:r>
            <w:r w:rsidRPr="001E6F82">
              <w:t xml:space="preserve"> stosowanie danego nanomateriału </w:t>
            </w:r>
            <w:r w:rsidRPr="001E6F82">
              <w:rPr>
                <w:b/>
                <w:i/>
              </w:rPr>
              <w:t>budzi</w:t>
            </w:r>
            <w:r w:rsidRPr="001E6F82">
              <w:t xml:space="preserve"> obawy dotyczące potencjalnego ryzyka dla zdrowia ludzkiego.</w:t>
            </w:r>
          </w:p>
        </w:tc>
        <w:tc>
          <w:tcPr>
            <w:tcW w:w="4876" w:type="dxa"/>
            <w:tcBorders>
              <w:top w:val="nil"/>
              <w:left w:val="nil"/>
              <w:bottom w:val="nil"/>
              <w:right w:val="nil"/>
            </w:tcBorders>
            <w:hideMark/>
          </w:tcPr>
          <w:p w14:paraId="5573A200" w14:textId="77777777" w:rsidR="002E6C09" w:rsidRPr="001E6F82" w:rsidRDefault="002E6C09" w:rsidP="00844FF8">
            <w:pPr>
              <w:pStyle w:val="Normal6a"/>
            </w:pPr>
            <w:r w:rsidRPr="001E6F82">
              <w:t>(23)</w:t>
            </w:r>
            <w:r w:rsidRPr="001E6F82">
              <w:tab/>
              <w:t xml:space="preserve">Aby zmniejszyć obciążenia administracyjne i związane z przestrzeganiem przepisów dla przedsiębiorstw działających w sektorze kosmetycznym, </w:t>
            </w:r>
            <w:r w:rsidRPr="001E6F82">
              <w:rPr>
                <w:b/>
                <w:i/>
              </w:rPr>
              <w:t>Komisja powinna wymagać zgłaszania</w:t>
            </w:r>
            <w:r w:rsidRPr="001E6F82">
              <w:t xml:space="preserve"> produktów kosmetycznych przed wprowadzeniem ich do obrotu w Unii. </w:t>
            </w:r>
            <w:r w:rsidRPr="001E6F82">
              <w:rPr>
                <w:b/>
                <w:i/>
              </w:rPr>
              <w:t>W celu zachowania czujności w odniesieniu do nanomateriałów w produktach kosmetycznych, należy wprowadzić wymóg, aby to zgłoszenie zawierało identyfikację nanomateriału,</w:t>
            </w:r>
            <w:r w:rsidRPr="001E6F82">
              <w:t xml:space="preserve"> w </w:t>
            </w:r>
            <w:r w:rsidRPr="001E6F82">
              <w:rPr>
                <w:b/>
                <w:i/>
              </w:rPr>
              <w:t>tym jego nazwę chemiczną (wg nomenklatury IUPAC) i inne oznaczenia określone w pkt 2 preambuły</w:t>
            </w:r>
            <w:r w:rsidRPr="001E6F82">
              <w:t xml:space="preserve"> do </w:t>
            </w:r>
            <w:r w:rsidRPr="001E6F82">
              <w:rPr>
                <w:b/>
                <w:i/>
              </w:rPr>
              <w:t>załączników II–VI, oraz specyfikację nanomateriału (w tym wielkość cząstek</w:t>
            </w:r>
            <w:r w:rsidRPr="001E6F82">
              <w:t xml:space="preserve"> oraz </w:t>
            </w:r>
            <w:r w:rsidRPr="001E6F82">
              <w:rPr>
                <w:b/>
                <w:i/>
              </w:rPr>
              <w:t>właściwości fizyczne i chemiczne)</w:t>
            </w:r>
            <w:r w:rsidRPr="001E6F82">
              <w:t xml:space="preserve">, </w:t>
            </w:r>
            <w:r w:rsidRPr="001E6F82">
              <w:rPr>
                <w:b/>
                <w:i/>
              </w:rPr>
              <w:t>który zamierza się wprowadzić do obrotu w danym roku</w:t>
            </w:r>
            <w:r w:rsidRPr="001E6F82">
              <w:t>.</w:t>
            </w:r>
            <w:r w:rsidRPr="001E6F82">
              <w:rPr>
                <w:b/>
                <w:i/>
              </w:rPr>
              <w:t xml:space="preserve"> Jest to konieczne, aby w razie obaw Komisja mogła zwrócić się o ocenę bezpieczeństwa. Należy również wprowadzić wyraźny wymóg, aby</w:t>
            </w:r>
            <w:r w:rsidRPr="001E6F82">
              <w:t xml:space="preserve"> szczegółowe informacje na temat nanomateriałów stosowanych w produkcie kosmetycznym </w:t>
            </w:r>
            <w:r w:rsidRPr="001E6F82">
              <w:rPr>
                <w:b/>
                <w:i/>
              </w:rPr>
              <w:t>zostały zawarte w zgłoszeniu na portalu zgłaszania produktów kosmetycznych (CPNP) i</w:t>
            </w:r>
            <w:r w:rsidRPr="001E6F82">
              <w:t xml:space="preserve"> w raporcie bezpieczeństwa produktu kosmetycznego, </w:t>
            </w:r>
            <w:r w:rsidRPr="001E6F82">
              <w:rPr>
                <w:b/>
                <w:i/>
              </w:rPr>
              <w:t>przy czym i jedno, i drugie powinno być dostępne właściwym organom,</w:t>
            </w:r>
            <w:r w:rsidRPr="001E6F82">
              <w:t xml:space="preserve"> tak aby właściwe organy mogły </w:t>
            </w:r>
            <w:r w:rsidRPr="001E6F82">
              <w:lastRenderedPageBreak/>
              <w:t xml:space="preserve">się z nimi zapoznać, </w:t>
            </w:r>
            <w:r w:rsidRPr="001E6F82">
              <w:rPr>
                <w:b/>
                <w:i/>
              </w:rPr>
              <w:t>gdy</w:t>
            </w:r>
            <w:r w:rsidRPr="001E6F82">
              <w:t xml:space="preserve"> stosowanie danego nanomateriału </w:t>
            </w:r>
            <w:r w:rsidRPr="001E6F82">
              <w:rPr>
                <w:b/>
                <w:i/>
              </w:rPr>
              <w:t>w produktach kosmetycznych wzbudzi</w:t>
            </w:r>
            <w:r w:rsidRPr="001E6F82">
              <w:t xml:space="preserve"> obawy dotyczące potencjalnego ryzyka dla zdrowia ludzkiego.</w:t>
            </w:r>
          </w:p>
        </w:tc>
      </w:tr>
    </w:tbl>
    <w:p w14:paraId="2B07B590" w14:textId="77777777" w:rsidR="002E6C09" w:rsidRPr="001E6F82" w:rsidRDefault="002E6C09" w:rsidP="002E6C09"/>
    <w:p w14:paraId="61CD2DBA" w14:textId="77777777" w:rsidR="002E6C09" w:rsidRPr="001E6F82" w:rsidRDefault="002E6C09" w:rsidP="002E6C09">
      <w:pPr>
        <w:pStyle w:val="AmNumberTabs"/>
      </w:pPr>
      <w:r w:rsidRPr="001E6F82">
        <w:t>Poprawka</w:t>
      </w:r>
      <w:r w:rsidRPr="001E6F82">
        <w:tab/>
      </w:r>
      <w:r w:rsidRPr="001E6F82">
        <w:tab/>
        <w:t>23</w:t>
      </w:r>
    </w:p>
    <w:p w14:paraId="17601F4D" w14:textId="77777777" w:rsidR="002E6C09" w:rsidRPr="001E6F82" w:rsidRDefault="002E6C09" w:rsidP="002E6C09">
      <w:pPr>
        <w:pStyle w:val="NormalBold"/>
      </w:pPr>
      <w:r w:rsidRPr="001E6F82">
        <w:t>Wniosek dotyczący rozporządzenia</w:t>
      </w:r>
    </w:p>
    <w:p w14:paraId="5D9D8192" w14:textId="77777777" w:rsidR="002E6C09" w:rsidRPr="001E6F82" w:rsidRDefault="002E6C09" w:rsidP="002E6C09">
      <w:pPr>
        <w:pStyle w:val="NormalBold"/>
      </w:pPr>
      <w:r w:rsidRPr="001E6F82">
        <w:t>Motyw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9408287" w14:textId="77777777" w:rsidTr="00844FF8">
        <w:trPr>
          <w:trHeight w:val="240"/>
          <w:jc w:val="center"/>
        </w:trPr>
        <w:tc>
          <w:tcPr>
            <w:tcW w:w="9752" w:type="dxa"/>
            <w:gridSpan w:val="2"/>
            <w:tcBorders>
              <w:top w:val="nil"/>
              <w:left w:val="nil"/>
              <w:bottom w:val="nil"/>
              <w:right w:val="nil"/>
            </w:tcBorders>
          </w:tcPr>
          <w:p w14:paraId="7E80AB81" w14:textId="77777777" w:rsidR="002E6C09" w:rsidRPr="001E6F82" w:rsidRDefault="002E6C09" w:rsidP="00844FF8"/>
        </w:tc>
      </w:tr>
      <w:tr w:rsidR="002E6C09" w:rsidRPr="001E6F82" w14:paraId="71A83F10" w14:textId="77777777" w:rsidTr="00844FF8">
        <w:trPr>
          <w:trHeight w:val="240"/>
          <w:jc w:val="center"/>
        </w:trPr>
        <w:tc>
          <w:tcPr>
            <w:tcW w:w="4876" w:type="dxa"/>
            <w:tcBorders>
              <w:top w:val="nil"/>
              <w:left w:val="nil"/>
              <w:bottom w:val="nil"/>
              <w:right w:val="nil"/>
            </w:tcBorders>
            <w:hideMark/>
          </w:tcPr>
          <w:p w14:paraId="2ADC48E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FE5101E" w14:textId="77777777" w:rsidR="002E6C09" w:rsidRPr="001E6F82" w:rsidRDefault="002E6C09" w:rsidP="00844FF8">
            <w:pPr>
              <w:pStyle w:val="AmColumnHeading"/>
            </w:pPr>
            <w:r w:rsidRPr="001E6F82">
              <w:t>Poprawka</w:t>
            </w:r>
          </w:p>
        </w:tc>
      </w:tr>
      <w:tr w:rsidR="002E6C09" w:rsidRPr="001E6F82" w14:paraId="34E60BB8" w14:textId="77777777" w:rsidTr="00844FF8">
        <w:trPr>
          <w:jc w:val="center"/>
        </w:trPr>
        <w:tc>
          <w:tcPr>
            <w:tcW w:w="4876" w:type="dxa"/>
            <w:tcBorders>
              <w:top w:val="nil"/>
              <w:left w:val="nil"/>
              <w:bottom w:val="nil"/>
              <w:right w:val="nil"/>
            </w:tcBorders>
            <w:hideMark/>
          </w:tcPr>
          <w:p w14:paraId="5E8845CB" w14:textId="77777777" w:rsidR="002E6C09" w:rsidRPr="001E6F82" w:rsidRDefault="002E6C09" w:rsidP="00844FF8">
            <w:pPr>
              <w:pStyle w:val="Normal6a"/>
            </w:pPr>
            <w:r w:rsidRPr="001E6F82">
              <w:t>(25)</w:t>
            </w:r>
            <w:r w:rsidRPr="001E6F82">
              <w:tab/>
              <w:t>Kosmetyki są towarami sprzedawanymi na całym świecie</w:t>
            </w:r>
            <w:r w:rsidRPr="001E6F82">
              <w:rPr>
                <w:b/>
                <w:i/>
              </w:rPr>
              <w:t>.</w:t>
            </w:r>
            <w:r w:rsidRPr="001E6F82">
              <w:t xml:space="preserve"> </w:t>
            </w:r>
            <w:r w:rsidRPr="001E6F82">
              <w:rPr>
                <w:b/>
                <w:i/>
              </w:rPr>
              <w:t>Ważne jest zatem</w:t>
            </w:r>
            <w:r w:rsidRPr="001E6F82">
              <w:t xml:space="preserve">, aby nazwy składników znajdujące się na etykietach odzwierciedlały aktualny stan wiedzy naukowej i rozwoju technologicznego. Stosowanie </w:t>
            </w:r>
            <w:r w:rsidRPr="001E6F82">
              <w:rPr>
                <w:b/>
                <w:i/>
              </w:rPr>
              <w:t>uznanych</w:t>
            </w:r>
            <w:r w:rsidRPr="001E6F82">
              <w:t xml:space="preserve"> na szczeblu międzynarodowym </w:t>
            </w:r>
            <w:r w:rsidRPr="001E6F82">
              <w:rPr>
                <w:b/>
                <w:i/>
              </w:rPr>
              <w:t>nazw</w:t>
            </w:r>
            <w:r w:rsidRPr="001E6F82">
              <w:t xml:space="preserve"> składników kosmetycznych stanowi istotny czynnik promujący przejrzystość i </w:t>
            </w:r>
            <w:r w:rsidRPr="001E6F82">
              <w:rPr>
                <w:b/>
                <w:i/>
              </w:rPr>
              <w:t>ułatwiający</w:t>
            </w:r>
            <w:r w:rsidRPr="001E6F82">
              <w:t xml:space="preserve"> transgraniczny handel kosmetykami. Niniejsze rozporządzenie powinno umożliwiać stosowanie </w:t>
            </w:r>
            <w:r w:rsidRPr="001E6F82">
              <w:rPr>
                <w:b/>
                <w:i/>
              </w:rPr>
              <w:t>nazw uznanych</w:t>
            </w:r>
            <w:r w:rsidRPr="001E6F82">
              <w:t xml:space="preserve"> na szczeblu międzynarodowym na etykietach produktów kosmetycznych bez konieczności </w:t>
            </w:r>
            <w:r w:rsidRPr="001E6F82">
              <w:rPr>
                <w:b/>
                <w:i/>
              </w:rPr>
              <w:t>podjęcia</w:t>
            </w:r>
            <w:r w:rsidRPr="001E6F82">
              <w:t xml:space="preserve"> jakichkolwiek </w:t>
            </w:r>
            <w:r w:rsidRPr="001E6F82">
              <w:rPr>
                <w:b/>
                <w:i/>
              </w:rPr>
              <w:t>dodatkowych</w:t>
            </w:r>
            <w:r w:rsidRPr="001E6F82">
              <w:t xml:space="preserve"> działań regulacyjnych ze strony Komisji. Ponieważ przyjęcie przez Komisję słownika wspólnych nazw składników spowolniłoby proces wprowadzania nowych nazw, należy znieść przepis zobowiązujący Komisję do przyjęcia takiego słownika.</w:t>
            </w:r>
          </w:p>
        </w:tc>
        <w:tc>
          <w:tcPr>
            <w:tcW w:w="4876" w:type="dxa"/>
            <w:tcBorders>
              <w:top w:val="nil"/>
              <w:left w:val="nil"/>
              <w:bottom w:val="nil"/>
              <w:right w:val="nil"/>
            </w:tcBorders>
            <w:hideMark/>
          </w:tcPr>
          <w:p w14:paraId="2CEA55B0" w14:textId="77777777" w:rsidR="002E6C09" w:rsidRPr="001E6F82" w:rsidRDefault="002E6C09" w:rsidP="00844FF8">
            <w:pPr>
              <w:pStyle w:val="Normal6a"/>
            </w:pPr>
            <w:r w:rsidRPr="001E6F82">
              <w:t>(25)</w:t>
            </w:r>
            <w:r w:rsidRPr="001E6F82">
              <w:tab/>
              <w:t xml:space="preserve">Kosmetyki są towarami sprzedawanymi na całym świecie </w:t>
            </w:r>
            <w:r w:rsidRPr="001E6F82">
              <w:rPr>
                <w:b/>
                <w:i/>
              </w:rPr>
              <w:t>i zasadnicze znaczenie ma to</w:t>
            </w:r>
            <w:r w:rsidRPr="001E6F82">
              <w:t xml:space="preserve">, aby nazwy składników znajdujące się na etykietach odzwierciedlały </w:t>
            </w:r>
            <w:r w:rsidRPr="001E6F82">
              <w:rPr>
                <w:b/>
                <w:i/>
              </w:rPr>
              <w:t>bez zwłoki</w:t>
            </w:r>
            <w:r w:rsidRPr="001E6F82">
              <w:t xml:space="preserve"> aktualny stan wiedzy naukowej i rozwoju technologicznego. Stosowanie </w:t>
            </w:r>
            <w:r w:rsidRPr="001E6F82">
              <w:rPr>
                <w:b/>
                <w:i/>
              </w:rPr>
              <w:t>nomenklatury uznanej</w:t>
            </w:r>
            <w:r w:rsidRPr="001E6F82">
              <w:t xml:space="preserve"> na szczeblu międzynarodowym</w:t>
            </w:r>
            <w:r w:rsidRPr="001E6F82">
              <w:rPr>
                <w:b/>
                <w:i/>
              </w:rPr>
              <w:t>, takiej jak Międzynarodowe nazewnictwo</w:t>
            </w:r>
            <w:r w:rsidRPr="001E6F82">
              <w:t xml:space="preserve"> składników kosmetycznych </w:t>
            </w:r>
            <w:r w:rsidRPr="001E6F82">
              <w:rPr>
                <w:b/>
                <w:i/>
              </w:rPr>
              <w:t>(INCI),</w:t>
            </w:r>
            <w:r w:rsidRPr="001E6F82">
              <w:t xml:space="preserve"> stanowi istotny czynnik promujący przejrzystość </w:t>
            </w:r>
            <w:r w:rsidRPr="001E6F82">
              <w:rPr>
                <w:b/>
                <w:i/>
              </w:rPr>
              <w:t>składników z myślą o konsumentach, zapewnia spójność między jurysdykcjami</w:t>
            </w:r>
            <w:r w:rsidRPr="001E6F82">
              <w:t xml:space="preserve"> i </w:t>
            </w:r>
            <w:r w:rsidRPr="001E6F82">
              <w:rPr>
                <w:b/>
                <w:i/>
              </w:rPr>
              <w:t>ułatwia</w:t>
            </w:r>
            <w:r w:rsidRPr="001E6F82">
              <w:t xml:space="preserve"> transgraniczny handel kosmetykami. </w:t>
            </w:r>
            <w:r w:rsidRPr="001E6F82">
              <w:rPr>
                <w:b/>
                <w:i/>
              </w:rPr>
              <w:t>Nazwy INCI są aktualizowane przez Radę ds. Produktów Higieny Osobistej (PCPC) jako międzynarodowy standard przemysłowy i są powszechnie uznawane przez organy regulacyjne i zainteresowane strony na całym świecie.</w:t>
            </w:r>
            <w:r w:rsidRPr="001E6F82">
              <w:t xml:space="preserve"> Niniejsze rozporządzenie powinno umożliwiać </w:t>
            </w:r>
            <w:r w:rsidRPr="001E6F82">
              <w:rPr>
                <w:b/>
                <w:i/>
              </w:rPr>
              <w:t>bezpośrednie</w:t>
            </w:r>
            <w:r w:rsidRPr="001E6F82">
              <w:t xml:space="preserve"> stosowanie </w:t>
            </w:r>
            <w:r w:rsidRPr="001E6F82">
              <w:rPr>
                <w:b/>
                <w:i/>
              </w:rPr>
              <w:t>nomenklatury uznanej</w:t>
            </w:r>
            <w:r w:rsidRPr="001E6F82">
              <w:t xml:space="preserve"> na szczeblu międzynarodowym</w:t>
            </w:r>
            <w:r w:rsidRPr="001E6F82">
              <w:rPr>
                <w:b/>
                <w:i/>
              </w:rPr>
              <w:t>, takiej jak INCI,</w:t>
            </w:r>
            <w:r w:rsidRPr="001E6F82">
              <w:t xml:space="preserve"> na etykietach produktów kosmetycznych bez konieczności </w:t>
            </w:r>
            <w:r w:rsidRPr="001E6F82">
              <w:rPr>
                <w:b/>
                <w:i/>
              </w:rPr>
              <w:t>podejmowania</w:t>
            </w:r>
            <w:r w:rsidRPr="001E6F82">
              <w:t xml:space="preserve"> jakichkolwiek </w:t>
            </w:r>
            <w:r w:rsidRPr="001E6F82">
              <w:rPr>
                <w:b/>
                <w:i/>
              </w:rPr>
              <w:t>dalszych</w:t>
            </w:r>
            <w:r w:rsidRPr="001E6F82">
              <w:t xml:space="preserve"> działań regulacyjnych ze strony Komisji</w:t>
            </w:r>
            <w:r w:rsidRPr="001E6F82">
              <w:rPr>
                <w:b/>
                <w:i/>
              </w:rPr>
              <w:t xml:space="preserve">. Gdy wspólna nazwa składnika nie istnieje w INCI, należy zastosować inną ogólnie przyjętą nomenklaturę, na przykład nazwy ustanowione w uznanych międzynarodowych dokumentach referencyjnych dla substancji chemicznych lub substancji leczniczych bądź w innych wiarygodnych źródłach </w:t>
            </w:r>
            <w:r w:rsidRPr="001E6F82">
              <w:rPr>
                <w:b/>
                <w:i/>
              </w:rPr>
              <w:lastRenderedPageBreak/>
              <w:t>powszechnie wykorzystywanych przez przemysł i organy regulacyjne. Takie podejście zapewni elastyczność, pozwoli uniknąć zbędnych obciążeń administracyjnych i zagwarantuje, że nazwy składników stosowane na etykietach produktów kosmetycznych pozostaną aktualne, spójne na szczeblu międzynarodowym i łatwo zrozumiałe dla konsumentów</w:t>
            </w:r>
            <w:r w:rsidRPr="001E6F82">
              <w:t>. Ponieważ przyjęcie przez Komisję słownika wspólnych nazw składników spowolniłoby proces wprowadzania nowych nazw, należy znieść przepis zobowiązujący Komisję do przyjęcia takiego słownika.</w:t>
            </w:r>
          </w:p>
        </w:tc>
      </w:tr>
    </w:tbl>
    <w:p w14:paraId="785C4FF5" w14:textId="77777777" w:rsidR="002E6C09" w:rsidRPr="001E6F82" w:rsidRDefault="002E6C09" w:rsidP="002E6C09"/>
    <w:p w14:paraId="08745A1A" w14:textId="77777777" w:rsidR="002E6C09" w:rsidRPr="001E6F82" w:rsidRDefault="002E6C09" w:rsidP="002E6C09">
      <w:pPr>
        <w:pStyle w:val="AmNumberTabs"/>
      </w:pPr>
      <w:r w:rsidRPr="001E6F82">
        <w:t>Poprawka</w:t>
      </w:r>
      <w:r w:rsidRPr="001E6F82">
        <w:tab/>
      </w:r>
      <w:r w:rsidRPr="001E6F82">
        <w:tab/>
        <w:t>24</w:t>
      </w:r>
    </w:p>
    <w:p w14:paraId="72B140BA" w14:textId="77777777" w:rsidR="002E6C09" w:rsidRPr="001E6F82" w:rsidRDefault="002E6C09" w:rsidP="002E6C09">
      <w:pPr>
        <w:pStyle w:val="NormalBold"/>
      </w:pPr>
      <w:r w:rsidRPr="001E6F82">
        <w:t>Wniosek dotyczący rozporządzenia</w:t>
      </w:r>
    </w:p>
    <w:p w14:paraId="150D22FF" w14:textId="77777777" w:rsidR="002E6C09" w:rsidRPr="001E6F82" w:rsidRDefault="002E6C09" w:rsidP="002E6C09">
      <w:pPr>
        <w:pStyle w:val="NormalBold"/>
      </w:pPr>
      <w:r w:rsidRPr="001E6F82">
        <w:t>Motyw 25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62B3660" w14:textId="77777777" w:rsidTr="00844FF8">
        <w:trPr>
          <w:trHeight w:val="240"/>
          <w:jc w:val="center"/>
        </w:trPr>
        <w:tc>
          <w:tcPr>
            <w:tcW w:w="9752" w:type="dxa"/>
            <w:gridSpan w:val="2"/>
            <w:tcBorders>
              <w:top w:val="nil"/>
              <w:left w:val="nil"/>
              <w:bottom w:val="nil"/>
              <w:right w:val="nil"/>
            </w:tcBorders>
          </w:tcPr>
          <w:p w14:paraId="34045B31" w14:textId="77777777" w:rsidR="002E6C09" w:rsidRPr="001E6F82" w:rsidRDefault="002E6C09" w:rsidP="00844FF8"/>
        </w:tc>
      </w:tr>
      <w:tr w:rsidR="002E6C09" w:rsidRPr="001E6F82" w14:paraId="12DAB307" w14:textId="77777777" w:rsidTr="00844FF8">
        <w:trPr>
          <w:trHeight w:val="240"/>
          <w:jc w:val="center"/>
        </w:trPr>
        <w:tc>
          <w:tcPr>
            <w:tcW w:w="4876" w:type="dxa"/>
            <w:tcBorders>
              <w:top w:val="nil"/>
              <w:left w:val="nil"/>
              <w:bottom w:val="nil"/>
              <w:right w:val="nil"/>
            </w:tcBorders>
            <w:hideMark/>
          </w:tcPr>
          <w:p w14:paraId="62D1D6F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730B69F" w14:textId="77777777" w:rsidR="002E6C09" w:rsidRPr="001E6F82" w:rsidRDefault="002E6C09" w:rsidP="00844FF8">
            <w:pPr>
              <w:pStyle w:val="AmColumnHeading"/>
            </w:pPr>
            <w:r w:rsidRPr="001E6F82">
              <w:t>Poprawka</w:t>
            </w:r>
          </w:p>
        </w:tc>
      </w:tr>
      <w:tr w:rsidR="002E6C09" w:rsidRPr="001E6F82" w14:paraId="71AAC32C" w14:textId="77777777" w:rsidTr="00844FF8">
        <w:trPr>
          <w:jc w:val="center"/>
        </w:trPr>
        <w:tc>
          <w:tcPr>
            <w:tcW w:w="4876" w:type="dxa"/>
            <w:tcBorders>
              <w:top w:val="nil"/>
              <w:left w:val="nil"/>
              <w:bottom w:val="nil"/>
              <w:right w:val="nil"/>
            </w:tcBorders>
          </w:tcPr>
          <w:p w14:paraId="6B12CF09" w14:textId="77777777" w:rsidR="002E6C09" w:rsidRPr="001E6F82" w:rsidRDefault="002E6C09" w:rsidP="00844FF8">
            <w:pPr>
              <w:pStyle w:val="Normal6a"/>
            </w:pPr>
          </w:p>
        </w:tc>
        <w:tc>
          <w:tcPr>
            <w:tcW w:w="4876" w:type="dxa"/>
            <w:tcBorders>
              <w:top w:val="nil"/>
              <w:left w:val="nil"/>
              <w:bottom w:val="nil"/>
              <w:right w:val="nil"/>
            </w:tcBorders>
            <w:hideMark/>
          </w:tcPr>
          <w:p w14:paraId="4B9D6EA6" w14:textId="77777777" w:rsidR="002E6C09" w:rsidRPr="001E6F82" w:rsidRDefault="002E6C09" w:rsidP="00844FF8">
            <w:pPr>
              <w:pStyle w:val="Normal6a"/>
            </w:pPr>
            <w:r w:rsidRPr="001E6F82">
              <w:rPr>
                <w:b/>
                <w:i/>
              </w:rPr>
              <w:t>(25a)</w:t>
            </w:r>
            <w:r w:rsidRPr="001E6F82">
              <w:tab/>
            </w:r>
            <w:r w:rsidRPr="001E6F82">
              <w:rPr>
                <w:b/>
                <w:i/>
              </w:rPr>
              <w:t xml:space="preserve">Aby zapewnić wysoki poziom ochrony zdrowia ludzkiego, wszystkie podmioty wprowadzające produkty kosmetyczne do obrotu w Unii, zarówno przez </w:t>
            </w:r>
            <w:proofErr w:type="spellStart"/>
            <w:r w:rsidRPr="001E6F82">
              <w:rPr>
                <w:b/>
                <w:i/>
              </w:rPr>
              <w:t>internet</w:t>
            </w:r>
            <w:proofErr w:type="spellEnd"/>
            <w:r w:rsidRPr="001E6F82">
              <w:rPr>
                <w:b/>
                <w:i/>
              </w:rPr>
              <w:t xml:space="preserve">, jak i poza nim, powinny podlegać równoważnym obowiązkom i skutecznemu egzekwowaniu przepisów. Jest to szczególnie ważne z uwagi na rosnącą sprzedaż kosmetyków za pośrednictwem internetowych platform handlowych, w tym produktów pochodzących z państw trzecich, które nie podlegają takim samym wymogom w zakresie zdrowia i bezpieczeństwa. W związku z tym konieczne jest wprowadzenie wymogu, aby niektóre informacje na etykiecie, o których mowa w art. 19, były podawane w jasny i widoczny sposób w przypadku sprzedaży na odległość, w tym za pośrednictwem internetowych platform handlowych. Wymóg ten uprości egzekwowanie rozporządzenia (WE) nr 1223/2009, a tym samym przyczyni się do uczciwej konkurencji i wysokiego poziomu ochrony zdrowia ludzkiego. Ponadto należy wzmocnić nadzór po wprowadzeniu do </w:t>
            </w:r>
            <w:r w:rsidRPr="001E6F82">
              <w:rPr>
                <w:b/>
                <w:i/>
              </w:rPr>
              <w:lastRenderedPageBreak/>
              <w:t xml:space="preserve">obrotu, w szczególności w odniesieniu do sprzedaży przez </w:t>
            </w:r>
            <w:proofErr w:type="spellStart"/>
            <w:r w:rsidRPr="001E6F82">
              <w:rPr>
                <w:b/>
                <w:i/>
              </w:rPr>
              <w:t>internet</w:t>
            </w:r>
            <w:proofErr w:type="spellEnd"/>
            <w:r w:rsidRPr="001E6F82">
              <w:rPr>
                <w:b/>
                <w:i/>
              </w:rPr>
              <w:t xml:space="preserve"> i przywozu, a produkty kosmetyczne uznane za niezgodne z wymogami za pośrednictwem unijnego systemu wczesnego ostrzegania (</w:t>
            </w:r>
            <w:proofErr w:type="spellStart"/>
            <w:r w:rsidRPr="001E6F82">
              <w:rPr>
                <w:b/>
                <w:i/>
              </w:rPr>
              <w:t>Safety</w:t>
            </w:r>
            <w:proofErr w:type="spellEnd"/>
            <w:r w:rsidRPr="001E6F82">
              <w:rPr>
                <w:b/>
                <w:i/>
              </w:rPr>
              <w:t xml:space="preserve"> </w:t>
            </w:r>
            <w:proofErr w:type="spellStart"/>
            <w:r w:rsidRPr="001E6F82">
              <w:rPr>
                <w:b/>
                <w:i/>
              </w:rPr>
              <w:t>Gate</w:t>
            </w:r>
            <w:proofErr w:type="spellEnd"/>
            <w:r w:rsidRPr="001E6F82">
              <w:rPr>
                <w:b/>
                <w:i/>
              </w:rPr>
              <w:t xml:space="preserve">) nie powinny być wystawiane ani oferowane na sprzedaż. W tym celu platformy internetowe powinny weryfikować tożsamość osoby odpowiedzialnej przed zezwoleniem na wprowadzenie produktów do obrotu w Unii, a sprzedaż przez </w:t>
            </w:r>
            <w:proofErr w:type="spellStart"/>
            <w:r w:rsidRPr="001E6F82">
              <w:rPr>
                <w:b/>
                <w:i/>
              </w:rPr>
              <w:t>internet</w:t>
            </w:r>
            <w:proofErr w:type="spellEnd"/>
            <w:r w:rsidRPr="001E6F82">
              <w:rPr>
                <w:b/>
                <w:i/>
              </w:rPr>
              <w:t>, oferowanie na sprzedaż i promocja – w tym za pośrednictwem mediów społecznościowych – zakazanych kosmetyków, w szczególności produktów z dodatkiem rtęci, powinny być wyraźnie zakazane.</w:t>
            </w:r>
          </w:p>
        </w:tc>
      </w:tr>
    </w:tbl>
    <w:p w14:paraId="3F0E6C44" w14:textId="77777777" w:rsidR="002E6C09" w:rsidRPr="001E6F82" w:rsidRDefault="002E6C09" w:rsidP="002E6C09"/>
    <w:p w14:paraId="275C3B28" w14:textId="77777777" w:rsidR="002E6C09" w:rsidRPr="001E6F82" w:rsidRDefault="002E6C09" w:rsidP="002E6C09">
      <w:pPr>
        <w:pStyle w:val="AmNumberTabs"/>
      </w:pPr>
      <w:r w:rsidRPr="001E6F82">
        <w:t>Poprawka</w:t>
      </w:r>
      <w:r w:rsidRPr="001E6F82">
        <w:tab/>
      </w:r>
      <w:r w:rsidRPr="001E6F82">
        <w:tab/>
        <w:t>25</w:t>
      </w:r>
    </w:p>
    <w:p w14:paraId="185627D4" w14:textId="77777777" w:rsidR="002E6C09" w:rsidRPr="001E6F82" w:rsidRDefault="002E6C09" w:rsidP="002E6C09">
      <w:pPr>
        <w:pStyle w:val="NormalBold"/>
      </w:pPr>
      <w:r w:rsidRPr="001E6F82">
        <w:t>Wniosek dotyczący rozporządzenia</w:t>
      </w:r>
    </w:p>
    <w:p w14:paraId="3C42AFA1" w14:textId="77777777" w:rsidR="002E6C09" w:rsidRPr="001E6F82" w:rsidRDefault="002E6C09" w:rsidP="002E6C09">
      <w:pPr>
        <w:pStyle w:val="NormalBold"/>
      </w:pPr>
      <w:r w:rsidRPr="001E6F82">
        <w:t>Motyw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26BF318" w14:textId="77777777" w:rsidTr="00844FF8">
        <w:trPr>
          <w:trHeight w:val="240"/>
          <w:jc w:val="center"/>
        </w:trPr>
        <w:tc>
          <w:tcPr>
            <w:tcW w:w="9752" w:type="dxa"/>
            <w:gridSpan w:val="2"/>
            <w:tcBorders>
              <w:top w:val="nil"/>
              <w:left w:val="nil"/>
              <w:bottom w:val="nil"/>
              <w:right w:val="nil"/>
            </w:tcBorders>
          </w:tcPr>
          <w:p w14:paraId="6558957E" w14:textId="77777777" w:rsidR="002E6C09" w:rsidRPr="001E6F82" w:rsidRDefault="002E6C09" w:rsidP="00844FF8"/>
        </w:tc>
      </w:tr>
      <w:tr w:rsidR="002E6C09" w:rsidRPr="001E6F82" w14:paraId="05782F80" w14:textId="77777777" w:rsidTr="00844FF8">
        <w:trPr>
          <w:trHeight w:val="240"/>
          <w:jc w:val="center"/>
        </w:trPr>
        <w:tc>
          <w:tcPr>
            <w:tcW w:w="4876" w:type="dxa"/>
            <w:tcBorders>
              <w:top w:val="nil"/>
              <w:left w:val="nil"/>
              <w:bottom w:val="nil"/>
              <w:right w:val="nil"/>
            </w:tcBorders>
            <w:hideMark/>
          </w:tcPr>
          <w:p w14:paraId="52599DE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30BC457" w14:textId="77777777" w:rsidR="002E6C09" w:rsidRPr="001E6F82" w:rsidRDefault="002E6C09" w:rsidP="00844FF8">
            <w:pPr>
              <w:pStyle w:val="AmColumnHeading"/>
            </w:pPr>
            <w:r w:rsidRPr="001E6F82">
              <w:t>Poprawka</w:t>
            </w:r>
          </w:p>
        </w:tc>
      </w:tr>
      <w:tr w:rsidR="002E6C09" w:rsidRPr="001E6F82" w14:paraId="117D5211" w14:textId="77777777" w:rsidTr="00844FF8">
        <w:trPr>
          <w:jc w:val="center"/>
        </w:trPr>
        <w:tc>
          <w:tcPr>
            <w:tcW w:w="4876" w:type="dxa"/>
            <w:tcBorders>
              <w:top w:val="nil"/>
              <w:left w:val="nil"/>
              <w:bottom w:val="nil"/>
              <w:right w:val="nil"/>
            </w:tcBorders>
            <w:hideMark/>
          </w:tcPr>
          <w:p w14:paraId="6EC2F892" w14:textId="77777777" w:rsidR="002E6C09" w:rsidRPr="001E6F82" w:rsidRDefault="002E6C09" w:rsidP="00844FF8">
            <w:pPr>
              <w:pStyle w:val="Normal6a"/>
            </w:pPr>
            <w:r w:rsidRPr="001E6F82">
              <w:t>(26)</w:t>
            </w:r>
            <w:r w:rsidRPr="001E6F82">
              <w:tab/>
              <w:t xml:space="preserve">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w:t>
            </w:r>
            <w:r w:rsidRPr="001E6F82">
              <w:rPr>
                <w:b/>
                <w:i/>
              </w:rPr>
              <w:t>można</w:t>
            </w:r>
            <w:r w:rsidRPr="001E6F82">
              <w:t xml:space="preserve"> się z </w:t>
            </w:r>
            <w:r w:rsidRPr="001E6F82">
              <w:rPr>
                <w:b/>
                <w:i/>
              </w:rPr>
              <w:t>nimi skontaktować</w:t>
            </w:r>
            <w:r w:rsidRPr="001E6F82">
              <w:t xml:space="preserve">, a </w:t>
            </w:r>
            <w:r w:rsidRPr="001E6F82">
              <w:rPr>
                <w:b/>
                <w:i/>
              </w:rPr>
              <w:t>także</w:t>
            </w:r>
            <w:r w:rsidRPr="001E6F82">
              <w:t xml:space="preserve"> sporządzić deklarację zgodności UE w formie elektronicznej i udostępnić ją za pośrednictwem adresu internetowego lub na nośniku danych oraz przekazywać organom, na ich wniosek, wszystkie istotne informacje i dokumentację w formie elektronicznej. Dokumenty i korespondencja kierowane do jednostek notyfikowanych i otrzymywane od nich w związku z ocenami zgodności produktów nawozowych UE również powinny być przekazywane w formie elektronicznej. W </w:t>
            </w:r>
            <w:r w:rsidRPr="001E6F82">
              <w:lastRenderedPageBreak/>
              <w:t>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c>
          <w:tcPr>
            <w:tcW w:w="4876" w:type="dxa"/>
            <w:tcBorders>
              <w:top w:val="nil"/>
              <w:left w:val="nil"/>
              <w:bottom w:val="nil"/>
              <w:right w:val="nil"/>
            </w:tcBorders>
            <w:hideMark/>
          </w:tcPr>
          <w:p w14:paraId="48C6E649" w14:textId="77777777" w:rsidR="002E6C09" w:rsidRPr="001E6F82" w:rsidRDefault="002E6C09" w:rsidP="00844FF8">
            <w:pPr>
              <w:pStyle w:val="Normal6a"/>
            </w:pPr>
            <w:r w:rsidRPr="001E6F82">
              <w:lastRenderedPageBreak/>
              <w:t>(26)</w:t>
            </w:r>
            <w:r w:rsidRPr="001E6F82">
              <w:tab/>
              <w:t xml:space="preserve">Zgodnie z celem Komisji, jakim jest zracjonalizowanie i uproszczenie wymogów sprawozdawczych oraz promowanie zasady „domyślnej cyfrowości” w celu wspierania transformacji cyfrowej, podmioty gospodarcze zajmujące się produktami nawozowymi UE zgodnie z rozporządzeniem (UE) 2019/1009 powinny podać kontakt elektroniczny, za pośrednictwem którego </w:t>
            </w:r>
            <w:r w:rsidRPr="001E6F82">
              <w:rPr>
                <w:b/>
                <w:i/>
              </w:rPr>
              <w:t>właściwe organy i użytkownicy końcowi mogą</w:t>
            </w:r>
            <w:r w:rsidRPr="001E6F82">
              <w:t xml:space="preserve"> się </w:t>
            </w:r>
            <w:r w:rsidRPr="001E6F82">
              <w:rPr>
                <w:b/>
                <w:i/>
              </w:rPr>
              <w:t>kontaktować</w:t>
            </w:r>
            <w:r w:rsidRPr="001E6F82">
              <w:t xml:space="preserve"> z </w:t>
            </w:r>
            <w:r w:rsidRPr="001E6F82">
              <w:rPr>
                <w:b/>
                <w:i/>
              </w:rPr>
              <w:t>tymi podmiotami gospodarczymi</w:t>
            </w:r>
            <w:r w:rsidRPr="001E6F82">
              <w:t xml:space="preserve">, a </w:t>
            </w:r>
            <w:r w:rsidRPr="001E6F82">
              <w:rPr>
                <w:b/>
                <w:i/>
              </w:rPr>
              <w:t>te mogą odpowiednio odpowiadać na wszelkie ich zapytania,</w:t>
            </w:r>
            <w:r w:rsidRPr="001E6F82">
              <w:t xml:space="preserve"> sporządzić deklarację zgodności UE w formie elektronicznej i udostępnić ją za pośrednictwem adresu internetowego lub na nośniku danych oraz </w:t>
            </w:r>
            <w:r w:rsidRPr="001E6F82">
              <w:rPr>
                <w:b/>
                <w:i/>
              </w:rPr>
              <w:t>szybko</w:t>
            </w:r>
            <w:r w:rsidRPr="001E6F82">
              <w:t xml:space="preserve"> przekazywać </w:t>
            </w:r>
            <w:r w:rsidRPr="001E6F82">
              <w:rPr>
                <w:b/>
                <w:i/>
              </w:rPr>
              <w:t>właściwym</w:t>
            </w:r>
            <w:r w:rsidRPr="001E6F82">
              <w:t xml:space="preserve"> organom, na ich wniosek, wszystkie istotne informacje i dokumentację w formie elektronicznej. Dokumenty i korespondencja kierowane do jednostek notyfikowanych i otrzymywane </w:t>
            </w:r>
            <w:r w:rsidRPr="001E6F82">
              <w:lastRenderedPageBreak/>
              <w:t xml:space="preserve">od nich w związku z ocenami zgodności produktów nawozowych UE również powinny być </w:t>
            </w:r>
            <w:r w:rsidRPr="001E6F82">
              <w:rPr>
                <w:b/>
                <w:i/>
              </w:rPr>
              <w:t>szybko</w:t>
            </w:r>
            <w:r w:rsidRPr="001E6F82">
              <w:t xml:space="preserve"> przekazywane w formie elektronicznej. W przypadku stosowania etykiety cyfrowej producenci powinni korzystać z tego samego nośnika danych na potrzeby etykiety cyfrowej w celu zapewnienia dostępu do deklaracji zgodności UE, aby uniknąć istnienia wielu nośników danych obejmujących ten sam produkt. W przypadku gdy cyfrowy paszport produktu jest wymagany dla produktów nawozowych UE na podstawie innych przepisów UE, należy w nim podać informacje zawarte na etykietach cyfrowych oraz udostępnić deklarację zgodności UE.</w:t>
            </w:r>
          </w:p>
        </w:tc>
      </w:tr>
    </w:tbl>
    <w:p w14:paraId="0FC21DF6" w14:textId="77777777" w:rsidR="002E6C09" w:rsidRPr="001E6F82" w:rsidRDefault="002E6C09" w:rsidP="002E6C09"/>
    <w:p w14:paraId="25041A4B" w14:textId="77777777" w:rsidR="002E6C09" w:rsidRPr="001E6F82" w:rsidRDefault="002E6C09" w:rsidP="002E6C09">
      <w:pPr>
        <w:pStyle w:val="AmNumberTabs"/>
      </w:pPr>
      <w:r w:rsidRPr="001E6F82">
        <w:t>Poprawka</w:t>
      </w:r>
      <w:r w:rsidRPr="001E6F82">
        <w:tab/>
      </w:r>
      <w:r w:rsidRPr="001E6F82">
        <w:tab/>
        <w:t>26</w:t>
      </w:r>
    </w:p>
    <w:p w14:paraId="2971845E" w14:textId="77777777" w:rsidR="002E6C09" w:rsidRPr="001E6F82" w:rsidRDefault="002E6C09" w:rsidP="002E6C09">
      <w:pPr>
        <w:pStyle w:val="NormalBold"/>
      </w:pPr>
      <w:r w:rsidRPr="001E6F82">
        <w:t>Wniosek dotyczący rozporządzenia</w:t>
      </w:r>
    </w:p>
    <w:p w14:paraId="02EFCAD1" w14:textId="77777777" w:rsidR="002E6C09" w:rsidRPr="001E6F82" w:rsidRDefault="002E6C09" w:rsidP="002E6C09">
      <w:pPr>
        <w:pStyle w:val="NormalBold"/>
      </w:pPr>
      <w:r w:rsidRPr="001E6F82">
        <w:t>Motyw 26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DD85C43" w14:textId="77777777" w:rsidTr="00844FF8">
        <w:trPr>
          <w:trHeight w:val="240"/>
          <w:jc w:val="center"/>
        </w:trPr>
        <w:tc>
          <w:tcPr>
            <w:tcW w:w="9752" w:type="dxa"/>
            <w:gridSpan w:val="2"/>
            <w:tcBorders>
              <w:top w:val="nil"/>
              <w:left w:val="nil"/>
              <w:bottom w:val="nil"/>
              <w:right w:val="nil"/>
            </w:tcBorders>
          </w:tcPr>
          <w:p w14:paraId="44445E09" w14:textId="77777777" w:rsidR="002E6C09" w:rsidRPr="001E6F82" w:rsidRDefault="002E6C09" w:rsidP="00844FF8"/>
        </w:tc>
      </w:tr>
      <w:tr w:rsidR="002E6C09" w:rsidRPr="001E6F82" w14:paraId="2C0EFE19" w14:textId="77777777" w:rsidTr="00844FF8">
        <w:trPr>
          <w:trHeight w:val="240"/>
          <w:jc w:val="center"/>
        </w:trPr>
        <w:tc>
          <w:tcPr>
            <w:tcW w:w="4876" w:type="dxa"/>
            <w:tcBorders>
              <w:top w:val="nil"/>
              <w:left w:val="nil"/>
              <w:bottom w:val="nil"/>
              <w:right w:val="nil"/>
            </w:tcBorders>
            <w:hideMark/>
          </w:tcPr>
          <w:p w14:paraId="40582A6A"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1600791" w14:textId="77777777" w:rsidR="002E6C09" w:rsidRPr="001E6F82" w:rsidRDefault="002E6C09" w:rsidP="00844FF8">
            <w:pPr>
              <w:pStyle w:val="AmColumnHeading"/>
            </w:pPr>
            <w:r w:rsidRPr="001E6F82">
              <w:t>Poprawka</w:t>
            </w:r>
          </w:p>
        </w:tc>
      </w:tr>
      <w:tr w:rsidR="002E6C09" w:rsidRPr="001E6F82" w14:paraId="6DF03EBE" w14:textId="77777777" w:rsidTr="00844FF8">
        <w:trPr>
          <w:jc w:val="center"/>
        </w:trPr>
        <w:tc>
          <w:tcPr>
            <w:tcW w:w="4876" w:type="dxa"/>
            <w:tcBorders>
              <w:top w:val="nil"/>
              <w:left w:val="nil"/>
              <w:bottom w:val="nil"/>
              <w:right w:val="nil"/>
            </w:tcBorders>
          </w:tcPr>
          <w:p w14:paraId="5636D64E" w14:textId="77777777" w:rsidR="002E6C09" w:rsidRPr="001E6F82" w:rsidRDefault="002E6C09" w:rsidP="00844FF8">
            <w:pPr>
              <w:pStyle w:val="Normal6a"/>
            </w:pPr>
          </w:p>
        </w:tc>
        <w:tc>
          <w:tcPr>
            <w:tcW w:w="4876" w:type="dxa"/>
            <w:tcBorders>
              <w:top w:val="nil"/>
              <w:left w:val="nil"/>
              <w:bottom w:val="nil"/>
              <w:right w:val="nil"/>
            </w:tcBorders>
            <w:hideMark/>
          </w:tcPr>
          <w:p w14:paraId="10C84448" w14:textId="77777777" w:rsidR="002E6C09" w:rsidRPr="001E6F82" w:rsidRDefault="002E6C09" w:rsidP="00844FF8">
            <w:pPr>
              <w:pStyle w:val="Normal6a"/>
            </w:pPr>
            <w:r w:rsidRPr="001E6F82">
              <w:rPr>
                <w:b/>
                <w:i/>
              </w:rPr>
              <w:t>(26a)</w:t>
            </w:r>
            <w:r w:rsidRPr="001E6F82">
              <w:tab/>
            </w:r>
            <w:r w:rsidRPr="001E6F82">
              <w:rPr>
                <w:b/>
                <w:i/>
              </w:rPr>
              <w:t xml:space="preserve">Produkty nawozowe objęte rozporządzeniem (UE) 2019/1009 podlegają wymogom regulacyjnym i obciążeniom administracyjnym, które w razie ich zwiększenia mogą pogłębić lukę między kosztami produkcji rolnej w Unii a kosztami produkcji rolnej w państwach trzecich. Przegląd niniejszego rozporządzenia powinien zatem poskutkować uproszczeniem przepisów obowiązujących unijnych producentów nawozów i przynieść korzyści unijnym rolnikom, ułatwiając podmiotom wchodzenie na rynek UE i prowadzenie działalności wychodzącej poza rynki krajowe z korzyścią dla jednolitego rynku. W związku z tym nie powinien obniżać wysokiego poziomu ochrony konsumentów, zdrowia ludzkiego, środowiska i zarządzania ryzykiem. Ponadto złagodzenie wymogów sektorowych dotyczących produktów nawozowych nie może obniżyć poziomu kontroli, której podlegają te produkty, gdy wchodzą na rynek, ani budzić obaw co do </w:t>
            </w:r>
            <w:r w:rsidRPr="001E6F82">
              <w:rPr>
                <w:b/>
                <w:i/>
              </w:rPr>
              <w:lastRenderedPageBreak/>
              <w:t>identyfikowalności, bezpieczeństwa ani mieć wpływu na zaufanie do nich.</w:t>
            </w:r>
          </w:p>
        </w:tc>
      </w:tr>
    </w:tbl>
    <w:p w14:paraId="34A3EEE4" w14:textId="77777777" w:rsidR="002E6C09" w:rsidRPr="001E6F82" w:rsidRDefault="002E6C09" w:rsidP="002E6C09"/>
    <w:p w14:paraId="10108203" w14:textId="77777777" w:rsidR="002E6C09" w:rsidRPr="001E6F82" w:rsidRDefault="002E6C09" w:rsidP="002E6C09">
      <w:pPr>
        <w:pStyle w:val="AmNumberTabs"/>
      </w:pPr>
      <w:r w:rsidRPr="001E6F82">
        <w:t>Poprawka</w:t>
      </w:r>
      <w:r w:rsidRPr="001E6F82">
        <w:tab/>
      </w:r>
      <w:r w:rsidRPr="001E6F82">
        <w:tab/>
        <w:t>27</w:t>
      </w:r>
    </w:p>
    <w:p w14:paraId="6458771E" w14:textId="77777777" w:rsidR="002E6C09" w:rsidRPr="001E6F82" w:rsidRDefault="002E6C09" w:rsidP="002E6C09">
      <w:pPr>
        <w:pStyle w:val="NormalBold"/>
      </w:pPr>
      <w:r w:rsidRPr="001E6F82">
        <w:t>Wniosek dotyczący rozporządzenia</w:t>
      </w:r>
    </w:p>
    <w:p w14:paraId="30DEA56C" w14:textId="77777777" w:rsidR="002E6C09" w:rsidRPr="001E6F82" w:rsidRDefault="002E6C09" w:rsidP="002E6C09">
      <w:pPr>
        <w:pStyle w:val="NormalBold"/>
      </w:pPr>
      <w:r w:rsidRPr="001E6F82">
        <w:t>Motyw 26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B95B378" w14:textId="77777777" w:rsidTr="00844FF8">
        <w:trPr>
          <w:trHeight w:val="240"/>
          <w:jc w:val="center"/>
        </w:trPr>
        <w:tc>
          <w:tcPr>
            <w:tcW w:w="9752" w:type="dxa"/>
            <w:gridSpan w:val="2"/>
            <w:tcBorders>
              <w:top w:val="nil"/>
              <w:left w:val="nil"/>
              <w:bottom w:val="nil"/>
              <w:right w:val="nil"/>
            </w:tcBorders>
          </w:tcPr>
          <w:p w14:paraId="687CECCF" w14:textId="77777777" w:rsidR="002E6C09" w:rsidRPr="001E6F82" w:rsidRDefault="002E6C09" w:rsidP="00844FF8"/>
        </w:tc>
      </w:tr>
      <w:tr w:rsidR="002E6C09" w:rsidRPr="001E6F82" w14:paraId="35A534E6" w14:textId="77777777" w:rsidTr="00844FF8">
        <w:trPr>
          <w:trHeight w:val="240"/>
          <w:jc w:val="center"/>
        </w:trPr>
        <w:tc>
          <w:tcPr>
            <w:tcW w:w="4876" w:type="dxa"/>
            <w:tcBorders>
              <w:top w:val="nil"/>
              <w:left w:val="nil"/>
              <w:bottom w:val="nil"/>
              <w:right w:val="nil"/>
            </w:tcBorders>
            <w:hideMark/>
          </w:tcPr>
          <w:p w14:paraId="5912B62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DE28215" w14:textId="77777777" w:rsidR="002E6C09" w:rsidRPr="001E6F82" w:rsidRDefault="002E6C09" w:rsidP="00844FF8">
            <w:pPr>
              <w:pStyle w:val="AmColumnHeading"/>
            </w:pPr>
            <w:r w:rsidRPr="001E6F82">
              <w:t>Poprawka</w:t>
            </w:r>
          </w:p>
        </w:tc>
      </w:tr>
      <w:tr w:rsidR="002E6C09" w:rsidRPr="001E6F82" w14:paraId="2C05FE94" w14:textId="77777777" w:rsidTr="00844FF8">
        <w:trPr>
          <w:jc w:val="center"/>
        </w:trPr>
        <w:tc>
          <w:tcPr>
            <w:tcW w:w="4876" w:type="dxa"/>
            <w:tcBorders>
              <w:top w:val="nil"/>
              <w:left w:val="nil"/>
              <w:bottom w:val="nil"/>
              <w:right w:val="nil"/>
            </w:tcBorders>
          </w:tcPr>
          <w:p w14:paraId="1DEB2A28" w14:textId="77777777" w:rsidR="002E6C09" w:rsidRPr="001E6F82" w:rsidRDefault="002E6C09" w:rsidP="00844FF8">
            <w:pPr>
              <w:pStyle w:val="Normal6a"/>
            </w:pPr>
          </w:p>
        </w:tc>
        <w:tc>
          <w:tcPr>
            <w:tcW w:w="4876" w:type="dxa"/>
            <w:tcBorders>
              <w:top w:val="nil"/>
              <w:left w:val="nil"/>
              <w:bottom w:val="nil"/>
              <w:right w:val="nil"/>
            </w:tcBorders>
            <w:hideMark/>
          </w:tcPr>
          <w:p w14:paraId="61BD08C3" w14:textId="77777777" w:rsidR="002E6C09" w:rsidRPr="001E6F82" w:rsidRDefault="002E6C09" w:rsidP="00844FF8">
            <w:pPr>
              <w:pStyle w:val="Normal6a"/>
            </w:pPr>
            <w:r w:rsidRPr="001E6F82">
              <w:rPr>
                <w:b/>
                <w:i/>
              </w:rPr>
              <w:t>(26b)</w:t>
            </w:r>
            <w:r w:rsidRPr="001E6F82">
              <w:tab/>
            </w:r>
            <w:r w:rsidRPr="001E6F82">
              <w:rPr>
                <w:b/>
                <w:i/>
              </w:rPr>
              <w:t xml:space="preserve">Cyfryzacja deklaracji zgodności i informacji technicznych o produkcie może przynieść pewne korzyści. Należy jednak zwrócić należytą uwagę na </w:t>
            </w:r>
            <w:proofErr w:type="spellStart"/>
            <w:r w:rsidRPr="001E6F82">
              <w:rPr>
                <w:b/>
                <w:i/>
              </w:rPr>
              <w:t>cyberbezpieczeństwo</w:t>
            </w:r>
            <w:proofErr w:type="spellEnd"/>
            <w:r w:rsidRPr="001E6F82">
              <w:rPr>
                <w:b/>
                <w:i/>
              </w:rPr>
              <w:t>, skuteczny i szybki nadzór nad egzekwowaniem przepisów, dostępność i interoperacyjność infrastruktury cyfrowej, potencjalne koszty wprowadzenia i eksploatacji takich systemów oraz różnorodność podmiotów gospodarczych i systemów krajowych.</w:t>
            </w:r>
          </w:p>
        </w:tc>
      </w:tr>
    </w:tbl>
    <w:p w14:paraId="7D043028" w14:textId="77777777" w:rsidR="002E6C09" w:rsidRPr="001E6F82" w:rsidRDefault="002E6C09" w:rsidP="002E6C09"/>
    <w:p w14:paraId="24B857CF" w14:textId="77777777" w:rsidR="002E6C09" w:rsidRPr="001E6F82" w:rsidRDefault="002E6C09" w:rsidP="002E6C09">
      <w:pPr>
        <w:pStyle w:val="AmNumberTabs"/>
      </w:pPr>
      <w:r w:rsidRPr="001E6F82">
        <w:t>Poprawka</w:t>
      </w:r>
      <w:r w:rsidRPr="001E6F82">
        <w:tab/>
      </w:r>
      <w:r w:rsidRPr="001E6F82">
        <w:tab/>
        <w:t>28</w:t>
      </w:r>
    </w:p>
    <w:p w14:paraId="4F0D5B9E" w14:textId="77777777" w:rsidR="002E6C09" w:rsidRPr="001E6F82" w:rsidRDefault="002E6C09" w:rsidP="002E6C09">
      <w:pPr>
        <w:pStyle w:val="NormalBold"/>
      </w:pPr>
      <w:r w:rsidRPr="001E6F82">
        <w:t>Wniosek dotyczący rozporządzenia</w:t>
      </w:r>
    </w:p>
    <w:p w14:paraId="4E8097CF" w14:textId="77777777" w:rsidR="002E6C09" w:rsidRPr="001E6F82" w:rsidRDefault="002E6C09" w:rsidP="002E6C09">
      <w:pPr>
        <w:pStyle w:val="NormalBold"/>
      </w:pPr>
      <w:r w:rsidRPr="001E6F82">
        <w:t>Motyw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BFF3B79" w14:textId="77777777" w:rsidTr="00844FF8">
        <w:trPr>
          <w:trHeight w:val="240"/>
          <w:jc w:val="center"/>
        </w:trPr>
        <w:tc>
          <w:tcPr>
            <w:tcW w:w="9752" w:type="dxa"/>
            <w:gridSpan w:val="2"/>
            <w:tcBorders>
              <w:top w:val="nil"/>
              <w:left w:val="nil"/>
              <w:bottom w:val="nil"/>
              <w:right w:val="nil"/>
            </w:tcBorders>
          </w:tcPr>
          <w:p w14:paraId="364CD11E" w14:textId="77777777" w:rsidR="002E6C09" w:rsidRPr="001E6F82" w:rsidRDefault="002E6C09" w:rsidP="00844FF8"/>
        </w:tc>
      </w:tr>
      <w:tr w:rsidR="002E6C09" w:rsidRPr="001E6F82" w14:paraId="03955484" w14:textId="77777777" w:rsidTr="00844FF8">
        <w:trPr>
          <w:trHeight w:val="240"/>
          <w:jc w:val="center"/>
        </w:trPr>
        <w:tc>
          <w:tcPr>
            <w:tcW w:w="4876" w:type="dxa"/>
            <w:tcBorders>
              <w:top w:val="nil"/>
              <w:left w:val="nil"/>
              <w:bottom w:val="nil"/>
              <w:right w:val="nil"/>
            </w:tcBorders>
            <w:hideMark/>
          </w:tcPr>
          <w:p w14:paraId="4999670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D132C40" w14:textId="77777777" w:rsidR="002E6C09" w:rsidRPr="001E6F82" w:rsidRDefault="002E6C09" w:rsidP="00844FF8">
            <w:pPr>
              <w:pStyle w:val="AmColumnHeading"/>
            </w:pPr>
            <w:r w:rsidRPr="001E6F82">
              <w:t>Poprawka</w:t>
            </w:r>
          </w:p>
        </w:tc>
      </w:tr>
      <w:tr w:rsidR="002E6C09" w:rsidRPr="001E6F82" w14:paraId="6980928A" w14:textId="77777777" w:rsidTr="00844FF8">
        <w:trPr>
          <w:jc w:val="center"/>
        </w:trPr>
        <w:tc>
          <w:tcPr>
            <w:tcW w:w="4876" w:type="dxa"/>
            <w:tcBorders>
              <w:top w:val="nil"/>
              <w:left w:val="nil"/>
              <w:bottom w:val="nil"/>
              <w:right w:val="nil"/>
            </w:tcBorders>
            <w:hideMark/>
          </w:tcPr>
          <w:p w14:paraId="12D80773" w14:textId="77777777" w:rsidR="002E6C09" w:rsidRPr="001E6F82" w:rsidRDefault="002E6C09" w:rsidP="00844FF8">
            <w:pPr>
              <w:pStyle w:val="Normal6a"/>
            </w:pPr>
            <w:r w:rsidRPr="001E6F82">
              <w:t>(27)</w:t>
            </w:r>
            <w:r w:rsidRPr="001E6F82">
              <w:tab/>
              <w:t xml:space="preserve">Zgodnie z rozporządzeniem (UE) 2019/1009 wyłącznie mikroorganizmy wymienione w wykazie pozytywnym w załączniku II do tego rozporządzenia mogą być stosowane jako materiał składowy w biostymulatorach mikrobiologicznych. Komisja jest uprawniona do dodawania nowych mikroorganizmów lub szczepów mikroorganizmów do tego wykazu po przeprowadzeniu oceny prowadzącej do konkluzji, że żaden ze szczepów nie stanowi zagrożenia dla zdrowia ludzkiego, zwierząt lub roślin, dla bezpieczeństwa ani dla środowiska oraz że zapewnia on efektywność mikroorganizmów agronomiczną. Biorąc pod uwagę dużą liczbę na rynku, proces oceny nowych mikroorganizmów lub szczepów mikroorganizmów, a następnie włączenia ich do wykazu pozytywnego nie nadąża za postępem naukowym. Obecny mechanizm </w:t>
            </w:r>
            <w:r w:rsidRPr="001E6F82">
              <w:lastRenderedPageBreak/>
              <w:t>spowalnia rozwój biostymulatorów mikrobiologicznych i opóźnia dostęp rolników do tych innowacyjnych produktów nawozowych</w:t>
            </w:r>
            <w:r w:rsidRPr="001E6F82">
              <w:rPr>
                <w:b/>
                <w:i/>
              </w:rPr>
              <w:t>, które mogą stymulować procesy odżywiania roślin</w:t>
            </w:r>
            <w:r w:rsidRPr="001E6F82">
              <w:t xml:space="preserve">, a </w:t>
            </w:r>
            <w:r w:rsidRPr="001E6F82">
              <w:rPr>
                <w:b/>
                <w:i/>
              </w:rPr>
              <w:t>tym samym ograniczać</w:t>
            </w:r>
            <w:r w:rsidRPr="001E6F82">
              <w:t xml:space="preserve"> stosowanie tradycyjnych </w:t>
            </w:r>
            <w:r w:rsidRPr="001E6F82">
              <w:rPr>
                <w:b/>
                <w:i/>
              </w:rPr>
              <w:t>nawozów</w:t>
            </w:r>
            <w:r w:rsidRPr="001E6F82">
              <w:t>.</w:t>
            </w:r>
          </w:p>
        </w:tc>
        <w:tc>
          <w:tcPr>
            <w:tcW w:w="4876" w:type="dxa"/>
            <w:tcBorders>
              <w:top w:val="nil"/>
              <w:left w:val="nil"/>
              <w:bottom w:val="nil"/>
              <w:right w:val="nil"/>
            </w:tcBorders>
            <w:hideMark/>
          </w:tcPr>
          <w:p w14:paraId="04A282CD" w14:textId="77777777" w:rsidR="002E6C09" w:rsidRPr="001E6F82" w:rsidRDefault="002E6C09" w:rsidP="00844FF8">
            <w:pPr>
              <w:pStyle w:val="Normal6a"/>
            </w:pPr>
            <w:r w:rsidRPr="001E6F82">
              <w:lastRenderedPageBreak/>
              <w:t>(27)</w:t>
            </w:r>
            <w:r w:rsidRPr="001E6F82">
              <w:tab/>
              <w:t xml:space="preserve">Zgodnie z rozporządzeniem (UE) 2019/1009 wyłącznie mikroorganizmy wymienione w wykazie pozytywnym w załączniku II do tego rozporządzenia mogą być stosowane jako materiał składowy w biostymulatorach mikrobiologicznych. Komisja jest uprawniona do dodawania nowych mikroorganizmów lub szczepów mikroorganizmów do tego wykazu po przeprowadzeniu oceny prowadzącej do konkluzji, że żaden ze szczepów nie stanowi zagrożenia dla zdrowia ludzkiego, zwierząt lub roślin, dla bezpieczeństwa ani dla środowiska oraz że zapewnia on efektywność agronomiczną. Biorąc pod uwagę dużą liczbę mikroorganizmów na rynku, proces oceny nowych mikroorganizmów lub szczepów mikroorganizmów, a następnie włączenia ich do wykazu pozytywnego nie nadąża za postępem naukowym. Obecny mechanizm </w:t>
            </w:r>
            <w:r w:rsidRPr="001E6F82">
              <w:lastRenderedPageBreak/>
              <w:t>spowalnia rozwój biostymulatorów mikrobiologicznych i opóźnia dostęp rolników do tych innowacyjnych produktów nawozowych</w:t>
            </w:r>
            <w:r w:rsidRPr="001E6F82">
              <w:rPr>
                <w:b/>
                <w:i/>
              </w:rPr>
              <w:t>. Konieczne jest ciągłe proaktywne monitorowanie rozwoju naukowego i aktualizowanie wykazu mikroorganizmów lub szczepów mikroorganizmów oraz odpowiednich kryteriów i metodyki. Ponadto wszystkie aktualizacje powinny być szybko wdrażane. Jednocześnie ramy regulacyjne powinny zagwarantować, że</w:t>
            </w:r>
            <w:r w:rsidRPr="001E6F82">
              <w:t xml:space="preserve"> stosowanie tradycyjnych </w:t>
            </w:r>
            <w:r w:rsidRPr="001E6F82">
              <w:rPr>
                <w:b/>
                <w:i/>
              </w:rPr>
              <w:t>i naturalnych</w:t>
            </w:r>
            <w:r w:rsidRPr="001E6F82">
              <w:t xml:space="preserve"> </w:t>
            </w:r>
            <w:r w:rsidRPr="001E6F82">
              <w:rPr>
                <w:b/>
                <w:i/>
              </w:rPr>
              <w:t>nawozów pozostanie realną i dostępną opcją, uznając ich rolę obok rozwiązań mikrobiologicznych, tak aby nie osłabiać konkurencyjności ani produkcji rolnej w Unii</w:t>
            </w:r>
            <w:r w:rsidRPr="001E6F82">
              <w:t>.</w:t>
            </w:r>
          </w:p>
        </w:tc>
      </w:tr>
    </w:tbl>
    <w:p w14:paraId="0482AE73" w14:textId="77777777" w:rsidR="002E6C09" w:rsidRPr="001E6F82" w:rsidRDefault="002E6C09" w:rsidP="002E6C09"/>
    <w:p w14:paraId="246B1DFD" w14:textId="77777777" w:rsidR="002E6C09" w:rsidRPr="001E6F82" w:rsidRDefault="002E6C09" w:rsidP="002E6C09">
      <w:pPr>
        <w:pStyle w:val="AmNumberTabs"/>
      </w:pPr>
      <w:r w:rsidRPr="001E6F82">
        <w:t>Poprawka</w:t>
      </w:r>
      <w:r w:rsidRPr="001E6F82">
        <w:tab/>
      </w:r>
      <w:r w:rsidRPr="001E6F82">
        <w:tab/>
        <w:t>29</w:t>
      </w:r>
    </w:p>
    <w:p w14:paraId="3C6A2CD5" w14:textId="77777777" w:rsidR="002E6C09" w:rsidRPr="001E6F82" w:rsidRDefault="002E6C09" w:rsidP="002E6C09">
      <w:pPr>
        <w:pStyle w:val="NormalBold"/>
      </w:pPr>
      <w:r w:rsidRPr="001E6F82">
        <w:t>Wniosek dotyczący rozporządzenia</w:t>
      </w:r>
    </w:p>
    <w:p w14:paraId="5046AA84" w14:textId="77777777" w:rsidR="002E6C09" w:rsidRPr="001E6F82" w:rsidRDefault="002E6C09" w:rsidP="002E6C09">
      <w:pPr>
        <w:pStyle w:val="NormalBold"/>
      </w:pPr>
      <w:r w:rsidRPr="001E6F82">
        <w:t>Motyw 27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57944F8" w14:textId="77777777" w:rsidTr="00844FF8">
        <w:trPr>
          <w:trHeight w:val="240"/>
          <w:jc w:val="center"/>
        </w:trPr>
        <w:tc>
          <w:tcPr>
            <w:tcW w:w="9752" w:type="dxa"/>
            <w:gridSpan w:val="2"/>
            <w:tcBorders>
              <w:top w:val="nil"/>
              <w:left w:val="nil"/>
              <w:bottom w:val="nil"/>
              <w:right w:val="nil"/>
            </w:tcBorders>
          </w:tcPr>
          <w:p w14:paraId="42085A34" w14:textId="77777777" w:rsidR="002E6C09" w:rsidRPr="001E6F82" w:rsidRDefault="002E6C09" w:rsidP="00844FF8"/>
        </w:tc>
      </w:tr>
      <w:tr w:rsidR="002E6C09" w:rsidRPr="001E6F82" w14:paraId="7FC8C531" w14:textId="77777777" w:rsidTr="00844FF8">
        <w:trPr>
          <w:trHeight w:val="240"/>
          <w:jc w:val="center"/>
        </w:trPr>
        <w:tc>
          <w:tcPr>
            <w:tcW w:w="4876" w:type="dxa"/>
            <w:tcBorders>
              <w:top w:val="nil"/>
              <w:left w:val="nil"/>
              <w:bottom w:val="nil"/>
              <w:right w:val="nil"/>
            </w:tcBorders>
            <w:hideMark/>
          </w:tcPr>
          <w:p w14:paraId="2857D442"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C76AC9C" w14:textId="77777777" w:rsidR="002E6C09" w:rsidRPr="001E6F82" w:rsidRDefault="002E6C09" w:rsidP="00844FF8">
            <w:pPr>
              <w:pStyle w:val="AmColumnHeading"/>
            </w:pPr>
            <w:r w:rsidRPr="001E6F82">
              <w:t>Poprawka</w:t>
            </w:r>
          </w:p>
        </w:tc>
      </w:tr>
      <w:tr w:rsidR="002E6C09" w:rsidRPr="001E6F82" w14:paraId="3C1B4BA5" w14:textId="77777777" w:rsidTr="00844FF8">
        <w:trPr>
          <w:jc w:val="center"/>
        </w:trPr>
        <w:tc>
          <w:tcPr>
            <w:tcW w:w="4876" w:type="dxa"/>
            <w:tcBorders>
              <w:top w:val="nil"/>
              <w:left w:val="nil"/>
              <w:bottom w:val="nil"/>
              <w:right w:val="nil"/>
            </w:tcBorders>
          </w:tcPr>
          <w:p w14:paraId="5441F7EA" w14:textId="77777777" w:rsidR="002E6C09" w:rsidRPr="001E6F82" w:rsidRDefault="002E6C09" w:rsidP="00844FF8">
            <w:pPr>
              <w:pStyle w:val="Normal6a"/>
            </w:pPr>
          </w:p>
        </w:tc>
        <w:tc>
          <w:tcPr>
            <w:tcW w:w="4876" w:type="dxa"/>
            <w:tcBorders>
              <w:top w:val="nil"/>
              <w:left w:val="nil"/>
              <w:bottom w:val="nil"/>
              <w:right w:val="nil"/>
            </w:tcBorders>
            <w:hideMark/>
          </w:tcPr>
          <w:p w14:paraId="01D0A374" w14:textId="77777777" w:rsidR="002E6C09" w:rsidRPr="001E6F82" w:rsidRDefault="002E6C09" w:rsidP="00844FF8">
            <w:pPr>
              <w:pStyle w:val="Normal6a"/>
            </w:pPr>
            <w:r w:rsidRPr="001E6F82">
              <w:rPr>
                <w:b/>
                <w:i/>
              </w:rPr>
              <w:t>(27a)</w:t>
            </w:r>
            <w:r w:rsidRPr="001E6F82">
              <w:tab/>
            </w:r>
            <w:r w:rsidRPr="001E6F82">
              <w:rPr>
                <w:b/>
                <w:i/>
              </w:rPr>
              <w:t>Biorąc pod uwagę szybkie tempo innowacji w biotechnologii rolniczej, ważne jest, aby istniejące procedury regulacyjne, w tym aktualizacja załączników przez Komisję, przebiegały w sposób terminowy i oparty na podstawach naukowych, przy pełnym wykorzystaniu możliwości przewidzianych już w rozporządzeniu (UE) 2019/1009. Powinno to ułatwić terminową ocenę nowych szczepów, a jednocześnie zagwarantować, że na rynku dopuszczane będą wyłącznie te szczepy, które spełniają unijne wymogi bezpieczeństwa.</w:t>
            </w:r>
          </w:p>
        </w:tc>
      </w:tr>
    </w:tbl>
    <w:p w14:paraId="7E31BCC0" w14:textId="77777777" w:rsidR="002E6C09" w:rsidRPr="001E6F82" w:rsidRDefault="002E6C09" w:rsidP="002E6C09"/>
    <w:p w14:paraId="5523115A" w14:textId="77777777" w:rsidR="002E6C09" w:rsidRPr="001E6F82" w:rsidRDefault="002E6C09" w:rsidP="002E6C09">
      <w:pPr>
        <w:pStyle w:val="AmNumberTabs"/>
      </w:pPr>
      <w:r w:rsidRPr="001E6F82">
        <w:t>Poprawka</w:t>
      </w:r>
      <w:r w:rsidRPr="001E6F82">
        <w:tab/>
      </w:r>
      <w:r w:rsidRPr="001E6F82">
        <w:tab/>
        <w:t>30</w:t>
      </w:r>
    </w:p>
    <w:p w14:paraId="3D5D906C" w14:textId="77777777" w:rsidR="002E6C09" w:rsidRPr="001E6F82" w:rsidRDefault="002E6C09" w:rsidP="002E6C09">
      <w:pPr>
        <w:pStyle w:val="NormalBold"/>
      </w:pPr>
      <w:r w:rsidRPr="001E6F82">
        <w:t>Wniosek dotyczący rozporządzenia</w:t>
      </w:r>
    </w:p>
    <w:p w14:paraId="497A5A32" w14:textId="77777777" w:rsidR="002E6C09" w:rsidRPr="001E6F82" w:rsidRDefault="002E6C09" w:rsidP="002E6C09">
      <w:pPr>
        <w:pStyle w:val="NormalBold"/>
      </w:pPr>
      <w:r w:rsidRPr="001E6F82">
        <w:t>Motyw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4F4B827" w14:textId="77777777" w:rsidTr="00844FF8">
        <w:trPr>
          <w:trHeight w:val="240"/>
          <w:jc w:val="center"/>
        </w:trPr>
        <w:tc>
          <w:tcPr>
            <w:tcW w:w="9752" w:type="dxa"/>
            <w:gridSpan w:val="2"/>
            <w:tcBorders>
              <w:top w:val="nil"/>
              <w:left w:val="nil"/>
              <w:bottom w:val="nil"/>
              <w:right w:val="nil"/>
            </w:tcBorders>
          </w:tcPr>
          <w:p w14:paraId="75E31DA2" w14:textId="77777777" w:rsidR="002E6C09" w:rsidRPr="001E6F82" w:rsidRDefault="002E6C09" w:rsidP="00844FF8"/>
        </w:tc>
      </w:tr>
      <w:tr w:rsidR="002E6C09" w:rsidRPr="001E6F82" w14:paraId="58F24B31" w14:textId="77777777" w:rsidTr="00844FF8">
        <w:trPr>
          <w:trHeight w:val="240"/>
          <w:jc w:val="center"/>
        </w:trPr>
        <w:tc>
          <w:tcPr>
            <w:tcW w:w="4876" w:type="dxa"/>
            <w:tcBorders>
              <w:top w:val="nil"/>
              <w:left w:val="nil"/>
              <w:bottom w:val="nil"/>
              <w:right w:val="nil"/>
            </w:tcBorders>
            <w:hideMark/>
          </w:tcPr>
          <w:p w14:paraId="5B49840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E5A4ABF" w14:textId="77777777" w:rsidR="002E6C09" w:rsidRPr="001E6F82" w:rsidRDefault="002E6C09" w:rsidP="00844FF8">
            <w:pPr>
              <w:pStyle w:val="AmColumnHeading"/>
            </w:pPr>
            <w:r w:rsidRPr="001E6F82">
              <w:t>Poprawka</w:t>
            </w:r>
          </w:p>
        </w:tc>
      </w:tr>
      <w:tr w:rsidR="002E6C09" w:rsidRPr="001E6F82" w14:paraId="11314858" w14:textId="77777777" w:rsidTr="00844FF8">
        <w:trPr>
          <w:jc w:val="center"/>
        </w:trPr>
        <w:tc>
          <w:tcPr>
            <w:tcW w:w="4876" w:type="dxa"/>
            <w:tcBorders>
              <w:top w:val="nil"/>
              <w:left w:val="nil"/>
              <w:bottom w:val="nil"/>
              <w:right w:val="nil"/>
            </w:tcBorders>
            <w:hideMark/>
          </w:tcPr>
          <w:p w14:paraId="623B6D6B" w14:textId="77777777" w:rsidR="002E6C09" w:rsidRPr="001E6F82" w:rsidRDefault="002E6C09" w:rsidP="00844FF8">
            <w:pPr>
              <w:pStyle w:val="Normal6a"/>
            </w:pPr>
            <w:r w:rsidRPr="001E6F82">
              <w:t>(28)</w:t>
            </w:r>
            <w:r w:rsidRPr="001E6F82">
              <w:tab/>
              <w:t xml:space="preserve">W celu przyspieszenia oceny mikroorganizmów i otwarcia jednolitego </w:t>
            </w:r>
            <w:r w:rsidRPr="001E6F82">
              <w:lastRenderedPageBreak/>
              <w:t xml:space="preserve">rynku dla większej ilości biostymulatorów mikrobiologicznych należy przekazać Komisji uprawnienia do przyjmowania aktów zgodnie z art. 290 Traktatu o funkcjonowaniu Unii Europejskiej w odniesieniu do kategorii materiałów składowych (CMC) 7 określonej w </w:t>
            </w:r>
            <w:r w:rsidRPr="001E6F82">
              <w:rPr>
                <w:b/>
                <w:i/>
              </w:rPr>
              <w:t>załączniku</w:t>
            </w:r>
            <w:r w:rsidRPr="001E6F82">
              <w:t xml:space="preserve"> II do rozporządzenia (UE) 2019/1009, aby umożliwić Komisji wprowadzenie ogólnych kryteriów i metodyki oceny mikroorganizmów. Te kryteria </w:t>
            </w:r>
            <w:r w:rsidRPr="001E6F82">
              <w:rPr>
                <w:b/>
                <w:i/>
              </w:rPr>
              <w:t>i metodyka powinny</w:t>
            </w:r>
            <w:r w:rsidRPr="001E6F82">
              <w:t xml:space="preserve"> umożliwiać producentom i jednostkom notyfikowanym wykazanie i </w:t>
            </w:r>
            <w:proofErr w:type="gramStart"/>
            <w:r w:rsidRPr="001E6F82">
              <w:t>sprawdzenie,</w:t>
            </w:r>
            <w:proofErr w:type="gramEnd"/>
            <w:r w:rsidRPr="001E6F82">
              <w:t xml:space="preserve"> czy mikroorganizmy stosowane w biostymulatorach mikrobiologicznych, inne niż wymienione w CMC 7, nie stanowią zagrożenia dla zdrowia ludzkiego, zwierząt lub roślin, dla bezpieczeństwa lub dla środowiska oraz czy zapewniają efektywność agronomiczną. Aby doprecyzować i zweryfikować wprowadzane kryteria i metodykę, szczególnie ważne jest, aby w czasie prac przygotowawczych </w:t>
            </w:r>
            <w:r w:rsidRPr="001E6F82">
              <w:rPr>
                <w:b/>
                <w:i/>
              </w:rPr>
              <w:t>Komisja</w:t>
            </w:r>
            <w:r w:rsidRPr="001E6F82">
              <w:t xml:space="preserve"> prowadziła stosowne konsultacje, w tym na poziomie ekspertów, </w:t>
            </w:r>
            <w:r w:rsidRPr="001E6F82">
              <w:rPr>
                <w:b/>
                <w:i/>
              </w:rPr>
              <w:t>oraz aby konsultacje</w:t>
            </w:r>
            <w:r w:rsidRPr="001E6F82">
              <w:t xml:space="preserve"> te </w:t>
            </w:r>
            <w:r w:rsidRPr="001E6F82">
              <w:rPr>
                <w:b/>
                <w:i/>
              </w:rPr>
              <w:t>prowadzone były zgodnie</w:t>
            </w:r>
            <w:r w:rsidRPr="001E6F82">
              <w:t xml:space="preserve"> z zasadami określonymi w Porozumieniu międzyinstytucjonalnym z dnia 13 kwietnia 2016 r. w sprawie lepszego stanowienia prawa13.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hideMark/>
          </w:tcPr>
          <w:p w14:paraId="1CE17AD0" w14:textId="77777777" w:rsidR="002E6C09" w:rsidRPr="001E6F82" w:rsidRDefault="002E6C09" w:rsidP="00844FF8">
            <w:pPr>
              <w:pStyle w:val="Normal6a"/>
            </w:pPr>
            <w:r w:rsidRPr="001E6F82">
              <w:lastRenderedPageBreak/>
              <w:t>(28)</w:t>
            </w:r>
            <w:r w:rsidRPr="001E6F82">
              <w:tab/>
            </w:r>
            <w:r w:rsidRPr="001E6F82">
              <w:rPr>
                <w:b/>
                <w:i/>
              </w:rPr>
              <w:t xml:space="preserve">Szersze stosowanie biostymulatorów mikrobiologicznych </w:t>
            </w:r>
            <w:r w:rsidRPr="001E6F82">
              <w:rPr>
                <w:b/>
                <w:i/>
              </w:rPr>
              <w:lastRenderedPageBreak/>
              <w:t>może poprawić efektywność wykorzystania składników odżywczych i zdrowie gleby, wspierając tym samym rozwój zrównoważonego, a zarazem wysoce produktywnego rolnictwa.</w:t>
            </w:r>
            <w:r w:rsidRPr="001E6F82">
              <w:t xml:space="preserve"> W celu przyspieszenia oceny mikroorganizmów i otwarcia jednolitego rynku dla większej ilości biostymulatorów mikrobiologicznych należy przekazać Komisji uprawnienia do przyjmowania aktów zgodnie z art. 290 Traktatu o funkcjonowaniu Unii Europejskiej w odniesieniu do kategorii materiałów składowych (CMC) 7 określonej w </w:t>
            </w:r>
            <w:r w:rsidRPr="001E6F82">
              <w:rPr>
                <w:b/>
                <w:i/>
              </w:rPr>
              <w:t>części II załącznika</w:t>
            </w:r>
            <w:r w:rsidRPr="001E6F82">
              <w:t xml:space="preserve"> II do rozporządzenia (UE) 2019/1009, aby umożliwić Komisji wprowadzenie ogólnych kryteriów i metodyki oceny mikroorganizmów. Te kryteria </w:t>
            </w:r>
            <w:r w:rsidRPr="001E6F82">
              <w:rPr>
                <w:b/>
                <w:i/>
              </w:rPr>
              <w:t>powinny odzwierciedlać najnowsze osiągnięcia naukowe i</w:t>
            </w:r>
            <w:r w:rsidRPr="001E6F82">
              <w:t xml:space="preserve"> umożliwiać producentom i jednostkom notyfikowanym wykazanie i </w:t>
            </w:r>
            <w:proofErr w:type="gramStart"/>
            <w:r w:rsidRPr="001E6F82">
              <w:t>sprawdzenie,</w:t>
            </w:r>
            <w:proofErr w:type="gramEnd"/>
            <w:r w:rsidRPr="001E6F82">
              <w:t xml:space="preserve"> czy mikroorganizmy stosowane w biostymulatorach mikrobiologicznych, inne niż wymienione w CMC 7, nie stanowią zagrożenia dla zdrowia ludzkiego, zwierząt lub roślin, dla bezpieczeństwa lub dla środowiska oraz czy zapewniają efektywność agronomiczną</w:t>
            </w:r>
            <w:r w:rsidRPr="001E6F82">
              <w:rPr>
                <w:b/>
                <w:i/>
              </w:rPr>
              <w:t>, przy uwzględnieniu konkurencyjności i produkcji unijnej. Weryfikacja zgodności mikroorganizmów z kryteriami i metodyką określonymi w niniejszym rozporządzeniu wymaga od jednostek oceniających zgodność szczególnych kompetencji oraz wiedzy naukowej i technicznej. Kompetencje te powinny być zatem kontrolowane przez krajowe organy odpowiedzialne za akredytację i notyfikację, podobnie jak takie aspekty jak niezależność, obiektywizm, bezstronność i uczciwość zawodowa</w:t>
            </w:r>
            <w:r w:rsidRPr="001E6F82">
              <w:t xml:space="preserve">. Aby doprecyzować i zweryfikować wprowadzane kryteria i metodykę, szczególnie ważne jest, aby </w:t>
            </w:r>
            <w:r w:rsidRPr="001E6F82">
              <w:rPr>
                <w:b/>
                <w:i/>
              </w:rPr>
              <w:t>Komisja angażowała odpowiednie organy naukowe, w szczególności Europejski Urząd ds. Bezpieczeństwa Żywności, JRC i ECHA, w sprawdzanie i przedstawianie uwag, a także aby</w:t>
            </w:r>
            <w:r w:rsidRPr="001E6F82">
              <w:t xml:space="preserve"> w czasie prac przygotowawczych prowadziła stosowne </w:t>
            </w:r>
            <w:r w:rsidRPr="001E6F82">
              <w:lastRenderedPageBreak/>
              <w:t>konsultacje, w tym na poziomie ekspertów</w:t>
            </w:r>
            <w:r w:rsidRPr="001E6F82">
              <w:rPr>
                <w:b/>
                <w:i/>
              </w:rPr>
              <w:t>. Istotne jest</w:t>
            </w:r>
            <w:r w:rsidRPr="001E6F82">
              <w:t xml:space="preserve">, </w:t>
            </w:r>
            <w:r w:rsidRPr="001E6F82">
              <w:rPr>
                <w:b/>
                <w:i/>
              </w:rPr>
              <w:t>aby Komisja podtrzymała ścisłą współpracę międzyinstytucjonalną, prowadząc</w:t>
            </w:r>
            <w:r w:rsidRPr="001E6F82">
              <w:t xml:space="preserve"> te </w:t>
            </w:r>
            <w:r w:rsidRPr="001E6F82">
              <w:rPr>
                <w:b/>
                <w:i/>
              </w:rPr>
              <w:t>konsultacje międzyinstytucjonalne, które powinny się odbywać w pełnej zgodności</w:t>
            </w:r>
            <w:r w:rsidRPr="001E6F82">
              <w:t xml:space="preserve"> z zasadami określonymi w Porozumieniu międzyinstytucjonalnym z dnia 13 kwietnia 2016 r. w sprawie lepszego stanowienia prawa13.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2E6C09" w:rsidRPr="001E6F82" w14:paraId="7F666FDA" w14:textId="77777777" w:rsidTr="00844FF8">
        <w:trPr>
          <w:jc w:val="center"/>
        </w:trPr>
        <w:tc>
          <w:tcPr>
            <w:tcW w:w="4876" w:type="dxa"/>
            <w:tcBorders>
              <w:top w:val="nil"/>
              <w:left w:val="nil"/>
              <w:bottom w:val="nil"/>
              <w:right w:val="nil"/>
            </w:tcBorders>
            <w:hideMark/>
          </w:tcPr>
          <w:p w14:paraId="2AB11616" w14:textId="77777777" w:rsidR="002E6C09" w:rsidRPr="001E6F82" w:rsidRDefault="002E6C09" w:rsidP="00844FF8">
            <w:pPr>
              <w:pStyle w:val="Normal6a"/>
            </w:pPr>
            <w:r w:rsidRPr="001E6F82">
              <w:rPr>
                <w:b/>
                <w:i/>
              </w:rPr>
              <w:lastRenderedPageBreak/>
              <w:t>_________________</w:t>
            </w:r>
          </w:p>
        </w:tc>
        <w:tc>
          <w:tcPr>
            <w:tcW w:w="4876" w:type="dxa"/>
            <w:tcBorders>
              <w:top w:val="nil"/>
              <w:left w:val="nil"/>
              <w:bottom w:val="nil"/>
              <w:right w:val="nil"/>
            </w:tcBorders>
          </w:tcPr>
          <w:p w14:paraId="66A913B8" w14:textId="77777777" w:rsidR="002E6C09" w:rsidRPr="001E6F82" w:rsidRDefault="002E6C09" w:rsidP="00844FF8">
            <w:r w:rsidRPr="001E6F82">
              <w:rPr>
                <w:b/>
                <w:i/>
              </w:rPr>
              <w:t>_________________</w:t>
            </w:r>
          </w:p>
        </w:tc>
      </w:tr>
      <w:tr w:rsidR="002E6C09" w:rsidRPr="001E6F82" w14:paraId="49E62200" w14:textId="77777777" w:rsidTr="00844FF8">
        <w:trPr>
          <w:jc w:val="center"/>
        </w:trPr>
        <w:tc>
          <w:tcPr>
            <w:tcW w:w="4876" w:type="dxa"/>
            <w:tcBorders>
              <w:top w:val="nil"/>
              <w:left w:val="nil"/>
              <w:bottom w:val="nil"/>
              <w:right w:val="nil"/>
            </w:tcBorders>
            <w:hideMark/>
          </w:tcPr>
          <w:p w14:paraId="17DE019F" w14:textId="77777777" w:rsidR="002E6C09" w:rsidRPr="001E6F82" w:rsidRDefault="002E6C09" w:rsidP="00844FF8">
            <w:pPr>
              <w:pStyle w:val="Normal6a"/>
            </w:pPr>
            <w:r w:rsidRPr="001E6F82">
              <w:t xml:space="preserve">13 </w:t>
            </w:r>
            <w:r w:rsidRPr="001E6F82">
              <w:rPr>
                <w:b/>
                <w:bCs/>
                <w:i/>
                <w:iCs/>
              </w:rPr>
              <w:t>Dz.U. L 123 z 12.5.2016, s. 1, ELI:</w:t>
            </w:r>
            <w:r w:rsidRPr="001E6F82">
              <w:rPr>
                <w:b/>
                <w:i/>
              </w:rPr>
              <w:t xml:space="preserve"> http://data.europa.eu/eli/agree_interinstit/2016/512/oj.</w:t>
            </w:r>
          </w:p>
        </w:tc>
        <w:tc>
          <w:tcPr>
            <w:tcW w:w="4876" w:type="dxa"/>
            <w:tcBorders>
              <w:top w:val="nil"/>
              <w:left w:val="nil"/>
              <w:bottom w:val="nil"/>
              <w:right w:val="nil"/>
            </w:tcBorders>
          </w:tcPr>
          <w:p w14:paraId="3AF0FB51" w14:textId="77777777" w:rsidR="002E6C09" w:rsidRPr="001E6F82" w:rsidRDefault="002E6C09" w:rsidP="00844FF8">
            <w:r w:rsidRPr="001E6F82">
              <w:t xml:space="preserve">13 </w:t>
            </w:r>
            <w:r w:rsidRPr="001E6F82">
              <w:rPr>
                <w:b/>
                <w:bCs/>
                <w:i/>
                <w:iCs/>
              </w:rPr>
              <w:t>Dz.U. L 123 z 12.5.2016, s. 1, ELI:</w:t>
            </w:r>
            <w:r w:rsidRPr="001E6F82">
              <w:rPr>
                <w:b/>
                <w:i/>
              </w:rPr>
              <w:t xml:space="preserve"> http://data.europa.eu/eli/agree_interinstit/2016/512/oj.</w:t>
            </w:r>
          </w:p>
        </w:tc>
      </w:tr>
    </w:tbl>
    <w:p w14:paraId="1CB33018" w14:textId="77777777" w:rsidR="002E6C09" w:rsidRPr="001E6F82" w:rsidRDefault="002E6C09" w:rsidP="002E6C09"/>
    <w:p w14:paraId="2148D73F" w14:textId="77777777" w:rsidR="002E6C09" w:rsidRPr="001E6F82" w:rsidRDefault="002E6C09" w:rsidP="002E6C09">
      <w:pPr>
        <w:pStyle w:val="AmNumberTabs"/>
      </w:pPr>
      <w:r w:rsidRPr="001E6F82">
        <w:t>Poprawka</w:t>
      </w:r>
      <w:r w:rsidRPr="001E6F82">
        <w:tab/>
      </w:r>
      <w:r w:rsidRPr="001E6F82">
        <w:tab/>
        <w:t>31</w:t>
      </w:r>
    </w:p>
    <w:p w14:paraId="02764D27" w14:textId="77777777" w:rsidR="002E6C09" w:rsidRPr="001E6F82" w:rsidRDefault="002E6C09" w:rsidP="002E6C09">
      <w:pPr>
        <w:pStyle w:val="NormalBold"/>
      </w:pPr>
      <w:r w:rsidRPr="001E6F82">
        <w:t>Wniosek dotyczący rozporządzenia</w:t>
      </w:r>
    </w:p>
    <w:p w14:paraId="0F7A8CAA" w14:textId="77777777" w:rsidR="002E6C09" w:rsidRPr="001E6F82" w:rsidRDefault="002E6C09" w:rsidP="002E6C09">
      <w:pPr>
        <w:pStyle w:val="NormalBold"/>
      </w:pPr>
      <w:r w:rsidRPr="001E6F82">
        <w:t>Motyw 29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87DDCBB" w14:textId="77777777" w:rsidTr="00844FF8">
        <w:trPr>
          <w:trHeight w:val="240"/>
          <w:jc w:val="center"/>
        </w:trPr>
        <w:tc>
          <w:tcPr>
            <w:tcW w:w="9752" w:type="dxa"/>
            <w:gridSpan w:val="2"/>
            <w:tcBorders>
              <w:top w:val="nil"/>
              <w:left w:val="nil"/>
              <w:bottom w:val="nil"/>
              <w:right w:val="nil"/>
            </w:tcBorders>
          </w:tcPr>
          <w:p w14:paraId="6B7311C7" w14:textId="77777777" w:rsidR="002E6C09" w:rsidRPr="001E6F82" w:rsidRDefault="002E6C09" w:rsidP="00844FF8"/>
        </w:tc>
      </w:tr>
      <w:tr w:rsidR="002E6C09" w:rsidRPr="001E6F82" w14:paraId="5DE07CE3" w14:textId="77777777" w:rsidTr="00844FF8">
        <w:trPr>
          <w:trHeight w:val="240"/>
          <w:jc w:val="center"/>
        </w:trPr>
        <w:tc>
          <w:tcPr>
            <w:tcW w:w="4876" w:type="dxa"/>
            <w:tcBorders>
              <w:top w:val="nil"/>
              <w:left w:val="nil"/>
              <w:bottom w:val="nil"/>
              <w:right w:val="nil"/>
            </w:tcBorders>
            <w:hideMark/>
          </w:tcPr>
          <w:p w14:paraId="4F89B8E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186DD30" w14:textId="77777777" w:rsidR="002E6C09" w:rsidRPr="001E6F82" w:rsidRDefault="002E6C09" w:rsidP="00844FF8">
            <w:pPr>
              <w:pStyle w:val="AmColumnHeading"/>
            </w:pPr>
            <w:r w:rsidRPr="001E6F82">
              <w:t>Poprawka</w:t>
            </w:r>
          </w:p>
        </w:tc>
      </w:tr>
      <w:tr w:rsidR="002E6C09" w:rsidRPr="001E6F82" w14:paraId="21C390C7" w14:textId="77777777" w:rsidTr="00844FF8">
        <w:trPr>
          <w:jc w:val="center"/>
        </w:trPr>
        <w:tc>
          <w:tcPr>
            <w:tcW w:w="4876" w:type="dxa"/>
            <w:tcBorders>
              <w:top w:val="nil"/>
              <w:left w:val="nil"/>
              <w:bottom w:val="nil"/>
              <w:right w:val="nil"/>
            </w:tcBorders>
          </w:tcPr>
          <w:p w14:paraId="0823F373" w14:textId="77777777" w:rsidR="002E6C09" w:rsidRPr="001E6F82" w:rsidRDefault="002E6C09" w:rsidP="00844FF8">
            <w:pPr>
              <w:pStyle w:val="Normal6a"/>
            </w:pPr>
          </w:p>
        </w:tc>
        <w:tc>
          <w:tcPr>
            <w:tcW w:w="4876" w:type="dxa"/>
            <w:tcBorders>
              <w:top w:val="nil"/>
              <w:left w:val="nil"/>
              <w:bottom w:val="nil"/>
              <w:right w:val="nil"/>
            </w:tcBorders>
            <w:hideMark/>
          </w:tcPr>
          <w:p w14:paraId="663F343A" w14:textId="77777777" w:rsidR="002E6C09" w:rsidRPr="001E6F82" w:rsidRDefault="002E6C09" w:rsidP="00844FF8">
            <w:pPr>
              <w:pStyle w:val="Normal6a"/>
            </w:pPr>
            <w:r w:rsidRPr="001E6F82">
              <w:rPr>
                <w:b/>
                <w:i/>
              </w:rPr>
              <w:t>(29a)</w:t>
            </w:r>
            <w:r w:rsidRPr="001E6F82">
              <w:tab/>
            </w:r>
            <w:r w:rsidRPr="001E6F82">
              <w:rPr>
                <w:b/>
                <w:i/>
              </w:rPr>
              <w:t xml:space="preserve">Rozporządzenie (UE) 2019/1009 ma ułatwić wprowadzanie na rynek wewnętrzny bezpiecznych produktów nawozowych i ich swobodny przepływ, a jednocześnie wspierać recykling składników odżywczych i wykorzystanie surowców w obiegu zamkniętym, jak również zapewniać wysoki poziomu ochrony zdrowia ludzi, zwierząt i roślin oraz ochrony środowiska. Skuteczne stosowanie rozporządzenia zależy między innymi od uznania punktów końcowych dla materiałów składowych pochodzących z produktów ubocznych pochodzenia zwierzęcego w rozumieniu rozporządzenia (WE) nr 1069/2009. W rozporządzenie </w:t>
            </w:r>
            <w:r w:rsidRPr="001E6F82">
              <w:rPr>
                <w:b/>
                <w:i/>
              </w:rPr>
              <w:lastRenderedPageBreak/>
              <w:t>delegowanym (UE) 2023/1605 ustanowiono określone punkty końcowe dla produktów ubocznych pochodzenia zwierzęcego przeznaczonych do stosowania jako nawóz. Parametry przetwarzania i środki ograniczające ryzyko zawarte w tym rozporządzeniu pochodzą jednak w dużej mierze z przepisów dotyczących higieny pasz i zapobiegania oszustwom związanym z paszami i nie zawsze odzwierciedlają różne drogi narażenia i profile ryzyka produktów nawozowych stosowanych w glebie i w wodzie.</w:t>
            </w:r>
          </w:p>
        </w:tc>
      </w:tr>
    </w:tbl>
    <w:p w14:paraId="6695F7DC" w14:textId="77777777" w:rsidR="002E6C09" w:rsidRPr="001E6F82" w:rsidRDefault="002E6C09" w:rsidP="002E6C09"/>
    <w:p w14:paraId="22529D66" w14:textId="77777777" w:rsidR="002E6C09" w:rsidRPr="001E6F82" w:rsidRDefault="002E6C09" w:rsidP="002E6C09">
      <w:pPr>
        <w:pStyle w:val="AmNumberTabs"/>
      </w:pPr>
      <w:r w:rsidRPr="001E6F82">
        <w:t>Poprawka</w:t>
      </w:r>
      <w:r w:rsidRPr="001E6F82">
        <w:tab/>
      </w:r>
      <w:r w:rsidRPr="001E6F82">
        <w:tab/>
        <w:t>32</w:t>
      </w:r>
    </w:p>
    <w:p w14:paraId="566D09CD" w14:textId="77777777" w:rsidR="002E6C09" w:rsidRPr="001E6F82" w:rsidRDefault="002E6C09" w:rsidP="002E6C09">
      <w:pPr>
        <w:pStyle w:val="NormalBold"/>
      </w:pPr>
      <w:r w:rsidRPr="001E6F82">
        <w:t>Wniosek dotyczący rozporządzenia</w:t>
      </w:r>
    </w:p>
    <w:p w14:paraId="301DDCB5" w14:textId="77777777" w:rsidR="002E6C09" w:rsidRPr="001E6F82" w:rsidRDefault="002E6C09" w:rsidP="002E6C09">
      <w:pPr>
        <w:pStyle w:val="NormalBold"/>
      </w:pPr>
      <w:r w:rsidRPr="001E6F82">
        <w:t>Motyw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DB672D0" w14:textId="77777777" w:rsidTr="00844FF8">
        <w:trPr>
          <w:trHeight w:val="240"/>
          <w:jc w:val="center"/>
        </w:trPr>
        <w:tc>
          <w:tcPr>
            <w:tcW w:w="9752" w:type="dxa"/>
            <w:gridSpan w:val="2"/>
            <w:tcBorders>
              <w:top w:val="nil"/>
              <w:left w:val="nil"/>
              <w:bottom w:val="nil"/>
              <w:right w:val="nil"/>
            </w:tcBorders>
          </w:tcPr>
          <w:p w14:paraId="04A8E06D" w14:textId="77777777" w:rsidR="002E6C09" w:rsidRPr="001E6F82" w:rsidRDefault="002E6C09" w:rsidP="00844FF8"/>
        </w:tc>
      </w:tr>
      <w:tr w:rsidR="002E6C09" w:rsidRPr="001E6F82" w14:paraId="583DDB54" w14:textId="77777777" w:rsidTr="00844FF8">
        <w:trPr>
          <w:trHeight w:val="240"/>
          <w:jc w:val="center"/>
        </w:trPr>
        <w:tc>
          <w:tcPr>
            <w:tcW w:w="4876" w:type="dxa"/>
            <w:tcBorders>
              <w:top w:val="nil"/>
              <w:left w:val="nil"/>
              <w:bottom w:val="nil"/>
              <w:right w:val="nil"/>
            </w:tcBorders>
            <w:hideMark/>
          </w:tcPr>
          <w:p w14:paraId="3B5F7EC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98ED994" w14:textId="77777777" w:rsidR="002E6C09" w:rsidRPr="001E6F82" w:rsidRDefault="002E6C09" w:rsidP="00844FF8">
            <w:pPr>
              <w:pStyle w:val="AmColumnHeading"/>
            </w:pPr>
            <w:r w:rsidRPr="001E6F82">
              <w:t>Poprawka</w:t>
            </w:r>
          </w:p>
        </w:tc>
      </w:tr>
      <w:tr w:rsidR="002E6C09" w:rsidRPr="001E6F82" w14:paraId="436B4F2E" w14:textId="77777777" w:rsidTr="00844FF8">
        <w:trPr>
          <w:jc w:val="center"/>
        </w:trPr>
        <w:tc>
          <w:tcPr>
            <w:tcW w:w="4876" w:type="dxa"/>
            <w:tcBorders>
              <w:top w:val="nil"/>
              <w:left w:val="nil"/>
              <w:bottom w:val="nil"/>
              <w:right w:val="nil"/>
            </w:tcBorders>
            <w:hideMark/>
          </w:tcPr>
          <w:p w14:paraId="58141A2E" w14:textId="77777777" w:rsidR="002E6C09" w:rsidRPr="001E6F82" w:rsidRDefault="002E6C09" w:rsidP="00844FF8">
            <w:pPr>
              <w:pStyle w:val="Normal6a"/>
            </w:pPr>
            <w:r w:rsidRPr="001E6F82">
              <w:t>(30)</w:t>
            </w:r>
            <w:r w:rsidRPr="001E6F82">
              <w:tab/>
            </w:r>
            <w:r w:rsidRPr="001E6F82">
              <w:rPr>
                <w:b/>
                <w:i/>
              </w:rPr>
              <w:t>Substancje chemiczne w postaci własnej lub w mieszaninach, jeżeli są produkowane lub importowane</w:t>
            </w:r>
            <w:r w:rsidRPr="001E6F82">
              <w:t xml:space="preserve"> w </w:t>
            </w:r>
            <w:r w:rsidRPr="001E6F82">
              <w:rPr>
                <w:b/>
                <w:i/>
              </w:rPr>
              <w:t>ilościach powyżej 1 tony na przedsiębiorstwo rocznie</w:t>
            </w:r>
            <w:r w:rsidRPr="001E6F82">
              <w:t xml:space="preserve">, </w:t>
            </w:r>
            <w:r w:rsidRPr="001E6F82">
              <w:rPr>
                <w:b/>
                <w:i/>
              </w:rPr>
              <w:t>muszą zostać zarejestrowane zgodnie z rozporządzeniem</w:t>
            </w:r>
            <w:r w:rsidRPr="001E6F82">
              <w:t xml:space="preserve"> (WE) nr 1907/2006</w:t>
            </w:r>
            <w:r w:rsidRPr="001E6F82">
              <w:rPr>
                <w:b/>
                <w:i/>
              </w:rPr>
              <w:t>,</w:t>
            </w:r>
            <w:r w:rsidRPr="001E6F82">
              <w:t xml:space="preserve"> przy </w:t>
            </w:r>
            <w:r w:rsidRPr="001E6F82">
              <w:rPr>
                <w:b/>
                <w:i/>
              </w:rPr>
              <w:t>czym wymogi dotyczące przekazania informacji zależą od rzeczywistej ilości danej</w:t>
            </w:r>
            <w:r w:rsidRPr="001E6F82">
              <w:t xml:space="preserve"> substancji</w:t>
            </w:r>
            <w:r w:rsidRPr="001E6F82">
              <w:rPr>
                <w:b/>
                <w:i/>
              </w:rPr>
              <w:t>.</w:t>
            </w:r>
            <w:r w:rsidRPr="001E6F82">
              <w:t xml:space="preserve"> </w:t>
            </w:r>
            <w:r w:rsidRPr="001E6F82">
              <w:rPr>
                <w:b/>
                <w:i/>
              </w:rPr>
              <w:t>Zgodnie z rozporządzeniem (UE) 2019/1009, które wykracza poza wymogi rozporządzenia</w:t>
            </w:r>
            <w:r w:rsidRPr="001E6F82">
              <w:t xml:space="preserve"> (WE) nr 1907/2006, </w:t>
            </w:r>
            <w:r w:rsidRPr="001E6F82">
              <w:rPr>
                <w:b/>
                <w:i/>
              </w:rPr>
              <w:t>wszystkie substancje stosowane w produktach nawozowych UE, niezależnie od ilości,</w:t>
            </w:r>
            <w:r w:rsidRPr="001E6F82">
              <w:t xml:space="preserve"> w </w:t>
            </w:r>
            <w:r w:rsidRPr="001E6F82">
              <w:rPr>
                <w:b/>
                <w:i/>
              </w:rPr>
              <w:t>jakiej są produkowane lub importowane</w:t>
            </w:r>
            <w:r w:rsidRPr="001E6F82">
              <w:t xml:space="preserve">, </w:t>
            </w:r>
            <w:r w:rsidRPr="001E6F82">
              <w:rPr>
                <w:b/>
                <w:i/>
              </w:rPr>
              <w:t>należy rejestrować przy spełnieniu co najmniej wymogów dotyczących przekazania informacji określonych w rozporządzeniu (WE) nr 1907/2006 w odniesieniu do substancji produkowanych</w:t>
            </w:r>
            <w:r w:rsidRPr="001E6F82">
              <w:t xml:space="preserve"> lub </w:t>
            </w:r>
            <w:r w:rsidRPr="001E6F82">
              <w:rPr>
                <w:b/>
                <w:i/>
              </w:rPr>
              <w:t>importowanych w ilościach 10–100 ton na przedsiębiorstwo rocznie</w:t>
            </w:r>
            <w:r w:rsidRPr="001E6F82">
              <w:t xml:space="preserve">, </w:t>
            </w:r>
            <w:r w:rsidRPr="001E6F82">
              <w:rPr>
                <w:b/>
                <w:i/>
              </w:rPr>
              <w:t>wraz z przedstawieniem raportu bezpieczeństwa chemicznego dotyczącego ich stosowania w produkcie nawozowym, zgodnie z art. 14 tego rozporządzenia</w:t>
            </w:r>
            <w:r w:rsidRPr="001E6F82">
              <w:t>.</w:t>
            </w:r>
            <w:r w:rsidRPr="001E6F82">
              <w:rPr>
                <w:b/>
                <w:i/>
              </w:rPr>
              <w:t xml:space="preserve"> Te szeroko zakrojone wymogi dotyczące przekazania informacji mogą </w:t>
            </w:r>
            <w:r w:rsidRPr="001E6F82">
              <w:rPr>
                <w:b/>
                <w:i/>
              </w:rPr>
              <w:lastRenderedPageBreak/>
              <w:t>uniemożliwiać producentom, zwłaszcza małym i średnim przedsiębiorstwom, stosowanie substancji, które nie są jeszcze zarejestrowane zgodnie z tymi wymogami, lub zmuszać ich do wprowadzania swoich produktów do obrotu wyłącznie na rynkach krajowych zgodnie z przepisami krajowymi. Dla zachowania proporcjonalności</w:t>
            </w:r>
            <w:r w:rsidRPr="001E6F82">
              <w:t xml:space="preserve"> oraz </w:t>
            </w:r>
            <w:r w:rsidRPr="001E6F82">
              <w:rPr>
                <w:b/>
                <w:i/>
              </w:rPr>
              <w:t>z uwagi na ogólny obowiązek producentów</w:t>
            </w:r>
            <w:r w:rsidRPr="001E6F82">
              <w:t xml:space="preserve"> i </w:t>
            </w:r>
            <w:r w:rsidRPr="001E6F82">
              <w:rPr>
                <w:b/>
                <w:i/>
              </w:rPr>
              <w:t>importerów substancji i produktów nawozowych UE</w:t>
            </w:r>
            <w:r w:rsidRPr="001E6F82">
              <w:t xml:space="preserve"> na </w:t>
            </w:r>
            <w:r w:rsidRPr="001E6F82">
              <w:rPr>
                <w:b/>
                <w:i/>
              </w:rPr>
              <w:t>podstawie, odpowiednio, rozporządzenia (WE) nr 1907/2006 i rozporządzenia (UE) 2019/1009, zgodnie</w:t>
            </w:r>
            <w:r w:rsidRPr="001E6F82">
              <w:t xml:space="preserve"> z </w:t>
            </w:r>
            <w:r w:rsidRPr="001E6F82">
              <w:rPr>
                <w:b/>
                <w:i/>
              </w:rPr>
              <w:t>którym należy zapewnić bezpieczeństwo</w:t>
            </w:r>
            <w:r w:rsidRPr="001E6F82">
              <w:t xml:space="preserve"> produktów </w:t>
            </w:r>
            <w:r w:rsidRPr="001E6F82">
              <w:rPr>
                <w:b/>
                <w:i/>
              </w:rPr>
              <w:t>wprowadzanych do obrotu, rejestracji substancji stosowanych w produktach nawozowych UE należy dokonywać wyłącznie zgodnie z wymogami, w tym z odpowiednimi klasyfikacjami, określonymi w rozporządzeniu (WE) nr 1907/2006</w:t>
            </w:r>
            <w:r w:rsidRPr="001E6F82">
              <w:t>.</w:t>
            </w:r>
          </w:p>
        </w:tc>
        <w:tc>
          <w:tcPr>
            <w:tcW w:w="4876" w:type="dxa"/>
            <w:tcBorders>
              <w:top w:val="nil"/>
              <w:left w:val="nil"/>
              <w:bottom w:val="nil"/>
              <w:right w:val="nil"/>
            </w:tcBorders>
            <w:hideMark/>
          </w:tcPr>
          <w:p w14:paraId="163D296F" w14:textId="77777777" w:rsidR="002E6C09" w:rsidRPr="001E6F82" w:rsidRDefault="002E6C09" w:rsidP="00844FF8">
            <w:pPr>
              <w:pStyle w:val="Normal6a"/>
            </w:pPr>
            <w:r w:rsidRPr="001E6F82">
              <w:lastRenderedPageBreak/>
              <w:t>(30)</w:t>
            </w:r>
            <w:r w:rsidRPr="001E6F82">
              <w:tab/>
            </w:r>
            <w:r w:rsidRPr="001E6F82">
              <w:rPr>
                <w:b/>
                <w:i/>
              </w:rPr>
              <w:t>Rozporządzeniem (UE) 2019/1009 wprowadzono dodatkowe wymogi dotyczące rejestracji substancji stosowanych</w:t>
            </w:r>
            <w:r w:rsidRPr="001E6F82">
              <w:t xml:space="preserve"> w </w:t>
            </w:r>
            <w:r w:rsidRPr="001E6F82">
              <w:rPr>
                <w:b/>
                <w:i/>
              </w:rPr>
              <w:t>produktach nawozowych UE</w:t>
            </w:r>
            <w:r w:rsidRPr="001E6F82">
              <w:t xml:space="preserve">, </w:t>
            </w:r>
            <w:r w:rsidRPr="001E6F82">
              <w:rPr>
                <w:b/>
                <w:i/>
              </w:rPr>
              <w:t>wykraczające poza wymogi określone w rozporządzeniu</w:t>
            </w:r>
            <w:r w:rsidRPr="001E6F82">
              <w:t xml:space="preserve"> (WE) nr 1907/2006</w:t>
            </w:r>
            <w:r w:rsidRPr="001E6F82">
              <w:rPr>
                <w:b/>
                <w:i/>
              </w:rPr>
              <w:t>. Aby zapewnić proporcjonalność, przy jednoczesnym utrzymaniu wysokiego poziomu ochrony zdrowia ludzkiego i środowiska, należy dostosować wymogi dotyczące rejestracji substancji stosowanych w produktach nawozowych UE do wymogów określonych w rozporządzeniu (WE) nr 1907/2006, z uwzględnieniem odpowiednich progów wielkości obrotu i wymogów informacyjnych. Jednocześnie</w:t>
            </w:r>
            <w:r w:rsidRPr="001E6F82">
              <w:t xml:space="preserve"> w </w:t>
            </w:r>
            <w:r w:rsidRPr="001E6F82">
              <w:rPr>
                <w:b/>
                <w:i/>
              </w:rPr>
              <w:t>przypadku substancji o szczególnie niebezpiecznych właściwościach</w:t>
            </w:r>
            <w:r w:rsidRPr="001E6F82">
              <w:t xml:space="preserve">, </w:t>
            </w:r>
            <w:r w:rsidRPr="001E6F82">
              <w:rPr>
                <w:b/>
                <w:i/>
              </w:rPr>
              <w:t>w tym substancji sklasyfikowanych na podstawie rozporządzenia (WE) nr 1272/2008 jako rakotwórcze, mutagenne, działające szkodliwie na rozrodczość, zaburzające funkcjonowanie układu hormonalnego</w:t>
            </w:r>
            <w:r w:rsidRPr="001E6F82">
              <w:t xml:space="preserve"> lub </w:t>
            </w:r>
            <w:r w:rsidRPr="001E6F82">
              <w:rPr>
                <w:b/>
                <w:i/>
              </w:rPr>
              <w:t>trwałe, wykazujące zdolność do bioakumulacji i toksyczne</w:t>
            </w:r>
            <w:r w:rsidRPr="001E6F82">
              <w:t xml:space="preserve">, </w:t>
            </w:r>
            <w:r w:rsidRPr="001E6F82">
              <w:rPr>
                <w:b/>
                <w:i/>
              </w:rPr>
              <w:t xml:space="preserve">szczególne wymogi informacyjne powinny mieć zastosowanie nawet wtedy, gdy takie </w:t>
            </w:r>
            <w:r w:rsidRPr="001E6F82">
              <w:rPr>
                <w:b/>
                <w:i/>
              </w:rPr>
              <w:lastRenderedPageBreak/>
              <w:t>substancje są stosowane w produktach nawozowych w niewielkich ilościach</w:t>
            </w:r>
            <w:r w:rsidRPr="001E6F82">
              <w:t>.</w:t>
            </w:r>
            <w:r w:rsidRPr="001E6F82">
              <w:rPr>
                <w:b/>
                <w:i/>
              </w:rPr>
              <w:t xml:space="preserve"> Podejście to zapewni dostępność informacji istotnych z punktu widzenia bezpieczeństwa, a jednocześnie pozwoli uniknąć zbędnych obciążeń względem substancji stwarzających mniejsze ryzyko. Dostarczone informacje powinny opierać się na dostępnych danych</w:t>
            </w:r>
            <w:r w:rsidRPr="001E6F82">
              <w:t xml:space="preserve">, </w:t>
            </w:r>
            <w:r w:rsidRPr="001E6F82">
              <w:rPr>
                <w:b/>
                <w:i/>
              </w:rPr>
              <w:t>w tym z wykorzystaniem alternatywnych metod i dostosowań</w:t>
            </w:r>
            <w:r w:rsidRPr="001E6F82">
              <w:t xml:space="preserve"> zgodnie z </w:t>
            </w:r>
            <w:r w:rsidRPr="001E6F82">
              <w:rPr>
                <w:b/>
                <w:i/>
              </w:rPr>
              <w:t>rozporządzeniem (WE) nr 1907/2006,</w:t>
            </w:r>
            <w:r w:rsidRPr="001E6F82">
              <w:t xml:space="preserve"> oraz </w:t>
            </w:r>
            <w:r w:rsidRPr="001E6F82">
              <w:rPr>
                <w:b/>
                <w:i/>
              </w:rPr>
              <w:t>powinny, w stosownych przypadkach</w:t>
            </w:r>
            <w:r w:rsidRPr="001E6F82">
              <w:t xml:space="preserve"> i </w:t>
            </w:r>
            <w:r w:rsidRPr="001E6F82">
              <w:rPr>
                <w:b/>
                <w:i/>
              </w:rPr>
              <w:t>w ostateczności, zapobiegać niepotrzebnym badaniom, w szczególności</w:t>
            </w:r>
            <w:r w:rsidRPr="001E6F82">
              <w:t xml:space="preserve"> na </w:t>
            </w:r>
            <w:r w:rsidRPr="001E6F82">
              <w:rPr>
                <w:b/>
                <w:i/>
              </w:rPr>
              <w:t>kręgowcach.</w:t>
            </w:r>
            <w:r w:rsidRPr="001E6F82">
              <w:t xml:space="preserve"> </w:t>
            </w:r>
            <w:r w:rsidRPr="001E6F82">
              <w:rPr>
                <w:b/>
                <w:i/>
              </w:rPr>
              <w:t>Oceny bezpieczeństwa chemicznego powinny ograniczać się do odnośnych scenariuszy narażenia związanych</w:t>
            </w:r>
            <w:r w:rsidRPr="001E6F82">
              <w:t xml:space="preserve"> z </w:t>
            </w:r>
            <w:r w:rsidRPr="001E6F82">
              <w:rPr>
                <w:b/>
                <w:i/>
              </w:rPr>
              <w:t>agronomicznym stosowaniem</w:t>
            </w:r>
            <w:r w:rsidRPr="001E6F82">
              <w:t xml:space="preserve"> produktów </w:t>
            </w:r>
            <w:r w:rsidRPr="001E6F82">
              <w:rPr>
                <w:b/>
                <w:i/>
              </w:rPr>
              <w:t>nawozowych i ze środowiskiem. Takie podejście zapewni zrównoważone ramy wspierające innowacje i dostęp do rynku przy jednoczesnym zagwarantowaniu wysokiego poziomu ochrony i pewności prawa podmiotom gospodarczym</w:t>
            </w:r>
            <w:r w:rsidRPr="001E6F82">
              <w:t>.</w:t>
            </w:r>
          </w:p>
        </w:tc>
      </w:tr>
    </w:tbl>
    <w:p w14:paraId="06C978F9" w14:textId="77777777" w:rsidR="002E6C09" w:rsidRPr="001E6F82" w:rsidRDefault="002E6C09" w:rsidP="002E6C09"/>
    <w:p w14:paraId="7A329317" w14:textId="77777777" w:rsidR="002E6C09" w:rsidRPr="001E6F82" w:rsidRDefault="002E6C09" w:rsidP="002E6C09">
      <w:pPr>
        <w:pStyle w:val="AmNumberTabs"/>
      </w:pPr>
      <w:r w:rsidRPr="001E6F82">
        <w:t>Poprawka</w:t>
      </w:r>
      <w:r w:rsidRPr="001E6F82">
        <w:tab/>
      </w:r>
      <w:r w:rsidRPr="001E6F82">
        <w:tab/>
        <w:t>33</w:t>
      </w:r>
    </w:p>
    <w:p w14:paraId="0141C0C3" w14:textId="77777777" w:rsidR="002E6C09" w:rsidRPr="001E6F82" w:rsidRDefault="002E6C09" w:rsidP="002E6C09">
      <w:pPr>
        <w:pStyle w:val="NormalBold"/>
      </w:pPr>
      <w:r w:rsidRPr="001E6F82">
        <w:t>Wniosek dotyczący rozporządzenia</w:t>
      </w:r>
    </w:p>
    <w:p w14:paraId="528C9F6D" w14:textId="77777777" w:rsidR="002E6C09" w:rsidRPr="001E6F82" w:rsidRDefault="002E6C09" w:rsidP="002E6C09">
      <w:pPr>
        <w:pStyle w:val="NormalBold"/>
      </w:pPr>
      <w:r w:rsidRPr="001E6F82">
        <w:t>Artykuł 1 – akapit 1 – punkt 1</w:t>
      </w:r>
    </w:p>
    <w:p w14:paraId="77CD0757" w14:textId="77777777" w:rsidR="002E6C09" w:rsidRPr="001E6F82" w:rsidRDefault="002E6C09" w:rsidP="002E6C09">
      <w:r w:rsidRPr="001E6F82">
        <w:t>Rozporządzenie (WE) nr 1272/2008</w:t>
      </w:r>
    </w:p>
    <w:p w14:paraId="0F9F8BBF" w14:textId="77777777" w:rsidR="002E6C09" w:rsidRPr="001E6F82" w:rsidRDefault="002E6C09" w:rsidP="002E6C09">
      <w:r w:rsidRPr="001E6F82">
        <w:t>Artykuł 2 – punkt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D2BE95F" w14:textId="77777777" w:rsidTr="00844FF8">
        <w:trPr>
          <w:trHeight w:val="240"/>
          <w:jc w:val="center"/>
        </w:trPr>
        <w:tc>
          <w:tcPr>
            <w:tcW w:w="9752" w:type="dxa"/>
            <w:gridSpan w:val="2"/>
            <w:tcBorders>
              <w:top w:val="nil"/>
              <w:left w:val="nil"/>
              <w:bottom w:val="nil"/>
              <w:right w:val="nil"/>
            </w:tcBorders>
          </w:tcPr>
          <w:p w14:paraId="76C0CAAB" w14:textId="77777777" w:rsidR="002E6C09" w:rsidRPr="001E6F82" w:rsidRDefault="002E6C09" w:rsidP="00844FF8"/>
        </w:tc>
      </w:tr>
      <w:tr w:rsidR="002E6C09" w:rsidRPr="001E6F82" w14:paraId="6A8B9FA1" w14:textId="77777777" w:rsidTr="00844FF8">
        <w:trPr>
          <w:trHeight w:val="240"/>
          <w:jc w:val="center"/>
        </w:trPr>
        <w:tc>
          <w:tcPr>
            <w:tcW w:w="4876" w:type="dxa"/>
            <w:tcBorders>
              <w:top w:val="nil"/>
              <w:left w:val="nil"/>
              <w:bottom w:val="nil"/>
              <w:right w:val="nil"/>
            </w:tcBorders>
            <w:hideMark/>
          </w:tcPr>
          <w:p w14:paraId="78A4C70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474A931" w14:textId="77777777" w:rsidR="002E6C09" w:rsidRPr="001E6F82" w:rsidRDefault="002E6C09" w:rsidP="00844FF8">
            <w:pPr>
              <w:pStyle w:val="AmColumnHeading"/>
            </w:pPr>
            <w:r w:rsidRPr="001E6F82">
              <w:t>Poprawka</w:t>
            </w:r>
          </w:p>
        </w:tc>
      </w:tr>
      <w:tr w:rsidR="002E6C09" w:rsidRPr="001E6F82" w14:paraId="5D88E522" w14:textId="77777777" w:rsidTr="00844FF8">
        <w:trPr>
          <w:jc w:val="center"/>
        </w:trPr>
        <w:tc>
          <w:tcPr>
            <w:tcW w:w="4876" w:type="dxa"/>
            <w:tcBorders>
              <w:top w:val="nil"/>
              <w:left w:val="nil"/>
              <w:bottom w:val="nil"/>
              <w:right w:val="nil"/>
            </w:tcBorders>
            <w:hideMark/>
          </w:tcPr>
          <w:p w14:paraId="0977D3BC" w14:textId="77777777" w:rsidR="002E6C09" w:rsidRPr="001E6F82" w:rsidRDefault="002E6C09" w:rsidP="00844FF8">
            <w:pPr>
              <w:pStyle w:val="Normal6a"/>
            </w:pPr>
            <w:r w:rsidRPr="001E6F82">
              <w:t>42.</w:t>
            </w:r>
            <w:r w:rsidRPr="001E6F82">
              <w:tab/>
            </w:r>
            <w:r w:rsidRPr="001E6F82">
              <w:rPr>
                <w:b/>
                <w:i/>
              </w:rPr>
              <w:t>Termin „kontakt elektroniczny”</w:t>
            </w:r>
            <w:r w:rsidRPr="001E6F82">
              <w:t xml:space="preserve"> oznacza </w:t>
            </w:r>
            <w:r w:rsidRPr="001E6F82">
              <w:rPr>
                <w:b/>
                <w:i/>
              </w:rPr>
              <w:t>każdy</w:t>
            </w:r>
            <w:r w:rsidRPr="001E6F82">
              <w:t xml:space="preserve"> aktualny i </w:t>
            </w:r>
            <w:r w:rsidRPr="001E6F82">
              <w:rPr>
                <w:b/>
                <w:i/>
              </w:rPr>
              <w:t>dostępny</w:t>
            </w:r>
            <w:r w:rsidRPr="001E6F82">
              <w:t xml:space="preserve"> internetowy kanał komunikacyjny, za </w:t>
            </w:r>
            <w:proofErr w:type="gramStart"/>
            <w:r w:rsidRPr="001E6F82">
              <w:t>pośrednictwem</w:t>
            </w:r>
            <w:proofErr w:type="gramEnd"/>
            <w:r w:rsidRPr="001E6F82">
              <w:t xml:space="preserve"> którego można </w:t>
            </w:r>
            <w:r w:rsidRPr="001E6F82">
              <w:rPr>
                <w:b/>
                <w:i/>
              </w:rPr>
              <w:t>dotrzeć do podmiotów gospodarczych lub zaangażować je</w:t>
            </w:r>
            <w:r w:rsidRPr="001E6F82">
              <w:t xml:space="preserve"> bez konieczności rejestracji lub pobierania aplikacji.</w:t>
            </w:r>
          </w:p>
        </w:tc>
        <w:tc>
          <w:tcPr>
            <w:tcW w:w="4876" w:type="dxa"/>
            <w:tcBorders>
              <w:top w:val="nil"/>
              <w:left w:val="nil"/>
              <w:bottom w:val="nil"/>
              <w:right w:val="nil"/>
            </w:tcBorders>
            <w:hideMark/>
          </w:tcPr>
          <w:p w14:paraId="55028A85" w14:textId="77777777" w:rsidR="002E6C09" w:rsidRPr="001E6F82" w:rsidRDefault="002E6C09" w:rsidP="00844FF8">
            <w:pPr>
              <w:pStyle w:val="Normal6a"/>
            </w:pPr>
            <w:r w:rsidRPr="001E6F82">
              <w:t>42.</w:t>
            </w:r>
            <w:r w:rsidRPr="001E6F82">
              <w:tab/>
            </w:r>
            <w:r w:rsidRPr="001E6F82">
              <w:rPr>
                <w:b/>
                <w:i/>
              </w:rPr>
              <w:t>»kontakt elektroniczny«</w:t>
            </w:r>
            <w:r w:rsidRPr="001E6F82">
              <w:t xml:space="preserve"> oznacza </w:t>
            </w:r>
            <w:r w:rsidRPr="001E6F82">
              <w:rPr>
                <w:b/>
                <w:i/>
              </w:rPr>
              <w:t>dowolny</w:t>
            </w:r>
            <w:r w:rsidRPr="001E6F82">
              <w:t xml:space="preserve"> aktualny </w:t>
            </w:r>
            <w:r w:rsidRPr="001E6F82">
              <w:rPr>
                <w:b/>
                <w:i/>
              </w:rPr>
              <w:t>łatwy w dostępie</w:t>
            </w:r>
            <w:r w:rsidRPr="001E6F82">
              <w:t xml:space="preserve"> i </w:t>
            </w:r>
            <w:r w:rsidRPr="001E6F82">
              <w:rPr>
                <w:b/>
                <w:i/>
              </w:rPr>
              <w:t>ogólnodostępny</w:t>
            </w:r>
            <w:r w:rsidRPr="001E6F82">
              <w:t xml:space="preserve"> internetowy kanał komunikacyjny, </w:t>
            </w:r>
            <w:r w:rsidRPr="001E6F82">
              <w:rPr>
                <w:b/>
                <w:i/>
              </w:rPr>
              <w:t>taki jak e-mail lub link internetowy,</w:t>
            </w:r>
            <w:r w:rsidRPr="001E6F82">
              <w:t xml:space="preserve"> za </w:t>
            </w:r>
            <w:proofErr w:type="gramStart"/>
            <w:r w:rsidRPr="001E6F82">
              <w:t>pośrednictwem</w:t>
            </w:r>
            <w:proofErr w:type="gramEnd"/>
            <w:r w:rsidRPr="001E6F82">
              <w:t xml:space="preserve"> którego można </w:t>
            </w:r>
            <w:r w:rsidRPr="001E6F82">
              <w:rPr>
                <w:b/>
                <w:i/>
              </w:rPr>
              <w:t>skontaktować się z dostawcą</w:t>
            </w:r>
            <w:r w:rsidRPr="001E6F82">
              <w:t xml:space="preserve"> bez konieczności rejestracji lub pobierania </w:t>
            </w:r>
            <w:r w:rsidRPr="001E6F82">
              <w:rPr>
                <w:b/>
                <w:i/>
              </w:rPr>
              <w:t>bądź używania</w:t>
            </w:r>
            <w:r w:rsidRPr="001E6F82">
              <w:t xml:space="preserve"> aplikacji.</w:t>
            </w:r>
          </w:p>
        </w:tc>
      </w:tr>
    </w:tbl>
    <w:p w14:paraId="67CB3ADE" w14:textId="77777777" w:rsidR="002E6C09" w:rsidRPr="001E6F82" w:rsidRDefault="002E6C09" w:rsidP="002E6C09"/>
    <w:p w14:paraId="7A9E379A" w14:textId="77777777" w:rsidR="002E6C09" w:rsidRPr="001E6F82" w:rsidRDefault="002E6C09" w:rsidP="002E6C09">
      <w:pPr>
        <w:pStyle w:val="AmNumberTabs"/>
      </w:pPr>
      <w:r w:rsidRPr="001E6F82">
        <w:t>Poprawka</w:t>
      </w:r>
      <w:r w:rsidRPr="001E6F82">
        <w:tab/>
      </w:r>
      <w:r w:rsidRPr="001E6F82">
        <w:tab/>
        <w:t>34</w:t>
      </w:r>
    </w:p>
    <w:p w14:paraId="22C810CC" w14:textId="77777777" w:rsidR="002E6C09" w:rsidRPr="001E6F82" w:rsidRDefault="002E6C09" w:rsidP="002E6C09">
      <w:pPr>
        <w:pStyle w:val="NormalBold"/>
      </w:pPr>
      <w:r w:rsidRPr="001E6F82">
        <w:t>Wniosek dotyczący rozporządzenia</w:t>
      </w:r>
    </w:p>
    <w:p w14:paraId="703933B4" w14:textId="77777777" w:rsidR="002E6C09" w:rsidRPr="001E6F82" w:rsidRDefault="002E6C09" w:rsidP="002E6C09">
      <w:pPr>
        <w:pStyle w:val="NormalBold"/>
      </w:pPr>
      <w:r w:rsidRPr="001E6F82">
        <w:t>Artykuł 1 – akapit 1 – punkt 1 a (nowy)</w:t>
      </w:r>
    </w:p>
    <w:p w14:paraId="5D81792C" w14:textId="77777777" w:rsidR="002E6C09" w:rsidRPr="001E6F82" w:rsidRDefault="002E6C09" w:rsidP="002E6C09">
      <w:r w:rsidRPr="001E6F82">
        <w:t>Rozporządzenie (WE) nr 1272/2008</w:t>
      </w:r>
    </w:p>
    <w:p w14:paraId="4B1285B2" w14:textId="77777777" w:rsidR="002E6C09" w:rsidRPr="001E6F82" w:rsidRDefault="002E6C09" w:rsidP="002E6C09">
      <w:r w:rsidRPr="001E6F82">
        <w:lastRenderedPageBreak/>
        <w:t>Artykuł 5 – ustęp 3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CF07A7F" w14:textId="77777777" w:rsidTr="00844FF8">
        <w:trPr>
          <w:trHeight w:val="240"/>
          <w:jc w:val="center"/>
        </w:trPr>
        <w:tc>
          <w:tcPr>
            <w:tcW w:w="9752" w:type="dxa"/>
            <w:gridSpan w:val="2"/>
            <w:tcBorders>
              <w:top w:val="nil"/>
              <w:left w:val="nil"/>
              <w:bottom w:val="nil"/>
              <w:right w:val="nil"/>
            </w:tcBorders>
          </w:tcPr>
          <w:p w14:paraId="209FC90B" w14:textId="77777777" w:rsidR="002E6C09" w:rsidRPr="001E6F82" w:rsidRDefault="002E6C09" w:rsidP="00844FF8"/>
        </w:tc>
      </w:tr>
      <w:tr w:rsidR="002E6C09" w:rsidRPr="001E6F82" w14:paraId="5BE5C7CC" w14:textId="77777777" w:rsidTr="00844FF8">
        <w:trPr>
          <w:trHeight w:val="240"/>
          <w:jc w:val="center"/>
        </w:trPr>
        <w:tc>
          <w:tcPr>
            <w:tcW w:w="4876" w:type="dxa"/>
            <w:tcBorders>
              <w:top w:val="nil"/>
              <w:left w:val="nil"/>
              <w:bottom w:val="nil"/>
              <w:right w:val="nil"/>
            </w:tcBorders>
            <w:hideMark/>
          </w:tcPr>
          <w:p w14:paraId="2098294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873C1FD" w14:textId="77777777" w:rsidR="002E6C09" w:rsidRPr="001E6F82" w:rsidRDefault="002E6C09" w:rsidP="00844FF8">
            <w:pPr>
              <w:pStyle w:val="AmColumnHeading"/>
            </w:pPr>
            <w:r w:rsidRPr="001E6F82">
              <w:t>Poprawka</w:t>
            </w:r>
          </w:p>
        </w:tc>
      </w:tr>
      <w:tr w:rsidR="002E6C09" w:rsidRPr="001E6F82" w14:paraId="2D3C4BD5" w14:textId="77777777" w:rsidTr="00844FF8">
        <w:trPr>
          <w:jc w:val="center"/>
        </w:trPr>
        <w:tc>
          <w:tcPr>
            <w:tcW w:w="4876" w:type="dxa"/>
            <w:tcBorders>
              <w:top w:val="nil"/>
              <w:left w:val="nil"/>
              <w:bottom w:val="nil"/>
              <w:right w:val="nil"/>
            </w:tcBorders>
          </w:tcPr>
          <w:p w14:paraId="192EC27D" w14:textId="77777777" w:rsidR="002E6C09" w:rsidRPr="001E6F82" w:rsidRDefault="002E6C09" w:rsidP="00844FF8">
            <w:pPr>
              <w:pStyle w:val="Normal6a"/>
            </w:pPr>
          </w:p>
        </w:tc>
        <w:tc>
          <w:tcPr>
            <w:tcW w:w="4876" w:type="dxa"/>
            <w:tcBorders>
              <w:top w:val="nil"/>
              <w:left w:val="nil"/>
              <w:bottom w:val="nil"/>
              <w:right w:val="nil"/>
            </w:tcBorders>
            <w:hideMark/>
          </w:tcPr>
          <w:p w14:paraId="31E80609" w14:textId="77777777" w:rsidR="002E6C09" w:rsidRPr="001E6F82" w:rsidRDefault="002E6C09" w:rsidP="00844FF8">
            <w:pPr>
              <w:pStyle w:val="Normal6a"/>
            </w:pPr>
            <w:r w:rsidRPr="001E6F82">
              <w:rPr>
                <w:b/>
                <w:i/>
              </w:rPr>
              <w:t>(1a)</w:t>
            </w:r>
            <w:r w:rsidRPr="001E6F82">
              <w:tab/>
            </w:r>
            <w:r w:rsidRPr="001E6F82">
              <w:rPr>
                <w:b/>
                <w:i/>
              </w:rPr>
              <w:t xml:space="preserve">w art. 5 dodaje się ustęp w brzmieniu: </w:t>
            </w:r>
          </w:p>
        </w:tc>
      </w:tr>
      <w:tr w:rsidR="002E6C09" w:rsidRPr="001E6F82" w14:paraId="15A407A4" w14:textId="77777777" w:rsidTr="00844FF8">
        <w:trPr>
          <w:jc w:val="center"/>
        </w:trPr>
        <w:tc>
          <w:tcPr>
            <w:tcW w:w="4876" w:type="dxa"/>
            <w:tcBorders>
              <w:top w:val="nil"/>
              <w:left w:val="nil"/>
              <w:bottom w:val="nil"/>
              <w:right w:val="nil"/>
            </w:tcBorders>
          </w:tcPr>
          <w:p w14:paraId="7D35E592" w14:textId="77777777" w:rsidR="002E6C09" w:rsidRPr="001E6F82" w:rsidRDefault="002E6C09" w:rsidP="00844FF8">
            <w:pPr>
              <w:pStyle w:val="Normal6a"/>
            </w:pPr>
          </w:p>
        </w:tc>
        <w:tc>
          <w:tcPr>
            <w:tcW w:w="4876" w:type="dxa"/>
            <w:tcBorders>
              <w:top w:val="nil"/>
              <w:left w:val="nil"/>
              <w:bottom w:val="nil"/>
              <w:right w:val="nil"/>
            </w:tcBorders>
          </w:tcPr>
          <w:p w14:paraId="17B4FEEA" w14:textId="77777777" w:rsidR="002E6C09" w:rsidRPr="001E6F82" w:rsidRDefault="002E6C09" w:rsidP="00844FF8">
            <w:pPr>
              <w:pStyle w:val="Normal6a"/>
              <w:rPr>
                <w:b/>
                <w:i/>
              </w:rPr>
            </w:pPr>
            <w:r w:rsidRPr="001E6F82">
              <w:rPr>
                <w:b/>
                <w:i/>
              </w:rPr>
              <w:t>„3a. W ciągu 18 miesięcy od daty wejścia w życie niniejszego rozporządzenia zmieniającego Komisja oceni, czy dalsza redukcja obowiązkowych elementów etykiety powinna mieć zastosowanie do opakowań o pojemności od 10 do 125 ml.”;</w:t>
            </w:r>
          </w:p>
        </w:tc>
      </w:tr>
    </w:tbl>
    <w:p w14:paraId="50C5CDA2" w14:textId="77777777" w:rsidR="002E6C09" w:rsidRPr="001E6F82" w:rsidRDefault="002E6C09" w:rsidP="002E6C09"/>
    <w:p w14:paraId="4F6E9C63" w14:textId="77777777" w:rsidR="002E6C09" w:rsidRPr="001E6F82" w:rsidRDefault="002E6C09" w:rsidP="002E6C09">
      <w:pPr>
        <w:pStyle w:val="AmNumberTabs"/>
      </w:pPr>
      <w:r w:rsidRPr="001E6F82">
        <w:t>Poprawka</w:t>
      </w:r>
      <w:r w:rsidRPr="001E6F82">
        <w:tab/>
      </w:r>
      <w:r w:rsidRPr="001E6F82">
        <w:tab/>
        <w:t>35</w:t>
      </w:r>
    </w:p>
    <w:p w14:paraId="61726851" w14:textId="77777777" w:rsidR="002E6C09" w:rsidRPr="001E6F82" w:rsidRDefault="002E6C09" w:rsidP="002E6C09">
      <w:pPr>
        <w:pStyle w:val="NormalBold"/>
      </w:pPr>
      <w:r w:rsidRPr="001E6F82">
        <w:t>Wniosek dotyczący rozporządzenia</w:t>
      </w:r>
    </w:p>
    <w:p w14:paraId="7D18C9E8" w14:textId="77777777" w:rsidR="002E6C09" w:rsidRPr="001E6F82" w:rsidRDefault="002E6C09" w:rsidP="002E6C09">
      <w:pPr>
        <w:pStyle w:val="NormalBold"/>
      </w:pPr>
      <w:r w:rsidRPr="001E6F82">
        <w:t>Artykuł 1 – akapit 1 – punkt 2 – wprowadzenie</w:t>
      </w:r>
    </w:p>
    <w:p w14:paraId="3B06CB5B" w14:textId="77777777" w:rsidR="002E6C09" w:rsidRPr="001E6F82" w:rsidRDefault="002E6C09" w:rsidP="002E6C09">
      <w:r w:rsidRPr="001E6F82">
        <w:t>Rozporządzenie (WE) nr 1272/2008</w:t>
      </w:r>
    </w:p>
    <w:p w14:paraId="0EB4487D" w14:textId="77777777" w:rsidR="002E6C09" w:rsidRPr="001E6F82" w:rsidRDefault="002E6C09" w:rsidP="002E6C09">
      <w:r w:rsidRPr="001E6F82">
        <w:t>Artykuł 17 – ustęp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E5FE016" w14:textId="77777777" w:rsidTr="00844FF8">
        <w:trPr>
          <w:trHeight w:val="240"/>
          <w:jc w:val="center"/>
        </w:trPr>
        <w:tc>
          <w:tcPr>
            <w:tcW w:w="9752" w:type="dxa"/>
            <w:gridSpan w:val="2"/>
            <w:tcBorders>
              <w:top w:val="nil"/>
              <w:left w:val="nil"/>
              <w:bottom w:val="nil"/>
              <w:right w:val="nil"/>
            </w:tcBorders>
          </w:tcPr>
          <w:p w14:paraId="354DA280" w14:textId="77777777" w:rsidR="002E6C09" w:rsidRPr="001E6F82" w:rsidRDefault="002E6C09" w:rsidP="00844FF8"/>
        </w:tc>
      </w:tr>
      <w:tr w:rsidR="002E6C09" w:rsidRPr="001E6F82" w14:paraId="75A43937" w14:textId="77777777" w:rsidTr="00844FF8">
        <w:trPr>
          <w:trHeight w:val="240"/>
          <w:jc w:val="center"/>
        </w:trPr>
        <w:tc>
          <w:tcPr>
            <w:tcW w:w="4876" w:type="dxa"/>
            <w:tcBorders>
              <w:top w:val="nil"/>
              <w:left w:val="nil"/>
              <w:bottom w:val="nil"/>
              <w:right w:val="nil"/>
            </w:tcBorders>
            <w:hideMark/>
          </w:tcPr>
          <w:p w14:paraId="3F24B928"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EE01576" w14:textId="77777777" w:rsidR="002E6C09" w:rsidRPr="001E6F82" w:rsidRDefault="002E6C09" w:rsidP="00844FF8">
            <w:pPr>
              <w:pStyle w:val="AmColumnHeading"/>
            </w:pPr>
            <w:r w:rsidRPr="001E6F82">
              <w:t>Poprawka</w:t>
            </w:r>
          </w:p>
        </w:tc>
      </w:tr>
      <w:tr w:rsidR="002E6C09" w:rsidRPr="001E6F82" w14:paraId="466B01C3" w14:textId="77777777" w:rsidTr="00844FF8">
        <w:trPr>
          <w:jc w:val="center"/>
        </w:trPr>
        <w:tc>
          <w:tcPr>
            <w:tcW w:w="4876" w:type="dxa"/>
            <w:tcBorders>
              <w:top w:val="nil"/>
              <w:left w:val="nil"/>
              <w:bottom w:val="nil"/>
              <w:right w:val="nil"/>
            </w:tcBorders>
            <w:hideMark/>
          </w:tcPr>
          <w:p w14:paraId="3833DBCE" w14:textId="77777777" w:rsidR="002E6C09" w:rsidRPr="001E6F82" w:rsidRDefault="002E6C09" w:rsidP="00844FF8">
            <w:pPr>
              <w:pStyle w:val="Normal6a"/>
            </w:pPr>
            <w:r w:rsidRPr="001E6F82">
              <w:t>2)</w:t>
            </w:r>
            <w:r w:rsidRPr="001E6F82">
              <w:tab/>
              <w:t>art. 17 ust. 1 lit. a) otrzymuje brzmienie:</w:t>
            </w:r>
          </w:p>
        </w:tc>
        <w:tc>
          <w:tcPr>
            <w:tcW w:w="4876" w:type="dxa"/>
            <w:tcBorders>
              <w:top w:val="nil"/>
              <w:left w:val="nil"/>
              <w:bottom w:val="nil"/>
              <w:right w:val="nil"/>
            </w:tcBorders>
            <w:hideMark/>
          </w:tcPr>
          <w:p w14:paraId="38844C2C" w14:textId="77777777" w:rsidR="002E6C09" w:rsidRPr="001E6F82" w:rsidRDefault="002E6C09" w:rsidP="00844FF8">
            <w:pPr>
              <w:pStyle w:val="Normal6a"/>
            </w:pPr>
            <w:r w:rsidRPr="001E6F82">
              <w:t>2)</w:t>
            </w:r>
            <w:r w:rsidRPr="001E6F82">
              <w:tab/>
            </w:r>
            <w:r w:rsidRPr="001E6F82">
              <w:rPr>
                <w:b/>
                <w:i/>
              </w:rPr>
              <w:t>w</w:t>
            </w:r>
            <w:r w:rsidRPr="001E6F82">
              <w:t xml:space="preserve"> art. 17 ust. 1 </w:t>
            </w:r>
            <w:r w:rsidRPr="001E6F82">
              <w:rPr>
                <w:b/>
                <w:i/>
              </w:rPr>
              <w:t>wprowadza się następujące zmiany:</w:t>
            </w:r>
          </w:p>
        </w:tc>
      </w:tr>
      <w:tr w:rsidR="002E6C09" w:rsidRPr="001E6F82" w14:paraId="0EFBE814" w14:textId="77777777" w:rsidTr="00844FF8">
        <w:trPr>
          <w:jc w:val="center"/>
        </w:trPr>
        <w:tc>
          <w:tcPr>
            <w:tcW w:w="4876" w:type="dxa"/>
            <w:tcBorders>
              <w:top w:val="nil"/>
              <w:left w:val="nil"/>
              <w:bottom w:val="nil"/>
              <w:right w:val="nil"/>
            </w:tcBorders>
          </w:tcPr>
          <w:p w14:paraId="122F5E26" w14:textId="77777777" w:rsidR="002E6C09" w:rsidRPr="001E6F82" w:rsidRDefault="002E6C09" w:rsidP="00844FF8">
            <w:pPr>
              <w:pStyle w:val="Normal6a"/>
            </w:pPr>
          </w:p>
        </w:tc>
        <w:tc>
          <w:tcPr>
            <w:tcW w:w="4876" w:type="dxa"/>
            <w:tcBorders>
              <w:top w:val="nil"/>
              <w:left w:val="nil"/>
              <w:bottom w:val="nil"/>
              <w:right w:val="nil"/>
            </w:tcBorders>
            <w:hideMark/>
          </w:tcPr>
          <w:p w14:paraId="3E3B9625" w14:textId="77777777" w:rsidR="002E6C09" w:rsidRPr="001E6F82" w:rsidRDefault="002E6C09" w:rsidP="00844FF8">
            <w:pPr>
              <w:pStyle w:val="Normal6a"/>
            </w:pPr>
            <w:r w:rsidRPr="001E6F82">
              <w:rPr>
                <w:b/>
                <w:i/>
              </w:rPr>
              <w:t>a)</w:t>
            </w:r>
            <w:r w:rsidRPr="001E6F82">
              <w:t xml:space="preserve"> lit. a) otrzymuje brzmienie:</w:t>
            </w:r>
          </w:p>
        </w:tc>
      </w:tr>
    </w:tbl>
    <w:p w14:paraId="71030A8C" w14:textId="77777777" w:rsidR="002E6C09" w:rsidRPr="001E6F82" w:rsidRDefault="002E6C09" w:rsidP="002E6C09"/>
    <w:p w14:paraId="1CB8A169" w14:textId="77777777" w:rsidR="002E6C09" w:rsidRPr="001E6F82" w:rsidRDefault="002E6C09" w:rsidP="002E6C09">
      <w:pPr>
        <w:pStyle w:val="AmNumberTabs"/>
      </w:pPr>
      <w:r w:rsidRPr="001E6F82">
        <w:t>Poprawka</w:t>
      </w:r>
      <w:r w:rsidRPr="001E6F82">
        <w:tab/>
      </w:r>
      <w:r w:rsidRPr="001E6F82">
        <w:tab/>
        <w:t>36</w:t>
      </w:r>
    </w:p>
    <w:p w14:paraId="7214F90E" w14:textId="77777777" w:rsidR="002E6C09" w:rsidRPr="001E6F82" w:rsidRDefault="002E6C09" w:rsidP="002E6C09">
      <w:pPr>
        <w:pStyle w:val="NormalBold"/>
      </w:pPr>
      <w:r w:rsidRPr="001E6F82">
        <w:t>Wniosek dotyczący rozporządzenia</w:t>
      </w:r>
    </w:p>
    <w:p w14:paraId="29A38BF8" w14:textId="77777777" w:rsidR="002E6C09" w:rsidRPr="001E6F82" w:rsidRDefault="002E6C09" w:rsidP="002E6C09">
      <w:pPr>
        <w:pStyle w:val="NormalBold"/>
      </w:pPr>
      <w:r w:rsidRPr="001E6F82">
        <w:t>Artykuł 1 – akapit 1 – punkt 2</w:t>
      </w:r>
    </w:p>
    <w:p w14:paraId="023D6291" w14:textId="77777777" w:rsidR="002E6C09" w:rsidRPr="001E6F82" w:rsidRDefault="002E6C09" w:rsidP="002E6C09">
      <w:r w:rsidRPr="001E6F82">
        <w:t>Rozporządzenie (WE) nr 1272/2008</w:t>
      </w:r>
    </w:p>
    <w:p w14:paraId="07FB145E" w14:textId="77777777" w:rsidR="002E6C09" w:rsidRPr="001E6F82" w:rsidRDefault="002E6C09" w:rsidP="002E6C09">
      <w:r w:rsidRPr="001E6F82">
        <w:t>Artykuł 17 – ustęp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DE141AA" w14:textId="77777777" w:rsidTr="00844FF8">
        <w:trPr>
          <w:trHeight w:val="240"/>
          <w:jc w:val="center"/>
        </w:trPr>
        <w:tc>
          <w:tcPr>
            <w:tcW w:w="9752" w:type="dxa"/>
            <w:gridSpan w:val="2"/>
            <w:tcBorders>
              <w:top w:val="nil"/>
              <w:left w:val="nil"/>
              <w:bottom w:val="nil"/>
              <w:right w:val="nil"/>
            </w:tcBorders>
          </w:tcPr>
          <w:p w14:paraId="46491CC3" w14:textId="77777777" w:rsidR="002E6C09" w:rsidRPr="001E6F82" w:rsidRDefault="002E6C09" w:rsidP="00844FF8"/>
        </w:tc>
      </w:tr>
      <w:tr w:rsidR="002E6C09" w:rsidRPr="001E6F82" w14:paraId="2023BB1E" w14:textId="77777777" w:rsidTr="00844FF8">
        <w:trPr>
          <w:trHeight w:val="240"/>
          <w:jc w:val="center"/>
        </w:trPr>
        <w:tc>
          <w:tcPr>
            <w:tcW w:w="4876" w:type="dxa"/>
            <w:tcBorders>
              <w:top w:val="nil"/>
              <w:left w:val="nil"/>
              <w:bottom w:val="nil"/>
              <w:right w:val="nil"/>
            </w:tcBorders>
            <w:hideMark/>
          </w:tcPr>
          <w:p w14:paraId="45A109B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DFDE414" w14:textId="77777777" w:rsidR="002E6C09" w:rsidRPr="001E6F82" w:rsidRDefault="002E6C09" w:rsidP="00844FF8">
            <w:pPr>
              <w:pStyle w:val="AmColumnHeading"/>
            </w:pPr>
            <w:r w:rsidRPr="001E6F82">
              <w:t>Poprawka</w:t>
            </w:r>
          </w:p>
        </w:tc>
      </w:tr>
      <w:tr w:rsidR="002E6C09" w:rsidRPr="001E6F82" w14:paraId="301C4B0C" w14:textId="77777777" w:rsidTr="00844FF8">
        <w:trPr>
          <w:jc w:val="center"/>
        </w:trPr>
        <w:tc>
          <w:tcPr>
            <w:tcW w:w="4876" w:type="dxa"/>
            <w:tcBorders>
              <w:top w:val="nil"/>
              <w:left w:val="nil"/>
              <w:bottom w:val="nil"/>
              <w:right w:val="nil"/>
            </w:tcBorders>
            <w:hideMark/>
          </w:tcPr>
          <w:p w14:paraId="15CE3E4D" w14:textId="77777777" w:rsidR="002E6C09" w:rsidRPr="001E6F82" w:rsidRDefault="002E6C09" w:rsidP="00844FF8">
            <w:pPr>
              <w:pStyle w:val="Normal6a"/>
            </w:pPr>
            <w:r w:rsidRPr="001E6F82">
              <w:t>a)</w:t>
            </w:r>
            <w:r w:rsidRPr="001E6F82">
              <w:tab/>
              <w:t>nazwę, adres i kontakt elektroniczny dostawcy</w:t>
            </w:r>
            <w:r w:rsidRPr="001E6F82">
              <w:rPr>
                <w:b/>
                <w:i/>
              </w:rPr>
              <w:t>;”</w:t>
            </w:r>
            <w:r w:rsidRPr="001E6F82">
              <w:t>;</w:t>
            </w:r>
          </w:p>
        </w:tc>
        <w:tc>
          <w:tcPr>
            <w:tcW w:w="4876" w:type="dxa"/>
            <w:tcBorders>
              <w:top w:val="nil"/>
              <w:left w:val="nil"/>
              <w:bottom w:val="nil"/>
              <w:right w:val="nil"/>
            </w:tcBorders>
            <w:hideMark/>
          </w:tcPr>
          <w:p w14:paraId="2438BFA1" w14:textId="77777777" w:rsidR="002E6C09" w:rsidRPr="001E6F82" w:rsidRDefault="002E6C09" w:rsidP="00844FF8">
            <w:pPr>
              <w:pStyle w:val="Normal6a"/>
            </w:pPr>
            <w:r w:rsidRPr="001E6F82">
              <w:t>a)</w:t>
            </w:r>
            <w:r w:rsidRPr="001E6F82">
              <w:tab/>
              <w:t>nazwę, adres</w:t>
            </w:r>
            <w:r w:rsidRPr="001E6F82">
              <w:rPr>
                <w:b/>
                <w:i/>
              </w:rPr>
              <w:t>, numer telefonu</w:t>
            </w:r>
            <w:r w:rsidRPr="001E6F82">
              <w:t xml:space="preserve"> i kontakt elektroniczny dostawcy;</w:t>
            </w:r>
          </w:p>
        </w:tc>
      </w:tr>
    </w:tbl>
    <w:p w14:paraId="4877D0BE" w14:textId="77777777" w:rsidR="002E6C09" w:rsidRPr="001E6F82" w:rsidRDefault="002E6C09" w:rsidP="002E6C09"/>
    <w:p w14:paraId="378FEA82" w14:textId="77777777" w:rsidR="002E6C09" w:rsidRPr="001E6F82" w:rsidRDefault="002E6C09" w:rsidP="002E6C09">
      <w:pPr>
        <w:pStyle w:val="AmNumberTabs"/>
      </w:pPr>
      <w:r w:rsidRPr="001E6F82">
        <w:t>Poprawka</w:t>
      </w:r>
      <w:r w:rsidRPr="001E6F82">
        <w:tab/>
      </w:r>
      <w:r w:rsidRPr="001E6F82">
        <w:tab/>
        <w:t>37</w:t>
      </w:r>
    </w:p>
    <w:p w14:paraId="27243CC5" w14:textId="77777777" w:rsidR="002E6C09" w:rsidRPr="001E6F82" w:rsidRDefault="002E6C09" w:rsidP="002E6C09">
      <w:pPr>
        <w:pStyle w:val="NormalBold"/>
      </w:pPr>
      <w:r w:rsidRPr="001E6F82">
        <w:t>Wniosek dotyczący rozporządzenia</w:t>
      </w:r>
    </w:p>
    <w:p w14:paraId="343C063E" w14:textId="77777777" w:rsidR="002E6C09" w:rsidRPr="001E6F82" w:rsidRDefault="002E6C09" w:rsidP="002E6C09">
      <w:pPr>
        <w:pStyle w:val="NormalBold"/>
      </w:pPr>
      <w:r w:rsidRPr="001E6F82">
        <w:t>Artykuł 1 – akapit 1 – punkt 2 a (nowy)</w:t>
      </w:r>
    </w:p>
    <w:p w14:paraId="7DC84698" w14:textId="77777777" w:rsidR="002E6C09" w:rsidRPr="001E6F82" w:rsidRDefault="002E6C09" w:rsidP="002E6C09">
      <w:r w:rsidRPr="001E6F82">
        <w:t>Rozporządzenie (WE) nr 1272/2008</w:t>
      </w:r>
    </w:p>
    <w:p w14:paraId="07493FC4" w14:textId="77777777" w:rsidR="002E6C09" w:rsidRPr="001E6F82" w:rsidRDefault="002E6C09" w:rsidP="002E6C09">
      <w:r w:rsidRPr="001E6F82">
        <w:t>Artykuł 17 – ustęp 1 – akapit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44C2F75" w14:textId="77777777" w:rsidTr="00844FF8">
        <w:trPr>
          <w:trHeight w:val="240"/>
          <w:jc w:val="center"/>
        </w:trPr>
        <w:tc>
          <w:tcPr>
            <w:tcW w:w="9752" w:type="dxa"/>
            <w:gridSpan w:val="2"/>
            <w:tcBorders>
              <w:top w:val="nil"/>
              <w:left w:val="nil"/>
              <w:bottom w:val="nil"/>
              <w:right w:val="nil"/>
            </w:tcBorders>
          </w:tcPr>
          <w:p w14:paraId="201FF023" w14:textId="77777777" w:rsidR="002E6C09" w:rsidRPr="001E6F82" w:rsidRDefault="002E6C09" w:rsidP="00844FF8"/>
        </w:tc>
      </w:tr>
      <w:tr w:rsidR="002E6C09" w:rsidRPr="001E6F82" w14:paraId="2886A299" w14:textId="77777777" w:rsidTr="00844FF8">
        <w:trPr>
          <w:trHeight w:val="240"/>
          <w:jc w:val="center"/>
        </w:trPr>
        <w:tc>
          <w:tcPr>
            <w:tcW w:w="4876" w:type="dxa"/>
            <w:tcBorders>
              <w:top w:val="nil"/>
              <w:left w:val="nil"/>
              <w:bottom w:val="nil"/>
              <w:right w:val="nil"/>
            </w:tcBorders>
            <w:hideMark/>
          </w:tcPr>
          <w:p w14:paraId="79C54C9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117C8FF" w14:textId="77777777" w:rsidR="002E6C09" w:rsidRPr="001E6F82" w:rsidRDefault="002E6C09" w:rsidP="00844FF8">
            <w:pPr>
              <w:pStyle w:val="AmColumnHeading"/>
            </w:pPr>
            <w:r w:rsidRPr="001E6F82">
              <w:t>Poprawka</w:t>
            </w:r>
          </w:p>
        </w:tc>
      </w:tr>
      <w:tr w:rsidR="002E6C09" w:rsidRPr="001E6F82" w14:paraId="6270AAC6" w14:textId="77777777" w:rsidTr="00844FF8">
        <w:trPr>
          <w:jc w:val="center"/>
        </w:trPr>
        <w:tc>
          <w:tcPr>
            <w:tcW w:w="4876" w:type="dxa"/>
            <w:tcBorders>
              <w:top w:val="nil"/>
              <w:left w:val="nil"/>
              <w:bottom w:val="nil"/>
              <w:right w:val="nil"/>
            </w:tcBorders>
          </w:tcPr>
          <w:p w14:paraId="501897C1" w14:textId="77777777" w:rsidR="002E6C09" w:rsidRPr="001E6F82" w:rsidRDefault="002E6C09" w:rsidP="00844FF8">
            <w:pPr>
              <w:pStyle w:val="Normal6a"/>
            </w:pPr>
          </w:p>
        </w:tc>
        <w:tc>
          <w:tcPr>
            <w:tcW w:w="4876" w:type="dxa"/>
            <w:tcBorders>
              <w:top w:val="nil"/>
              <w:left w:val="nil"/>
              <w:bottom w:val="nil"/>
              <w:right w:val="nil"/>
            </w:tcBorders>
            <w:hideMark/>
          </w:tcPr>
          <w:p w14:paraId="5A82AE97" w14:textId="77777777" w:rsidR="002E6C09" w:rsidRPr="001E6F82" w:rsidRDefault="002E6C09" w:rsidP="00844FF8">
            <w:pPr>
              <w:pStyle w:val="Normal6a"/>
            </w:pPr>
            <w:r w:rsidRPr="001E6F82">
              <w:rPr>
                <w:b/>
                <w:i/>
              </w:rPr>
              <w:t>2a)</w:t>
            </w:r>
            <w:r w:rsidRPr="001E6F82">
              <w:tab/>
            </w:r>
            <w:r w:rsidRPr="001E6F82">
              <w:rPr>
                <w:b/>
                <w:i/>
              </w:rPr>
              <w:t xml:space="preserve">w art. 17 ust. 1 dodaje się akapit w </w:t>
            </w:r>
            <w:r w:rsidRPr="001E6F82">
              <w:rPr>
                <w:b/>
                <w:i/>
              </w:rPr>
              <w:lastRenderedPageBreak/>
              <w:t>brzmieniu:</w:t>
            </w:r>
          </w:p>
        </w:tc>
      </w:tr>
      <w:tr w:rsidR="002E6C09" w:rsidRPr="001E6F82" w14:paraId="4294FF0F" w14:textId="77777777" w:rsidTr="00844FF8">
        <w:trPr>
          <w:jc w:val="center"/>
        </w:trPr>
        <w:tc>
          <w:tcPr>
            <w:tcW w:w="4876" w:type="dxa"/>
            <w:tcBorders>
              <w:top w:val="nil"/>
              <w:left w:val="nil"/>
              <w:bottom w:val="nil"/>
              <w:right w:val="nil"/>
            </w:tcBorders>
          </w:tcPr>
          <w:p w14:paraId="1754588E" w14:textId="77777777" w:rsidR="002E6C09" w:rsidRPr="001E6F82" w:rsidRDefault="002E6C09" w:rsidP="00844FF8">
            <w:pPr>
              <w:pStyle w:val="Normal6a"/>
            </w:pPr>
          </w:p>
        </w:tc>
        <w:tc>
          <w:tcPr>
            <w:tcW w:w="4876" w:type="dxa"/>
            <w:tcBorders>
              <w:top w:val="nil"/>
              <w:left w:val="nil"/>
              <w:bottom w:val="nil"/>
              <w:right w:val="nil"/>
            </w:tcBorders>
            <w:hideMark/>
          </w:tcPr>
          <w:p w14:paraId="19D60546" w14:textId="77777777" w:rsidR="002E6C09" w:rsidRPr="001E6F82" w:rsidRDefault="002E6C09" w:rsidP="00844FF8">
            <w:pPr>
              <w:pStyle w:val="Normal6a"/>
            </w:pPr>
            <w:r w:rsidRPr="001E6F82">
              <w:rPr>
                <w:b/>
                <w:i/>
              </w:rPr>
              <w:t>„Na etykiecie można pominąć numer telefonu, o którym mowa w akapicie pierwszym lit. a), jeżeli jest on bezpośrednio dostępny za pośrednictwem kontaktu elektronicznego.”;</w:t>
            </w:r>
          </w:p>
        </w:tc>
      </w:tr>
    </w:tbl>
    <w:p w14:paraId="6909B7DE" w14:textId="77777777" w:rsidR="002E6C09" w:rsidRPr="001E6F82" w:rsidRDefault="002E6C09" w:rsidP="002E6C09"/>
    <w:p w14:paraId="34DF9C30" w14:textId="77777777" w:rsidR="002E6C09" w:rsidRPr="001E6F82" w:rsidRDefault="002E6C09" w:rsidP="002E6C09">
      <w:pPr>
        <w:pStyle w:val="AmNumberTabs"/>
      </w:pPr>
      <w:r w:rsidRPr="001E6F82">
        <w:t>Poprawka</w:t>
      </w:r>
      <w:r w:rsidRPr="001E6F82">
        <w:tab/>
      </w:r>
      <w:r w:rsidRPr="001E6F82">
        <w:tab/>
        <w:t>38</w:t>
      </w:r>
    </w:p>
    <w:p w14:paraId="01779D6E" w14:textId="77777777" w:rsidR="002E6C09" w:rsidRPr="001E6F82" w:rsidRDefault="002E6C09" w:rsidP="002E6C09">
      <w:pPr>
        <w:pStyle w:val="NormalBold"/>
      </w:pPr>
      <w:r w:rsidRPr="001E6F82">
        <w:t>Wniosek dotyczący rozporządzenia</w:t>
      </w:r>
    </w:p>
    <w:p w14:paraId="64DF3D15" w14:textId="77777777" w:rsidR="002E6C09" w:rsidRPr="001E6F82" w:rsidRDefault="002E6C09" w:rsidP="002E6C09">
      <w:pPr>
        <w:pStyle w:val="NormalBold"/>
      </w:pPr>
      <w:r w:rsidRPr="001E6F82">
        <w:t>Artykuł 1 – akapit 1 – punkt 3</w:t>
      </w:r>
    </w:p>
    <w:p w14:paraId="63372A57" w14:textId="77777777" w:rsidR="002E6C09" w:rsidRPr="001E6F82" w:rsidRDefault="002E6C09" w:rsidP="002E6C09">
      <w:r w:rsidRPr="001E6F82">
        <w:t>Rozporządzenie (WE) nr 1272/2008</w:t>
      </w:r>
    </w:p>
    <w:p w14:paraId="56603D7F" w14:textId="77777777" w:rsidR="002E6C09" w:rsidRPr="001E6F82" w:rsidRDefault="002E6C09" w:rsidP="002E6C09">
      <w:r w:rsidRPr="001E6F82">
        <w:t>Artykuł 25 – ustęp 6 – akapit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34FE44A" w14:textId="77777777" w:rsidTr="00844FF8">
        <w:trPr>
          <w:trHeight w:val="240"/>
          <w:jc w:val="center"/>
        </w:trPr>
        <w:tc>
          <w:tcPr>
            <w:tcW w:w="9752" w:type="dxa"/>
            <w:gridSpan w:val="2"/>
            <w:tcBorders>
              <w:top w:val="nil"/>
              <w:left w:val="nil"/>
              <w:bottom w:val="nil"/>
              <w:right w:val="nil"/>
            </w:tcBorders>
          </w:tcPr>
          <w:p w14:paraId="45240E93" w14:textId="77777777" w:rsidR="002E6C09" w:rsidRPr="001E6F82" w:rsidRDefault="002E6C09" w:rsidP="00844FF8"/>
        </w:tc>
      </w:tr>
      <w:tr w:rsidR="002E6C09" w:rsidRPr="001E6F82" w14:paraId="1D943C83" w14:textId="77777777" w:rsidTr="00844FF8">
        <w:trPr>
          <w:trHeight w:val="240"/>
          <w:jc w:val="center"/>
        </w:trPr>
        <w:tc>
          <w:tcPr>
            <w:tcW w:w="4876" w:type="dxa"/>
            <w:tcBorders>
              <w:top w:val="nil"/>
              <w:left w:val="nil"/>
              <w:bottom w:val="nil"/>
              <w:right w:val="nil"/>
            </w:tcBorders>
            <w:hideMark/>
          </w:tcPr>
          <w:p w14:paraId="7AF597E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AD1CC37" w14:textId="77777777" w:rsidR="002E6C09" w:rsidRPr="001E6F82" w:rsidRDefault="002E6C09" w:rsidP="00844FF8">
            <w:pPr>
              <w:pStyle w:val="AmColumnHeading"/>
            </w:pPr>
            <w:r w:rsidRPr="001E6F82">
              <w:t>Poprawka</w:t>
            </w:r>
          </w:p>
        </w:tc>
      </w:tr>
      <w:tr w:rsidR="002E6C09" w:rsidRPr="001E6F82" w14:paraId="3F38A639" w14:textId="77777777" w:rsidTr="00844FF8">
        <w:trPr>
          <w:jc w:val="center"/>
        </w:trPr>
        <w:tc>
          <w:tcPr>
            <w:tcW w:w="4876" w:type="dxa"/>
            <w:tcBorders>
              <w:top w:val="nil"/>
              <w:left w:val="nil"/>
              <w:bottom w:val="nil"/>
              <w:right w:val="nil"/>
            </w:tcBorders>
            <w:hideMark/>
          </w:tcPr>
          <w:p w14:paraId="5AE241F5" w14:textId="77777777" w:rsidR="002E6C09" w:rsidRPr="001E6F82" w:rsidRDefault="002E6C09" w:rsidP="00844FF8">
            <w:pPr>
              <w:pStyle w:val="Normal6a"/>
            </w:pPr>
            <w:r w:rsidRPr="001E6F82">
              <w:t xml:space="preserve">Etykieta zawiera również identyfikator produktu, o którym mowa w art. 18, oraz nazwę, adres </w:t>
            </w:r>
            <w:r w:rsidRPr="001E6F82">
              <w:rPr>
                <w:b/>
                <w:i/>
              </w:rPr>
              <w:t>i</w:t>
            </w:r>
            <w:r w:rsidRPr="001E6F82">
              <w:t xml:space="preserve"> kontakt elektroniczny dostawcy danej mieszaniny.</w:t>
            </w:r>
            <w:r w:rsidRPr="001E6F82">
              <w:rPr>
                <w:b/>
                <w:i/>
              </w:rPr>
              <w:t>”</w:t>
            </w:r>
            <w:r w:rsidRPr="001E6F82">
              <w:t>;</w:t>
            </w:r>
          </w:p>
        </w:tc>
        <w:tc>
          <w:tcPr>
            <w:tcW w:w="4876" w:type="dxa"/>
            <w:tcBorders>
              <w:top w:val="nil"/>
              <w:left w:val="nil"/>
              <w:bottom w:val="nil"/>
              <w:right w:val="nil"/>
            </w:tcBorders>
            <w:hideMark/>
          </w:tcPr>
          <w:p w14:paraId="35094213" w14:textId="77777777" w:rsidR="002E6C09" w:rsidRPr="001E6F82" w:rsidRDefault="002E6C09" w:rsidP="00844FF8">
            <w:pPr>
              <w:pStyle w:val="Normal6a"/>
            </w:pPr>
            <w:r w:rsidRPr="001E6F82">
              <w:t>Etykieta zawiera również identyfikator produktu, o którym mowa w art. 18, oraz nazwę, adres</w:t>
            </w:r>
            <w:r w:rsidRPr="001E6F82">
              <w:rPr>
                <w:b/>
                <w:i/>
              </w:rPr>
              <w:t>,</w:t>
            </w:r>
            <w:r w:rsidRPr="001E6F82">
              <w:t xml:space="preserve"> kontakt elektroniczny dostawcy </w:t>
            </w:r>
            <w:r w:rsidRPr="001E6F82">
              <w:rPr>
                <w:b/>
                <w:i/>
              </w:rPr>
              <w:t>(dostawców)</w:t>
            </w:r>
            <w:r w:rsidRPr="001E6F82">
              <w:t xml:space="preserve"> danej mieszaniny </w:t>
            </w:r>
            <w:r w:rsidRPr="001E6F82">
              <w:rPr>
                <w:b/>
                <w:i/>
              </w:rPr>
              <w:t>i numer telefonu, chyba że ten numer telefonu jest bezpośrednio dostępny za pośrednictwem kontaktu elektronicznego</w:t>
            </w:r>
            <w:r w:rsidRPr="001E6F82">
              <w:t xml:space="preserve">. </w:t>
            </w:r>
            <w:r w:rsidRPr="001E6F82">
              <w:rPr>
                <w:b/>
                <w:i/>
              </w:rPr>
              <w:t>Bez uszczerbku dla terminu określonego w art. 61 ust. 8 umieszczenie lub zmiana kontaktu elektronicznego mogą się odbywać w dowolnym momencie lub z częstotliwością, z jaką dostawca aktualizuje etykietę</w:t>
            </w:r>
            <w:r w:rsidRPr="001E6F82">
              <w:t>;</w:t>
            </w:r>
          </w:p>
        </w:tc>
      </w:tr>
    </w:tbl>
    <w:p w14:paraId="7B4DB1F1" w14:textId="77777777" w:rsidR="002E6C09" w:rsidRPr="001E6F82" w:rsidRDefault="002E6C09" w:rsidP="002E6C09"/>
    <w:p w14:paraId="6EB07790" w14:textId="77777777" w:rsidR="002E6C09" w:rsidRPr="001E6F82" w:rsidRDefault="002E6C09" w:rsidP="002E6C09">
      <w:pPr>
        <w:pStyle w:val="AmNumberTabs"/>
      </w:pPr>
      <w:r w:rsidRPr="001E6F82">
        <w:t>Poprawka</w:t>
      </w:r>
      <w:r w:rsidRPr="001E6F82">
        <w:tab/>
      </w:r>
      <w:r w:rsidRPr="001E6F82">
        <w:tab/>
        <w:t>39</w:t>
      </w:r>
    </w:p>
    <w:p w14:paraId="02E7C9D3" w14:textId="77777777" w:rsidR="002E6C09" w:rsidRPr="001E6F82" w:rsidRDefault="002E6C09" w:rsidP="002E6C09">
      <w:pPr>
        <w:pStyle w:val="NormalBold"/>
      </w:pPr>
      <w:r w:rsidRPr="001E6F82">
        <w:t>Wniosek dotyczący rozporządzenia</w:t>
      </w:r>
    </w:p>
    <w:p w14:paraId="11365688" w14:textId="77777777" w:rsidR="002E6C09" w:rsidRPr="001E6F82" w:rsidRDefault="002E6C09" w:rsidP="002E6C09">
      <w:pPr>
        <w:pStyle w:val="NormalBold"/>
      </w:pPr>
      <w:r w:rsidRPr="001E6F82">
        <w:t>Artykuł 1 – akapit 1 – punkt 4 – wprowadzenie</w:t>
      </w:r>
    </w:p>
    <w:p w14:paraId="6CA25FB2" w14:textId="77777777" w:rsidR="002E6C09" w:rsidRPr="001E6F82" w:rsidRDefault="002E6C09" w:rsidP="002E6C09">
      <w:r w:rsidRPr="001E6F82">
        <w:t>Rozporządzenie (WE) nr 1272/2008</w:t>
      </w:r>
    </w:p>
    <w:p w14:paraId="2C3E1AAA" w14:textId="77777777" w:rsidR="002E6C09" w:rsidRPr="001E6F82" w:rsidRDefault="002E6C09" w:rsidP="002E6C09">
      <w:r w:rsidRPr="001E6F82">
        <w:t>Artykuł 29 – ustęp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0C9F920" w14:textId="77777777" w:rsidTr="00844FF8">
        <w:trPr>
          <w:trHeight w:val="240"/>
          <w:jc w:val="center"/>
        </w:trPr>
        <w:tc>
          <w:tcPr>
            <w:tcW w:w="9752" w:type="dxa"/>
            <w:gridSpan w:val="2"/>
            <w:tcBorders>
              <w:top w:val="nil"/>
              <w:left w:val="nil"/>
              <w:bottom w:val="nil"/>
              <w:right w:val="nil"/>
            </w:tcBorders>
          </w:tcPr>
          <w:p w14:paraId="6591ADEB" w14:textId="77777777" w:rsidR="002E6C09" w:rsidRPr="001E6F82" w:rsidRDefault="002E6C09" w:rsidP="00844FF8"/>
        </w:tc>
      </w:tr>
      <w:tr w:rsidR="002E6C09" w:rsidRPr="001E6F82" w14:paraId="5BED5701" w14:textId="77777777" w:rsidTr="00844FF8">
        <w:trPr>
          <w:trHeight w:val="240"/>
          <w:jc w:val="center"/>
        </w:trPr>
        <w:tc>
          <w:tcPr>
            <w:tcW w:w="4876" w:type="dxa"/>
            <w:tcBorders>
              <w:top w:val="nil"/>
              <w:left w:val="nil"/>
              <w:bottom w:val="nil"/>
              <w:right w:val="nil"/>
            </w:tcBorders>
            <w:hideMark/>
          </w:tcPr>
          <w:p w14:paraId="7F66F18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B4D9F84" w14:textId="77777777" w:rsidR="002E6C09" w:rsidRPr="001E6F82" w:rsidRDefault="002E6C09" w:rsidP="00844FF8">
            <w:pPr>
              <w:pStyle w:val="AmColumnHeading"/>
            </w:pPr>
            <w:r w:rsidRPr="001E6F82">
              <w:t>Poprawka</w:t>
            </w:r>
          </w:p>
        </w:tc>
      </w:tr>
      <w:tr w:rsidR="002E6C09" w:rsidRPr="001E6F82" w14:paraId="51062641" w14:textId="77777777" w:rsidTr="00844FF8">
        <w:trPr>
          <w:jc w:val="center"/>
        </w:trPr>
        <w:tc>
          <w:tcPr>
            <w:tcW w:w="4876" w:type="dxa"/>
            <w:tcBorders>
              <w:top w:val="nil"/>
              <w:left w:val="nil"/>
              <w:bottom w:val="nil"/>
              <w:right w:val="nil"/>
            </w:tcBorders>
          </w:tcPr>
          <w:p w14:paraId="3B2FA937" w14:textId="77777777" w:rsidR="002E6C09" w:rsidRPr="001E6F82" w:rsidRDefault="002E6C09" w:rsidP="00844FF8">
            <w:pPr>
              <w:pStyle w:val="Normal6a"/>
            </w:pPr>
            <w:r w:rsidRPr="001E6F82">
              <w:t>4)</w:t>
            </w:r>
            <w:r w:rsidRPr="001E6F82">
              <w:tab/>
              <w:t xml:space="preserve">art. 29 ust. 2 </w:t>
            </w:r>
            <w:r w:rsidRPr="001E6F82">
              <w:rPr>
                <w:b/>
                <w:i/>
              </w:rPr>
              <w:t>otrzymuje</w:t>
            </w:r>
            <w:r w:rsidRPr="001E6F82">
              <w:t xml:space="preserve"> brzmienie:</w:t>
            </w:r>
          </w:p>
        </w:tc>
        <w:tc>
          <w:tcPr>
            <w:tcW w:w="4876" w:type="dxa"/>
            <w:tcBorders>
              <w:top w:val="nil"/>
              <w:left w:val="nil"/>
              <w:bottom w:val="nil"/>
              <w:right w:val="nil"/>
            </w:tcBorders>
          </w:tcPr>
          <w:p w14:paraId="2E7B7361" w14:textId="77777777" w:rsidR="002E6C09" w:rsidRPr="001E6F82" w:rsidRDefault="002E6C09" w:rsidP="00844FF8">
            <w:pPr>
              <w:pStyle w:val="Normal6a"/>
            </w:pPr>
            <w:r w:rsidRPr="001E6F82">
              <w:t>4)</w:t>
            </w:r>
            <w:r w:rsidRPr="001E6F82">
              <w:tab/>
              <w:t xml:space="preserve">art. 29 ust. </w:t>
            </w:r>
            <w:r w:rsidRPr="001E6F82">
              <w:rPr>
                <w:b/>
                <w:i/>
              </w:rPr>
              <w:t>1 i</w:t>
            </w:r>
            <w:r w:rsidRPr="001E6F82">
              <w:t xml:space="preserve"> 2 </w:t>
            </w:r>
            <w:r w:rsidRPr="001E6F82">
              <w:rPr>
                <w:b/>
                <w:i/>
              </w:rPr>
              <w:t>otrzymują</w:t>
            </w:r>
            <w:r w:rsidRPr="001E6F82">
              <w:t xml:space="preserve"> brzmienie:</w:t>
            </w:r>
          </w:p>
        </w:tc>
      </w:tr>
      <w:tr w:rsidR="002E6C09" w:rsidRPr="001E6F82" w14:paraId="3273B3CD" w14:textId="77777777" w:rsidTr="00844FF8">
        <w:trPr>
          <w:jc w:val="center"/>
        </w:trPr>
        <w:tc>
          <w:tcPr>
            <w:tcW w:w="4876" w:type="dxa"/>
            <w:tcBorders>
              <w:top w:val="nil"/>
              <w:left w:val="nil"/>
              <w:bottom w:val="nil"/>
              <w:right w:val="nil"/>
            </w:tcBorders>
            <w:hideMark/>
          </w:tcPr>
          <w:p w14:paraId="73F67988" w14:textId="77777777" w:rsidR="002E6C09" w:rsidRPr="001E6F82" w:rsidRDefault="002E6C09" w:rsidP="00844FF8">
            <w:pPr>
              <w:pStyle w:val="Normal6a"/>
            </w:pPr>
            <w:r w:rsidRPr="001E6F82">
              <w:t>1.</w:t>
            </w:r>
            <w:r w:rsidRPr="001E6F82">
              <w:tab/>
              <w:t xml:space="preserve">Jeżeli opakowanie substancji lub mieszaniny ma taki kształt lub formę, lub jest tak małe, że niemożliwe jest spełnienie wymagań art. 31 dotyczących etykiety w językach państwa członkowskiego, w którym ta substancja lub mieszanina wprowadzana jest do obrotu, elementy etykiety </w:t>
            </w:r>
            <w:r w:rsidRPr="001E6F82">
              <w:rPr>
                <w:b/>
                <w:i/>
              </w:rPr>
              <w:t>spełniające warunki</w:t>
            </w:r>
            <w:r w:rsidRPr="001E6F82">
              <w:t xml:space="preserve"> określone w </w:t>
            </w:r>
            <w:r w:rsidRPr="001E6F82">
              <w:lastRenderedPageBreak/>
              <w:t xml:space="preserve">art. 17 ust. </w:t>
            </w:r>
            <w:r w:rsidRPr="001E6F82">
              <w:rPr>
                <w:b/>
                <w:i/>
              </w:rPr>
              <w:t>2 akapit pierwszy</w:t>
            </w:r>
            <w:r w:rsidRPr="001E6F82">
              <w:t xml:space="preserve"> zamieszczane są w sposób zgodny z sekcją 1.5.1 załącznika I.</w:t>
            </w:r>
          </w:p>
        </w:tc>
        <w:tc>
          <w:tcPr>
            <w:tcW w:w="4876" w:type="dxa"/>
            <w:tcBorders>
              <w:top w:val="nil"/>
              <w:left w:val="nil"/>
              <w:bottom w:val="nil"/>
              <w:right w:val="nil"/>
            </w:tcBorders>
            <w:hideMark/>
          </w:tcPr>
          <w:p w14:paraId="51A14227" w14:textId="77777777" w:rsidR="002E6C09" w:rsidRPr="001E6F82" w:rsidRDefault="002E6C09" w:rsidP="00844FF8">
            <w:pPr>
              <w:pStyle w:val="Normal6a"/>
            </w:pPr>
            <w:r w:rsidRPr="001E6F82">
              <w:rPr>
                <w:b/>
                <w:i/>
              </w:rPr>
              <w:lastRenderedPageBreak/>
              <w:t>„1.</w:t>
            </w:r>
            <w:r w:rsidRPr="001E6F82">
              <w:tab/>
              <w:t xml:space="preserve">Jeżeli opakowanie substancji lub mieszaniny ma taki kształt lub formę, lub jest tak małe, że niemożliwe jest spełnienie wymagań </w:t>
            </w:r>
            <w:r w:rsidRPr="001E6F82">
              <w:rPr>
                <w:b/>
                <w:i/>
              </w:rPr>
              <w:t>określonych w</w:t>
            </w:r>
            <w:r w:rsidRPr="001E6F82">
              <w:t xml:space="preserve"> art. 31 dotyczących etykiety w językach państwa członkowskiego, w którym ta substancja lub mieszanina wprowadzana jest do obrotu, elementy etykiety określone </w:t>
            </w:r>
            <w:r w:rsidRPr="001E6F82">
              <w:lastRenderedPageBreak/>
              <w:t>w art. 17 ust. </w:t>
            </w:r>
            <w:r w:rsidRPr="001E6F82">
              <w:rPr>
                <w:b/>
                <w:i/>
              </w:rPr>
              <w:t>1</w:t>
            </w:r>
            <w:r w:rsidRPr="001E6F82">
              <w:t xml:space="preserve"> zamieszczane są w sposób zgodny z sekcją 1.5.1 załącznika I.</w:t>
            </w:r>
            <w:r w:rsidRPr="001E6F82">
              <w:rPr>
                <w:b/>
                <w:i/>
              </w:rPr>
              <w:t>”;</w:t>
            </w:r>
          </w:p>
        </w:tc>
      </w:tr>
    </w:tbl>
    <w:p w14:paraId="1BC58CF3" w14:textId="77777777" w:rsidR="002E6C09" w:rsidRPr="001E6F82" w:rsidRDefault="002E6C09" w:rsidP="002E6C09"/>
    <w:p w14:paraId="04BD1914" w14:textId="77777777" w:rsidR="002E6C09" w:rsidRPr="001E6F82" w:rsidRDefault="002E6C09" w:rsidP="002E6C09">
      <w:pPr>
        <w:pStyle w:val="AmNumberTabs"/>
      </w:pPr>
      <w:r w:rsidRPr="001E6F82">
        <w:t>Poprawka</w:t>
      </w:r>
      <w:r w:rsidRPr="001E6F82">
        <w:tab/>
      </w:r>
      <w:r w:rsidRPr="001E6F82">
        <w:tab/>
        <w:t>40</w:t>
      </w:r>
    </w:p>
    <w:p w14:paraId="6577BCBA" w14:textId="77777777" w:rsidR="002E6C09" w:rsidRPr="001E6F82" w:rsidRDefault="002E6C09" w:rsidP="002E6C09">
      <w:pPr>
        <w:pStyle w:val="NormalBold"/>
      </w:pPr>
      <w:r w:rsidRPr="001E6F82">
        <w:t>Wniosek dotyczący rozporządzenia</w:t>
      </w:r>
    </w:p>
    <w:p w14:paraId="3D9008B5" w14:textId="77777777" w:rsidR="002E6C09" w:rsidRPr="001E6F82" w:rsidRDefault="002E6C09" w:rsidP="002E6C09">
      <w:pPr>
        <w:pStyle w:val="NormalBold"/>
      </w:pPr>
      <w:r w:rsidRPr="001E6F82">
        <w:t>Artykuł 1 – akapit 1 – punkt 4</w:t>
      </w:r>
    </w:p>
    <w:p w14:paraId="59AAD920" w14:textId="77777777" w:rsidR="002E6C09" w:rsidRPr="001E6F82" w:rsidRDefault="002E6C09" w:rsidP="002E6C09">
      <w:r w:rsidRPr="001E6F82">
        <w:t>Rozporządzenie (WE) nr 1272/2008</w:t>
      </w:r>
    </w:p>
    <w:p w14:paraId="0A588482" w14:textId="77777777" w:rsidR="002E6C09" w:rsidRPr="001E6F82" w:rsidRDefault="002E6C09" w:rsidP="002E6C09">
      <w:r w:rsidRPr="001E6F82">
        <w:t>Artykuł 29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25AFCA8" w14:textId="77777777" w:rsidTr="00844FF8">
        <w:trPr>
          <w:trHeight w:val="240"/>
          <w:jc w:val="center"/>
        </w:trPr>
        <w:tc>
          <w:tcPr>
            <w:tcW w:w="9752" w:type="dxa"/>
            <w:gridSpan w:val="2"/>
            <w:tcBorders>
              <w:top w:val="nil"/>
              <w:left w:val="nil"/>
              <w:bottom w:val="nil"/>
              <w:right w:val="nil"/>
            </w:tcBorders>
          </w:tcPr>
          <w:p w14:paraId="00E02794" w14:textId="77777777" w:rsidR="002E6C09" w:rsidRPr="001E6F82" w:rsidRDefault="002E6C09" w:rsidP="00844FF8"/>
        </w:tc>
      </w:tr>
      <w:tr w:rsidR="002E6C09" w:rsidRPr="001E6F82" w14:paraId="4656FAD2" w14:textId="77777777" w:rsidTr="00844FF8">
        <w:trPr>
          <w:trHeight w:val="240"/>
          <w:jc w:val="center"/>
        </w:trPr>
        <w:tc>
          <w:tcPr>
            <w:tcW w:w="4876" w:type="dxa"/>
            <w:tcBorders>
              <w:top w:val="nil"/>
              <w:left w:val="nil"/>
              <w:bottom w:val="nil"/>
              <w:right w:val="nil"/>
            </w:tcBorders>
            <w:hideMark/>
          </w:tcPr>
          <w:p w14:paraId="679B9318"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666F1CC" w14:textId="77777777" w:rsidR="002E6C09" w:rsidRPr="001E6F82" w:rsidRDefault="002E6C09" w:rsidP="00844FF8">
            <w:pPr>
              <w:pStyle w:val="AmColumnHeading"/>
            </w:pPr>
            <w:r w:rsidRPr="001E6F82">
              <w:t>Poprawka</w:t>
            </w:r>
          </w:p>
        </w:tc>
      </w:tr>
      <w:tr w:rsidR="002E6C09" w:rsidRPr="001E6F82" w14:paraId="0F1AC56B" w14:textId="77777777" w:rsidTr="00844FF8">
        <w:trPr>
          <w:jc w:val="center"/>
        </w:trPr>
        <w:tc>
          <w:tcPr>
            <w:tcW w:w="4876" w:type="dxa"/>
            <w:tcBorders>
              <w:top w:val="nil"/>
              <w:left w:val="nil"/>
              <w:bottom w:val="nil"/>
              <w:right w:val="nil"/>
            </w:tcBorders>
            <w:hideMark/>
          </w:tcPr>
          <w:p w14:paraId="11E130B8" w14:textId="77777777" w:rsidR="002E6C09" w:rsidRPr="001E6F82" w:rsidRDefault="002E6C09" w:rsidP="00844FF8">
            <w:pPr>
              <w:pStyle w:val="Normal6a"/>
            </w:pPr>
            <w:r w:rsidRPr="001E6F82">
              <w:t>2.</w:t>
            </w:r>
            <w:r w:rsidRPr="001E6F82">
              <w:tab/>
              <w:t>Elementy etykiety określone w art. 17 ust. 1 można ograniczyć zgodnie z zasadami określonymi w sekcji 1.5.2 załącznika I.”;</w:t>
            </w:r>
          </w:p>
        </w:tc>
        <w:tc>
          <w:tcPr>
            <w:tcW w:w="4876" w:type="dxa"/>
            <w:tcBorders>
              <w:top w:val="nil"/>
              <w:left w:val="nil"/>
              <w:bottom w:val="nil"/>
              <w:right w:val="nil"/>
            </w:tcBorders>
            <w:hideMark/>
          </w:tcPr>
          <w:p w14:paraId="0716C1F0" w14:textId="77777777" w:rsidR="002E6C09" w:rsidRPr="001E6F82" w:rsidRDefault="002E6C09" w:rsidP="00844FF8">
            <w:pPr>
              <w:pStyle w:val="Normal6a"/>
            </w:pPr>
            <w:r w:rsidRPr="001E6F82">
              <w:t>2.</w:t>
            </w:r>
            <w:r w:rsidRPr="001E6F82">
              <w:tab/>
              <w:t>Elementy etykiety określone w art. 17 ust. 1 można ograniczyć zgodnie z zasadami określonymi w sekcji 1.5.2 załącznika I</w:t>
            </w:r>
            <w:r w:rsidRPr="001E6F82">
              <w:rPr>
                <w:b/>
                <w:i/>
              </w:rPr>
              <w:t>, jeżeli: a) zawartość opakowania substancji lub mieszaniny nie przekracza ilości wskazanych w sekcji 1.5.2 załącznika I;</w:t>
            </w:r>
            <w:r w:rsidRPr="001E6F82">
              <w:t xml:space="preserve"> </w:t>
            </w:r>
            <w:r w:rsidRPr="001E6F82">
              <w:rPr>
                <w:b/>
                <w:i/>
              </w:rPr>
              <w:t>oraz b) opakowanie ma taki kształt lub formę lub jest tak małe, że niemożliwe jest zamieszczenie wszystkich elementów, o których mowa w art. 31, we wszystkich językach państwa członkowskiego, w którym ta substancja lub mieszanina jest wprowadzana do obrotu.”;</w:t>
            </w:r>
          </w:p>
        </w:tc>
      </w:tr>
    </w:tbl>
    <w:p w14:paraId="11145A50" w14:textId="77777777" w:rsidR="002E6C09" w:rsidRPr="001E6F82" w:rsidRDefault="002E6C09" w:rsidP="002E6C09"/>
    <w:p w14:paraId="54D96AA1" w14:textId="77777777" w:rsidR="002E6C09" w:rsidRPr="001E6F82" w:rsidRDefault="002E6C09" w:rsidP="002E6C09">
      <w:pPr>
        <w:pStyle w:val="AmNumberTabs"/>
      </w:pPr>
      <w:r w:rsidRPr="001E6F82">
        <w:t>Poprawka</w:t>
      </w:r>
      <w:r w:rsidRPr="001E6F82">
        <w:tab/>
      </w:r>
      <w:r w:rsidRPr="001E6F82">
        <w:tab/>
        <w:t>41</w:t>
      </w:r>
    </w:p>
    <w:p w14:paraId="33DC8BD7" w14:textId="77777777" w:rsidR="002E6C09" w:rsidRPr="001E6F82" w:rsidRDefault="002E6C09" w:rsidP="002E6C09">
      <w:pPr>
        <w:pStyle w:val="NormalBold"/>
      </w:pPr>
      <w:r w:rsidRPr="001E6F82">
        <w:t>Wniosek dotyczący rozporządzenia</w:t>
      </w:r>
    </w:p>
    <w:p w14:paraId="2EED796B" w14:textId="77777777" w:rsidR="002E6C09" w:rsidRPr="001E6F82" w:rsidRDefault="002E6C09" w:rsidP="002E6C09">
      <w:pPr>
        <w:pStyle w:val="NormalBold"/>
      </w:pPr>
      <w:r w:rsidRPr="001E6F82">
        <w:t>Artykuł 1 – akapit 1 – punkt 4 a (nowy)</w:t>
      </w:r>
    </w:p>
    <w:p w14:paraId="6757CE31" w14:textId="77777777" w:rsidR="002E6C09" w:rsidRPr="001E6F82" w:rsidRDefault="002E6C09" w:rsidP="002E6C09">
      <w:r w:rsidRPr="001E6F82">
        <w:t>Rozporządzenie (WE) nr 1272/2008</w:t>
      </w:r>
    </w:p>
    <w:p w14:paraId="2E8E2337" w14:textId="77777777" w:rsidR="002E6C09" w:rsidRPr="001E6F82" w:rsidRDefault="002E6C09" w:rsidP="002E6C09">
      <w:r w:rsidRPr="001E6F82">
        <w:t>Artykuł 29 – ustęp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B90D868" w14:textId="77777777" w:rsidTr="00844FF8">
        <w:trPr>
          <w:trHeight w:val="240"/>
          <w:jc w:val="center"/>
        </w:trPr>
        <w:tc>
          <w:tcPr>
            <w:tcW w:w="9752" w:type="dxa"/>
            <w:gridSpan w:val="2"/>
            <w:tcBorders>
              <w:top w:val="nil"/>
              <w:left w:val="nil"/>
              <w:bottom w:val="nil"/>
              <w:right w:val="nil"/>
            </w:tcBorders>
          </w:tcPr>
          <w:p w14:paraId="1DE9C0A9" w14:textId="77777777" w:rsidR="002E6C09" w:rsidRPr="001E6F82" w:rsidRDefault="002E6C09" w:rsidP="00844FF8"/>
        </w:tc>
      </w:tr>
      <w:tr w:rsidR="002E6C09" w:rsidRPr="001E6F82" w14:paraId="2CEDA57B" w14:textId="77777777" w:rsidTr="00844FF8">
        <w:trPr>
          <w:trHeight w:val="240"/>
          <w:jc w:val="center"/>
        </w:trPr>
        <w:tc>
          <w:tcPr>
            <w:tcW w:w="4876" w:type="dxa"/>
            <w:tcBorders>
              <w:top w:val="nil"/>
              <w:left w:val="nil"/>
              <w:bottom w:val="nil"/>
              <w:right w:val="nil"/>
            </w:tcBorders>
            <w:hideMark/>
          </w:tcPr>
          <w:p w14:paraId="6ECACC6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5111F60" w14:textId="77777777" w:rsidR="002E6C09" w:rsidRPr="001E6F82" w:rsidRDefault="002E6C09" w:rsidP="00844FF8">
            <w:pPr>
              <w:pStyle w:val="AmColumnHeading"/>
            </w:pPr>
            <w:r w:rsidRPr="001E6F82">
              <w:t>Poprawka</w:t>
            </w:r>
          </w:p>
        </w:tc>
      </w:tr>
      <w:tr w:rsidR="002E6C09" w:rsidRPr="001E6F82" w14:paraId="06F10243" w14:textId="77777777" w:rsidTr="00844FF8">
        <w:trPr>
          <w:jc w:val="center"/>
        </w:trPr>
        <w:tc>
          <w:tcPr>
            <w:tcW w:w="4876" w:type="dxa"/>
            <w:tcBorders>
              <w:top w:val="nil"/>
              <w:left w:val="nil"/>
              <w:bottom w:val="nil"/>
              <w:right w:val="nil"/>
            </w:tcBorders>
          </w:tcPr>
          <w:p w14:paraId="33F2200C" w14:textId="77777777" w:rsidR="002E6C09" w:rsidRPr="001E6F82" w:rsidRDefault="002E6C09" w:rsidP="00844FF8">
            <w:pPr>
              <w:pStyle w:val="Normal6a"/>
            </w:pPr>
          </w:p>
        </w:tc>
        <w:tc>
          <w:tcPr>
            <w:tcW w:w="4876" w:type="dxa"/>
            <w:tcBorders>
              <w:top w:val="nil"/>
              <w:left w:val="nil"/>
              <w:bottom w:val="nil"/>
              <w:right w:val="nil"/>
            </w:tcBorders>
            <w:hideMark/>
          </w:tcPr>
          <w:p w14:paraId="6AC44752" w14:textId="77777777" w:rsidR="002E6C09" w:rsidRPr="001E6F82" w:rsidRDefault="002E6C09" w:rsidP="00844FF8">
            <w:pPr>
              <w:pStyle w:val="Normal6a"/>
            </w:pPr>
            <w:r w:rsidRPr="001E6F82">
              <w:rPr>
                <w:b/>
                <w:i/>
              </w:rPr>
              <w:t>4a)</w:t>
            </w:r>
            <w:r w:rsidRPr="001E6F82">
              <w:tab/>
            </w:r>
            <w:r w:rsidRPr="001E6F82">
              <w:rPr>
                <w:b/>
                <w:i/>
              </w:rPr>
              <w:t>w art. 29 dodaje się ustęp w brzmieniu:</w:t>
            </w:r>
          </w:p>
        </w:tc>
      </w:tr>
      <w:tr w:rsidR="002E6C09" w:rsidRPr="001E6F82" w14:paraId="3C632BC3" w14:textId="77777777" w:rsidTr="00844FF8">
        <w:trPr>
          <w:jc w:val="center"/>
        </w:trPr>
        <w:tc>
          <w:tcPr>
            <w:tcW w:w="4876" w:type="dxa"/>
            <w:tcBorders>
              <w:top w:val="nil"/>
              <w:left w:val="nil"/>
              <w:bottom w:val="nil"/>
              <w:right w:val="nil"/>
            </w:tcBorders>
          </w:tcPr>
          <w:p w14:paraId="66F0865A" w14:textId="77777777" w:rsidR="002E6C09" w:rsidRPr="001E6F82" w:rsidRDefault="002E6C09" w:rsidP="00844FF8">
            <w:pPr>
              <w:pStyle w:val="Normal6a"/>
            </w:pPr>
          </w:p>
        </w:tc>
        <w:tc>
          <w:tcPr>
            <w:tcW w:w="4876" w:type="dxa"/>
            <w:tcBorders>
              <w:top w:val="nil"/>
              <w:left w:val="nil"/>
              <w:bottom w:val="nil"/>
              <w:right w:val="nil"/>
            </w:tcBorders>
            <w:hideMark/>
          </w:tcPr>
          <w:p w14:paraId="345F0582" w14:textId="77777777" w:rsidR="002E6C09" w:rsidRPr="001E6F82" w:rsidRDefault="002E6C09" w:rsidP="00844FF8">
            <w:pPr>
              <w:pStyle w:val="Normal6a"/>
            </w:pPr>
            <w:r w:rsidRPr="001E6F82">
              <w:rPr>
                <w:b/>
                <w:i/>
              </w:rPr>
              <w:t>2a. Na zasadzie odstępstwa od art. 17 ust. 1 i art. 25 ust. 6 elementy etykiety wkładów atramentowych można zredukować zgodnie z zasadami określonymi w sekcji 1.5.2.5a załącznika I. Do celów niniejszego ustępu „wkład atramentowy” oznacza wymienny pojemnik, który zawiera atrament i który należy włożyć do drukarki.</w:t>
            </w:r>
          </w:p>
        </w:tc>
      </w:tr>
    </w:tbl>
    <w:p w14:paraId="4392A205" w14:textId="77777777" w:rsidR="002E6C09" w:rsidRPr="001E6F82" w:rsidRDefault="002E6C09" w:rsidP="002E6C09"/>
    <w:p w14:paraId="6B5E6CE9" w14:textId="77777777" w:rsidR="002E6C09" w:rsidRPr="001E6F82" w:rsidRDefault="002E6C09" w:rsidP="002E6C09">
      <w:pPr>
        <w:pStyle w:val="AmNumberTabs"/>
      </w:pPr>
      <w:r w:rsidRPr="001E6F82">
        <w:lastRenderedPageBreak/>
        <w:t>Poprawka</w:t>
      </w:r>
      <w:r w:rsidRPr="001E6F82">
        <w:tab/>
      </w:r>
      <w:r w:rsidRPr="001E6F82">
        <w:tab/>
        <w:t>42</w:t>
      </w:r>
    </w:p>
    <w:p w14:paraId="20851158" w14:textId="77777777" w:rsidR="002E6C09" w:rsidRPr="001E6F82" w:rsidRDefault="002E6C09" w:rsidP="002E6C09">
      <w:pPr>
        <w:pStyle w:val="NormalBold"/>
      </w:pPr>
      <w:r w:rsidRPr="001E6F82">
        <w:t>Wniosek dotyczący rozporządzenia</w:t>
      </w:r>
    </w:p>
    <w:p w14:paraId="2BF7299F" w14:textId="77777777" w:rsidR="002E6C09" w:rsidRPr="001E6F82" w:rsidRDefault="002E6C09" w:rsidP="002E6C09">
      <w:pPr>
        <w:pStyle w:val="NormalBold"/>
      </w:pPr>
      <w:r w:rsidRPr="001E6F82">
        <w:t>Artykuł 1 – akapit 1 – punkt 5</w:t>
      </w:r>
    </w:p>
    <w:p w14:paraId="44048BA2" w14:textId="77777777" w:rsidR="002E6C09" w:rsidRPr="001E6F82" w:rsidRDefault="002E6C09" w:rsidP="002E6C09">
      <w:r w:rsidRPr="001E6F82">
        <w:t>Rozporządzenie (WE) nr 1272/2008</w:t>
      </w:r>
    </w:p>
    <w:p w14:paraId="7D6D9BA4" w14:textId="77777777" w:rsidR="002E6C09" w:rsidRPr="001E6F82" w:rsidRDefault="002E6C09" w:rsidP="002E6C09">
      <w:r w:rsidRPr="001E6F82">
        <w:t>Artykuł 30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70145C1" w14:textId="77777777" w:rsidTr="00844FF8">
        <w:trPr>
          <w:trHeight w:val="240"/>
          <w:jc w:val="center"/>
        </w:trPr>
        <w:tc>
          <w:tcPr>
            <w:tcW w:w="9752" w:type="dxa"/>
            <w:gridSpan w:val="2"/>
            <w:tcBorders>
              <w:top w:val="nil"/>
              <w:left w:val="nil"/>
              <w:bottom w:val="nil"/>
              <w:right w:val="nil"/>
            </w:tcBorders>
          </w:tcPr>
          <w:p w14:paraId="70F8E1F4" w14:textId="77777777" w:rsidR="002E6C09" w:rsidRPr="001E6F82" w:rsidRDefault="002E6C09" w:rsidP="00844FF8"/>
        </w:tc>
      </w:tr>
      <w:tr w:rsidR="002E6C09" w:rsidRPr="001E6F82" w14:paraId="212114D0" w14:textId="77777777" w:rsidTr="00844FF8">
        <w:trPr>
          <w:trHeight w:val="240"/>
          <w:jc w:val="center"/>
        </w:trPr>
        <w:tc>
          <w:tcPr>
            <w:tcW w:w="4876" w:type="dxa"/>
            <w:tcBorders>
              <w:top w:val="nil"/>
              <w:left w:val="nil"/>
              <w:bottom w:val="nil"/>
              <w:right w:val="nil"/>
            </w:tcBorders>
            <w:hideMark/>
          </w:tcPr>
          <w:p w14:paraId="26DDB72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2C95726" w14:textId="77777777" w:rsidR="002E6C09" w:rsidRPr="001E6F82" w:rsidRDefault="002E6C09" w:rsidP="00844FF8">
            <w:pPr>
              <w:pStyle w:val="AmColumnHeading"/>
            </w:pPr>
            <w:r w:rsidRPr="001E6F82">
              <w:t>Poprawka</w:t>
            </w:r>
          </w:p>
        </w:tc>
      </w:tr>
      <w:tr w:rsidR="002E6C09" w:rsidRPr="001E6F82" w14:paraId="67105490" w14:textId="77777777" w:rsidTr="00844FF8">
        <w:trPr>
          <w:jc w:val="center"/>
        </w:trPr>
        <w:tc>
          <w:tcPr>
            <w:tcW w:w="4876" w:type="dxa"/>
            <w:tcBorders>
              <w:top w:val="nil"/>
              <w:left w:val="nil"/>
              <w:bottom w:val="nil"/>
              <w:right w:val="nil"/>
            </w:tcBorders>
            <w:hideMark/>
          </w:tcPr>
          <w:p w14:paraId="0D283865" w14:textId="77777777" w:rsidR="002E6C09" w:rsidRPr="001E6F82" w:rsidRDefault="002E6C09" w:rsidP="00844FF8">
            <w:pPr>
              <w:pStyle w:val="Normal6a"/>
            </w:pPr>
            <w:r w:rsidRPr="001E6F82">
              <w:t>1.</w:t>
            </w:r>
            <w:r w:rsidRPr="001E6F82">
              <w:tab/>
              <w:t>W przypadku zmiany dotyczącej klasyfikacji lub oznakowania substancji lub mieszaniny, która to zmiana skutkuje dodaniem nowej klasy zagrożenia lub bardziej surowej klasyfikacji lub która wymaga podania na etykiecie nowych informacji uzupełniających zgodnie z art. 25, dostawca tej substancji lub mieszaniny zapewnia aktualizację etykiety bez zbędnej zwłoki od dnia, w którym dostawca ten uzyskał wyniki nowej oceny, o której mowa w art. 15 ust. 4, bądź od dnia, w którym powiadomiono go o tych wynikach.”;</w:t>
            </w:r>
          </w:p>
        </w:tc>
        <w:tc>
          <w:tcPr>
            <w:tcW w:w="4876" w:type="dxa"/>
            <w:tcBorders>
              <w:top w:val="nil"/>
              <w:left w:val="nil"/>
              <w:bottom w:val="nil"/>
              <w:right w:val="nil"/>
            </w:tcBorders>
            <w:hideMark/>
          </w:tcPr>
          <w:p w14:paraId="5B084372" w14:textId="77777777" w:rsidR="002E6C09" w:rsidRPr="001E6F82" w:rsidRDefault="002E6C09" w:rsidP="00844FF8">
            <w:pPr>
              <w:pStyle w:val="Normal6a"/>
            </w:pPr>
            <w:r w:rsidRPr="001E6F82">
              <w:t>1.</w:t>
            </w:r>
            <w:r w:rsidRPr="001E6F82">
              <w:tab/>
              <w:t>W przypadku zmiany dotyczącej klasyfikacji lub oznakowania substancji lub mieszaniny, która to zmiana skutkuje dodaniem nowej klasy zagrożenia lub bardziej surowej klasyfikacji lub która wymaga podania na etykiecie nowych informacji uzupełniających zgodnie z art. 25, dostawca tej substancji lub mieszaniny zapewnia aktualizację etykiety bez zbędnej zwłoki</w:t>
            </w:r>
            <w:r w:rsidRPr="001E6F82">
              <w:rPr>
                <w:b/>
                <w:i/>
              </w:rPr>
              <w:t>, a w każdym razie nie później niż osiemnaście miesięcy</w:t>
            </w:r>
            <w:r w:rsidRPr="001E6F82">
              <w:t xml:space="preserve"> od dnia, w którym dostawca ten uzyskał wyniki nowej oceny, o której mowa w art. 15 ust. 4, bądź od dnia, w którym powiadomiono go o tych wynikach.”; </w:t>
            </w:r>
            <w:r w:rsidRPr="001E6F82">
              <w:rPr>
                <w:b/>
                <w:i/>
              </w:rPr>
              <w:t>Aby zmiany w oznakowaniu wprowadzić bez zbędnej zwłoki dostawcy współpracują zgodnie z art. 4 ust. 9 i informują swoich bezpośrednich dalszych użytkowników o wynikach nowej oceny, o której mowa w akapicie pierwszym, zgodnie z obowiązującymi wymogami rozporządzenia (WE) nr 1907/2006. Dostawcy mogą stosować nową lub zaktualizowaną klasyfikację oraz dobrowolnie dostosować oznakowanie przed upływem osiemnastu miesięcy, aby zagwarantować wysoki poziom ochrony zdrowia ludzkiego i środowiska oraz wystarczającą elastyczność.”;</w:t>
            </w:r>
          </w:p>
        </w:tc>
      </w:tr>
    </w:tbl>
    <w:p w14:paraId="78890495" w14:textId="77777777" w:rsidR="002E6C09" w:rsidRPr="001E6F82" w:rsidRDefault="002E6C09" w:rsidP="002E6C09"/>
    <w:p w14:paraId="3B81B407" w14:textId="77777777" w:rsidR="002E6C09" w:rsidRPr="001E6F82" w:rsidRDefault="002E6C09" w:rsidP="002E6C09">
      <w:pPr>
        <w:pStyle w:val="AmNumberTabs"/>
      </w:pPr>
      <w:r w:rsidRPr="001E6F82">
        <w:t>Poprawka</w:t>
      </w:r>
      <w:r w:rsidRPr="001E6F82">
        <w:tab/>
      </w:r>
      <w:r w:rsidRPr="001E6F82">
        <w:tab/>
        <w:t>43</w:t>
      </w:r>
    </w:p>
    <w:p w14:paraId="79E43998" w14:textId="77777777" w:rsidR="002E6C09" w:rsidRPr="001E6F82" w:rsidRDefault="002E6C09" w:rsidP="002E6C09">
      <w:pPr>
        <w:pStyle w:val="NormalBold"/>
      </w:pPr>
      <w:r w:rsidRPr="001E6F82">
        <w:t>Wniosek dotyczący rozporządzenia</w:t>
      </w:r>
    </w:p>
    <w:p w14:paraId="4382803E" w14:textId="77777777" w:rsidR="002E6C09" w:rsidRPr="001E6F82" w:rsidRDefault="002E6C09" w:rsidP="002E6C09">
      <w:pPr>
        <w:pStyle w:val="NormalBold"/>
      </w:pPr>
      <w:r w:rsidRPr="001E6F82">
        <w:t>Artykuł 1 – akapit 1 – punkt 6</w:t>
      </w:r>
    </w:p>
    <w:p w14:paraId="007EA677" w14:textId="77777777" w:rsidR="002E6C09" w:rsidRPr="001E6F82" w:rsidRDefault="002E6C09" w:rsidP="002E6C09">
      <w:r w:rsidRPr="001E6F82">
        <w:t>Rozporządzenie (WE) nr 1272/2008</w:t>
      </w:r>
    </w:p>
    <w:p w14:paraId="15C4D1D7" w14:textId="77777777" w:rsidR="002E6C09" w:rsidRPr="001E6F82" w:rsidRDefault="002E6C09" w:rsidP="002E6C09">
      <w:r w:rsidRPr="001E6F82">
        <w:t>Artykuł 31 – ustęp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A0EEA98" w14:textId="77777777" w:rsidTr="00844FF8">
        <w:trPr>
          <w:trHeight w:val="240"/>
          <w:jc w:val="center"/>
        </w:trPr>
        <w:tc>
          <w:tcPr>
            <w:tcW w:w="9752" w:type="dxa"/>
            <w:gridSpan w:val="2"/>
            <w:tcBorders>
              <w:top w:val="nil"/>
              <w:left w:val="nil"/>
              <w:bottom w:val="nil"/>
              <w:right w:val="nil"/>
            </w:tcBorders>
          </w:tcPr>
          <w:p w14:paraId="3AB2D7D5" w14:textId="77777777" w:rsidR="002E6C09" w:rsidRPr="001E6F82" w:rsidRDefault="002E6C09" w:rsidP="00844FF8"/>
        </w:tc>
      </w:tr>
      <w:tr w:rsidR="002E6C09" w:rsidRPr="001E6F82" w14:paraId="17774B93" w14:textId="77777777" w:rsidTr="00844FF8">
        <w:trPr>
          <w:trHeight w:val="240"/>
          <w:jc w:val="center"/>
        </w:trPr>
        <w:tc>
          <w:tcPr>
            <w:tcW w:w="4876" w:type="dxa"/>
            <w:tcBorders>
              <w:top w:val="nil"/>
              <w:left w:val="nil"/>
              <w:bottom w:val="nil"/>
              <w:right w:val="nil"/>
            </w:tcBorders>
            <w:hideMark/>
          </w:tcPr>
          <w:p w14:paraId="294AB411"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1EACAEA" w14:textId="77777777" w:rsidR="002E6C09" w:rsidRPr="001E6F82" w:rsidRDefault="002E6C09" w:rsidP="00844FF8">
            <w:pPr>
              <w:pStyle w:val="AmColumnHeading"/>
            </w:pPr>
            <w:r w:rsidRPr="001E6F82">
              <w:t>Poprawka</w:t>
            </w:r>
          </w:p>
        </w:tc>
      </w:tr>
      <w:tr w:rsidR="002E6C09" w:rsidRPr="001E6F82" w14:paraId="4A54F064" w14:textId="77777777" w:rsidTr="00844FF8">
        <w:trPr>
          <w:jc w:val="center"/>
        </w:trPr>
        <w:tc>
          <w:tcPr>
            <w:tcW w:w="4876" w:type="dxa"/>
            <w:tcBorders>
              <w:top w:val="nil"/>
              <w:left w:val="nil"/>
              <w:bottom w:val="nil"/>
              <w:right w:val="nil"/>
            </w:tcBorders>
            <w:hideMark/>
          </w:tcPr>
          <w:p w14:paraId="569B14B4" w14:textId="77777777" w:rsidR="002E6C09" w:rsidRPr="001E6F82" w:rsidRDefault="002E6C09" w:rsidP="00844FF8">
            <w:pPr>
              <w:pStyle w:val="Normal6a"/>
            </w:pPr>
            <w:r w:rsidRPr="001E6F82">
              <w:t>3.</w:t>
            </w:r>
            <w:r w:rsidRPr="001E6F82">
              <w:tab/>
              <w:t xml:space="preserve">Elementy etykiety, o których mowa w art. 17 ust. 1, nanosi się w sposób </w:t>
            </w:r>
            <w:r w:rsidRPr="001E6F82">
              <w:lastRenderedPageBreak/>
              <w:t>wyraźny i nieusuwalny. Wyraźnie odróżniają się od tła, a ich wielkość i odstępy między znakami umożliwiają łatwe odczytanie tych elementów.”;</w:t>
            </w:r>
          </w:p>
        </w:tc>
        <w:tc>
          <w:tcPr>
            <w:tcW w:w="4876" w:type="dxa"/>
            <w:tcBorders>
              <w:top w:val="nil"/>
              <w:left w:val="nil"/>
              <w:bottom w:val="nil"/>
              <w:right w:val="nil"/>
            </w:tcBorders>
            <w:hideMark/>
          </w:tcPr>
          <w:p w14:paraId="1676101D" w14:textId="77777777" w:rsidR="002E6C09" w:rsidRPr="001E6F82" w:rsidRDefault="002E6C09" w:rsidP="00844FF8">
            <w:pPr>
              <w:pStyle w:val="Normal6a"/>
            </w:pPr>
            <w:r w:rsidRPr="001E6F82">
              <w:lastRenderedPageBreak/>
              <w:t>3.</w:t>
            </w:r>
            <w:r w:rsidRPr="001E6F82">
              <w:tab/>
              <w:t xml:space="preserve">Elementy etykiety, o których mowa w art. 17 ust. 1, nanosi się w sposób </w:t>
            </w:r>
            <w:r w:rsidRPr="001E6F82">
              <w:lastRenderedPageBreak/>
              <w:t xml:space="preserve">wyraźny i nieusuwalny. Wyraźnie odróżniają się od tła, a ich wielkość i odstępy między znakami umożliwiają łatwe odczytanie tych elementów. </w:t>
            </w:r>
            <w:r w:rsidRPr="001E6F82">
              <w:rPr>
                <w:b/>
                <w:i/>
              </w:rPr>
              <w:t>Są formatowane zgodnie z sekcją 1.2.1 załącznika I.</w:t>
            </w:r>
            <w:r w:rsidRPr="001E6F82">
              <w:t>”;</w:t>
            </w:r>
          </w:p>
        </w:tc>
      </w:tr>
    </w:tbl>
    <w:p w14:paraId="37970D96" w14:textId="77777777" w:rsidR="002E6C09" w:rsidRPr="001E6F82" w:rsidRDefault="002E6C09" w:rsidP="002E6C09"/>
    <w:p w14:paraId="38F1047E" w14:textId="77777777" w:rsidR="002E6C09" w:rsidRPr="001E6F82" w:rsidRDefault="002E6C09" w:rsidP="002E6C09">
      <w:pPr>
        <w:pStyle w:val="AmNumberTabs"/>
      </w:pPr>
      <w:r w:rsidRPr="001E6F82">
        <w:t>Poprawka</w:t>
      </w:r>
      <w:r w:rsidRPr="001E6F82">
        <w:tab/>
      </w:r>
      <w:r w:rsidRPr="001E6F82">
        <w:tab/>
        <w:t>44</w:t>
      </w:r>
    </w:p>
    <w:p w14:paraId="114616D0" w14:textId="77777777" w:rsidR="002E6C09" w:rsidRPr="001E6F82" w:rsidRDefault="002E6C09" w:rsidP="002E6C09">
      <w:pPr>
        <w:pStyle w:val="NormalBold"/>
      </w:pPr>
      <w:r w:rsidRPr="001E6F82">
        <w:t>Wniosek dotyczący rozporządzenia</w:t>
      </w:r>
    </w:p>
    <w:p w14:paraId="48E5F683" w14:textId="77777777" w:rsidR="002E6C09" w:rsidRPr="001E6F82" w:rsidRDefault="002E6C09" w:rsidP="002E6C09">
      <w:pPr>
        <w:pStyle w:val="NormalBold"/>
      </w:pPr>
      <w:r w:rsidRPr="001E6F82">
        <w:t>Artykuł 1 – akapit 1 – punkt 7</w:t>
      </w:r>
    </w:p>
    <w:p w14:paraId="392EEE56" w14:textId="77777777" w:rsidR="002E6C09" w:rsidRPr="001E6F82" w:rsidRDefault="002E6C09" w:rsidP="002E6C09">
      <w:r w:rsidRPr="001E6F82">
        <w:t>Rozporządzenie (WE) nr 1272/2008</w:t>
      </w:r>
    </w:p>
    <w:p w14:paraId="587A1E8D" w14:textId="77777777" w:rsidR="002E6C09" w:rsidRPr="001E6F82" w:rsidRDefault="002E6C09" w:rsidP="002E6C09">
      <w:r w:rsidRPr="001E6F82">
        <w:t>Artykuł 48 – ustęp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3CAD353" w14:textId="77777777" w:rsidTr="00844FF8">
        <w:trPr>
          <w:trHeight w:val="240"/>
          <w:jc w:val="center"/>
        </w:trPr>
        <w:tc>
          <w:tcPr>
            <w:tcW w:w="9752" w:type="dxa"/>
            <w:gridSpan w:val="2"/>
            <w:tcBorders>
              <w:top w:val="nil"/>
              <w:left w:val="nil"/>
              <w:bottom w:val="nil"/>
              <w:right w:val="nil"/>
            </w:tcBorders>
          </w:tcPr>
          <w:p w14:paraId="5FF2E1BC" w14:textId="77777777" w:rsidR="002E6C09" w:rsidRPr="001E6F82" w:rsidRDefault="002E6C09" w:rsidP="00844FF8"/>
        </w:tc>
      </w:tr>
      <w:tr w:rsidR="002E6C09" w:rsidRPr="001E6F82" w14:paraId="13D30F16" w14:textId="77777777" w:rsidTr="00844FF8">
        <w:trPr>
          <w:trHeight w:val="240"/>
          <w:jc w:val="center"/>
        </w:trPr>
        <w:tc>
          <w:tcPr>
            <w:tcW w:w="4876" w:type="dxa"/>
            <w:tcBorders>
              <w:top w:val="nil"/>
              <w:left w:val="nil"/>
              <w:bottom w:val="nil"/>
              <w:right w:val="nil"/>
            </w:tcBorders>
            <w:hideMark/>
          </w:tcPr>
          <w:p w14:paraId="1719CB7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39EF2BD" w14:textId="77777777" w:rsidR="002E6C09" w:rsidRPr="001E6F82" w:rsidRDefault="002E6C09" w:rsidP="00844FF8">
            <w:pPr>
              <w:pStyle w:val="AmColumnHeading"/>
            </w:pPr>
            <w:r w:rsidRPr="001E6F82">
              <w:t>Poprawka</w:t>
            </w:r>
          </w:p>
        </w:tc>
      </w:tr>
      <w:tr w:rsidR="002E6C09" w:rsidRPr="001E6F82" w14:paraId="67DDA806" w14:textId="77777777" w:rsidTr="00844FF8">
        <w:trPr>
          <w:jc w:val="center"/>
        </w:trPr>
        <w:tc>
          <w:tcPr>
            <w:tcW w:w="4876" w:type="dxa"/>
            <w:tcBorders>
              <w:top w:val="nil"/>
              <w:left w:val="nil"/>
              <w:bottom w:val="nil"/>
              <w:right w:val="nil"/>
            </w:tcBorders>
            <w:hideMark/>
          </w:tcPr>
          <w:p w14:paraId="22F66AFA" w14:textId="77777777" w:rsidR="002E6C09" w:rsidRPr="001E6F82" w:rsidRDefault="002E6C09" w:rsidP="00844FF8">
            <w:pPr>
              <w:pStyle w:val="Normal6a"/>
            </w:pPr>
            <w:r w:rsidRPr="001E6F82">
              <w:t>1.</w:t>
            </w:r>
            <w:r w:rsidRPr="001E6F82">
              <w:tab/>
              <w:t xml:space="preserve">Każda reklama adresowana do ogółu społeczeństwa dotycząca substancji lub mieszaniny sklasyfikowanych jako stwarzające zagrożenie lub mieszaniny zawierającej substancje, o których mowa w części 2 załącznika II, musi zawierać zdanie: </w:t>
            </w:r>
            <w:r w:rsidRPr="001E6F82">
              <w:rPr>
                <w:b/>
                <w:i/>
              </w:rPr>
              <w:t>„Przed</w:t>
            </w:r>
            <w:r w:rsidRPr="001E6F82">
              <w:t xml:space="preserve"> każdym użyciem przeczytaj informacje zamieszczone w etykiecie i informacje dotyczące produktu.</w:t>
            </w:r>
            <w:r w:rsidRPr="001E6F82">
              <w:rPr>
                <w:b/>
                <w:i/>
              </w:rPr>
              <w:t>”</w:t>
            </w:r>
            <w:r w:rsidRPr="001E6F82">
              <w:t>.</w:t>
            </w:r>
          </w:p>
        </w:tc>
        <w:tc>
          <w:tcPr>
            <w:tcW w:w="4876" w:type="dxa"/>
            <w:tcBorders>
              <w:top w:val="nil"/>
              <w:left w:val="nil"/>
              <w:bottom w:val="nil"/>
              <w:right w:val="nil"/>
            </w:tcBorders>
            <w:hideMark/>
          </w:tcPr>
          <w:p w14:paraId="6272C432" w14:textId="77777777" w:rsidR="002E6C09" w:rsidRPr="001E6F82" w:rsidRDefault="002E6C09" w:rsidP="00844FF8">
            <w:pPr>
              <w:pStyle w:val="Normal6a"/>
            </w:pPr>
            <w:r w:rsidRPr="001E6F82">
              <w:t>1.</w:t>
            </w:r>
            <w:r w:rsidRPr="001E6F82">
              <w:tab/>
              <w:t xml:space="preserve">Każda reklama adresowana do ogółu społeczeństwa dotycząca substancji lub mieszaniny sklasyfikowanych jako stwarzające zagrożenie lub mieszaniny zawierającej substancje, o których mowa w części 2 załącznika II, musi </w:t>
            </w:r>
            <w:r w:rsidRPr="001E6F82">
              <w:rPr>
                <w:b/>
                <w:i/>
              </w:rPr>
              <w:t>zawsze</w:t>
            </w:r>
            <w:r w:rsidRPr="001E6F82">
              <w:t xml:space="preserve"> zawierać zdanie: </w:t>
            </w:r>
            <w:r w:rsidRPr="001E6F82">
              <w:rPr>
                <w:b/>
                <w:i/>
              </w:rPr>
              <w:t>„Przed</w:t>
            </w:r>
            <w:r w:rsidRPr="001E6F82">
              <w:t xml:space="preserve"> każdym użyciem przeczytaj informacje zamieszczone w etykiecie i informacje dotyczące produktu.</w:t>
            </w:r>
            <w:r w:rsidRPr="001E6F82">
              <w:rPr>
                <w:b/>
                <w:i/>
              </w:rPr>
              <w:t>”, oraz jeden z następujących elementów: a) mające zastosowanie piktogramy określające rodzaj zagrożenia; lub b) stosowne hasło ostrzegawcze zgodnie z art. 20</w:t>
            </w:r>
            <w:r w:rsidRPr="001E6F82">
              <w:t>.</w:t>
            </w:r>
          </w:p>
        </w:tc>
      </w:tr>
    </w:tbl>
    <w:p w14:paraId="3D83E3AB" w14:textId="77777777" w:rsidR="002E6C09" w:rsidRPr="001E6F82" w:rsidRDefault="002E6C09" w:rsidP="002E6C09"/>
    <w:p w14:paraId="07C1E9C5" w14:textId="77777777" w:rsidR="002E6C09" w:rsidRPr="001E6F82" w:rsidRDefault="002E6C09" w:rsidP="002E6C09">
      <w:pPr>
        <w:pStyle w:val="AmNumberTabs"/>
      </w:pPr>
      <w:r w:rsidRPr="001E6F82">
        <w:t>Poprawka</w:t>
      </w:r>
      <w:r w:rsidRPr="001E6F82">
        <w:tab/>
      </w:r>
      <w:r w:rsidRPr="001E6F82">
        <w:tab/>
        <w:t>45</w:t>
      </w:r>
    </w:p>
    <w:p w14:paraId="3531EB75" w14:textId="77777777" w:rsidR="002E6C09" w:rsidRPr="001E6F82" w:rsidRDefault="002E6C09" w:rsidP="002E6C09">
      <w:pPr>
        <w:pStyle w:val="NormalBold"/>
      </w:pPr>
      <w:r w:rsidRPr="001E6F82">
        <w:t>Wniosek dotyczący rozporządzenia</w:t>
      </w:r>
    </w:p>
    <w:p w14:paraId="5722A684" w14:textId="77777777" w:rsidR="002E6C09" w:rsidRPr="001E6F82" w:rsidRDefault="002E6C09" w:rsidP="002E6C09">
      <w:pPr>
        <w:pStyle w:val="NormalBold"/>
      </w:pPr>
      <w:r w:rsidRPr="001E6F82">
        <w:t>Artykuł 1 – akapit 1 – punkt 7</w:t>
      </w:r>
    </w:p>
    <w:p w14:paraId="675B0CF0" w14:textId="77777777" w:rsidR="002E6C09" w:rsidRPr="001E6F82" w:rsidRDefault="002E6C09" w:rsidP="002E6C09">
      <w:r w:rsidRPr="001E6F82">
        <w:t>Rozporządzenie (WE) nr 1272/2008</w:t>
      </w:r>
    </w:p>
    <w:p w14:paraId="2B0C3E1D" w14:textId="77777777" w:rsidR="002E6C09" w:rsidRPr="001E6F82" w:rsidRDefault="002E6C09" w:rsidP="002E6C09">
      <w:r w:rsidRPr="001E6F82">
        <w:t>Artykuł 48 – ustęp 1 – akapit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1916172" w14:textId="77777777" w:rsidTr="00844FF8">
        <w:trPr>
          <w:trHeight w:val="240"/>
          <w:jc w:val="center"/>
        </w:trPr>
        <w:tc>
          <w:tcPr>
            <w:tcW w:w="9752" w:type="dxa"/>
            <w:gridSpan w:val="2"/>
            <w:tcBorders>
              <w:top w:val="nil"/>
              <w:left w:val="nil"/>
              <w:bottom w:val="nil"/>
              <w:right w:val="nil"/>
            </w:tcBorders>
          </w:tcPr>
          <w:p w14:paraId="0FB799BB" w14:textId="77777777" w:rsidR="002E6C09" w:rsidRPr="001E6F82" w:rsidRDefault="002E6C09" w:rsidP="00844FF8"/>
        </w:tc>
      </w:tr>
      <w:tr w:rsidR="002E6C09" w:rsidRPr="001E6F82" w14:paraId="05885F28" w14:textId="77777777" w:rsidTr="00844FF8">
        <w:trPr>
          <w:trHeight w:val="240"/>
          <w:jc w:val="center"/>
        </w:trPr>
        <w:tc>
          <w:tcPr>
            <w:tcW w:w="4876" w:type="dxa"/>
            <w:tcBorders>
              <w:top w:val="nil"/>
              <w:left w:val="nil"/>
              <w:bottom w:val="nil"/>
              <w:right w:val="nil"/>
            </w:tcBorders>
            <w:hideMark/>
          </w:tcPr>
          <w:p w14:paraId="115402F9"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F02B28B" w14:textId="77777777" w:rsidR="002E6C09" w:rsidRPr="001E6F82" w:rsidRDefault="002E6C09" w:rsidP="00844FF8">
            <w:pPr>
              <w:pStyle w:val="AmColumnHeading"/>
            </w:pPr>
            <w:r w:rsidRPr="001E6F82">
              <w:t>Poprawka</w:t>
            </w:r>
          </w:p>
        </w:tc>
      </w:tr>
      <w:tr w:rsidR="002E6C09" w:rsidRPr="001E6F82" w14:paraId="79DCA7BA" w14:textId="77777777" w:rsidTr="00844FF8">
        <w:trPr>
          <w:jc w:val="center"/>
        </w:trPr>
        <w:tc>
          <w:tcPr>
            <w:tcW w:w="4876" w:type="dxa"/>
            <w:tcBorders>
              <w:top w:val="nil"/>
              <w:left w:val="nil"/>
              <w:bottom w:val="nil"/>
              <w:right w:val="nil"/>
            </w:tcBorders>
          </w:tcPr>
          <w:p w14:paraId="5BB74125" w14:textId="77777777" w:rsidR="002E6C09" w:rsidRPr="001E6F82" w:rsidRDefault="002E6C09" w:rsidP="00844FF8">
            <w:pPr>
              <w:pStyle w:val="Normal6a"/>
            </w:pPr>
          </w:p>
        </w:tc>
        <w:tc>
          <w:tcPr>
            <w:tcW w:w="4876" w:type="dxa"/>
            <w:tcBorders>
              <w:top w:val="nil"/>
              <w:left w:val="nil"/>
              <w:bottom w:val="nil"/>
              <w:right w:val="nil"/>
            </w:tcBorders>
            <w:hideMark/>
          </w:tcPr>
          <w:p w14:paraId="204B0A73" w14:textId="77777777" w:rsidR="002E6C09" w:rsidRPr="001E6F82" w:rsidRDefault="002E6C09" w:rsidP="00844FF8">
            <w:pPr>
              <w:pStyle w:val="Normal6a"/>
            </w:pPr>
            <w:r w:rsidRPr="001E6F82">
              <w:rPr>
                <w:b/>
                <w:i/>
              </w:rPr>
              <w:t xml:space="preserve">Akapit pierwszy nie ma zastosowania do reklam skierowanych do użytkowników profesjonalnych, dotyczących substancji lub mieszanin przeznaczonych do stosowania w ramach ich działalności przemysłowej lub zawodowej, pod </w:t>
            </w:r>
            <w:proofErr w:type="gramStart"/>
            <w:r w:rsidRPr="001E6F82">
              <w:rPr>
                <w:b/>
                <w:i/>
              </w:rPr>
              <w:t>warunkiem</w:t>
            </w:r>
            <w:proofErr w:type="gramEnd"/>
            <w:r w:rsidRPr="001E6F82">
              <w:rPr>
                <w:b/>
                <w:i/>
              </w:rPr>
              <w:t xml:space="preserve"> że ta reklama nie jest skierowana do ogółu społeczeństwa ani bezpośrednio i powszechnie dostępna.</w:t>
            </w:r>
          </w:p>
        </w:tc>
      </w:tr>
    </w:tbl>
    <w:p w14:paraId="211B957D" w14:textId="77777777" w:rsidR="002E6C09" w:rsidRPr="001E6F82" w:rsidRDefault="002E6C09" w:rsidP="002E6C09"/>
    <w:p w14:paraId="3A42AD42" w14:textId="77777777" w:rsidR="002E6C09" w:rsidRPr="001E6F82" w:rsidRDefault="002E6C09" w:rsidP="002E6C09">
      <w:pPr>
        <w:pStyle w:val="AmNumberTabs"/>
      </w:pPr>
      <w:r w:rsidRPr="001E6F82">
        <w:t>Poprawka</w:t>
      </w:r>
      <w:r w:rsidRPr="001E6F82">
        <w:tab/>
      </w:r>
      <w:r w:rsidRPr="001E6F82">
        <w:tab/>
        <w:t>46</w:t>
      </w:r>
    </w:p>
    <w:p w14:paraId="2AFD9671" w14:textId="77777777" w:rsidR="002E6C09" w:rsidRPr="001E6F82" w:rsidRDefault="002E6C09" w:rsidP="002E6C09">
      <w:pPr>
        <w:pStyle w:val="NormalBold"/>
      </w:pPr>
      <w:r w:rsidRPr="001E6F82">
        <w:t>Wniosek dotyczący rozporządzenia</w:t>
      </w:r>
    </w:p>
    <w:p w14:paraId="5D81423E" w14:textId="77777777" w:rsidR="002E6C09" w:rsidRPr="001E6F82" w:rsidRDefault="002E6C09" w:rsidP="002E6C09">
      <w:pPr>
        <w:pStyle w:val="NormalBold"/>
      </w:pPr>
      <w:r w:rsidRPr="001E6F82">
        <w:t>Artykuł 1 – akapit 1 – punkt 8</w:t>
      </w:r>
    </w:p>
    <w:p w14:paraId="42D73285" w14:textId="77777777" w:rsidR="002E6C09" w:rsidRPr="001E6F82" w:rsidRDefault="002E6C09" w:rsidP="002E6C09">
      <w:r w:rsidRPr="001E6F82">
        <w:t>Rozporządzenie (WE) nr 1272/2008</w:t>
      </w:r>
    </w:p>
    <w:p w14:paraId="54B9E4AB" w14:textId="77777777" w:rsidR="002E6C09" w:rsidRPr="001E6F82" w:rsidRDefault="002E6C09" w:rsidP="002E6C09">
      <w:r w:rsidRPr="001E6F82">
        <w:t>Artykuł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DF0C1F7" w14:textId="77777777" w:rsidTr="00844FF8">
        <w:trPr>
          <w:trHeight w:val="240"/>
          <w:jc w:val="center"/>
        </w:trPr>
        <w:tc>
          <w:tcPr>
            <w:tcW w:w="9752" w:type="dxa"/>
            <w:gridSpan w:val="2"/>
            <w:tcBorders>
              <w:top w:val="nil"/>
              <w:left w:val="nil"/>
              <w:bottom w:val="nil"/>
              <w:right w:val="nil"/>
            </w:tcBorders>
          </w:tcPr>
          <w:p w14:paraId="7A86517A" w14:textId="77777777" w:rsidR="002E6C09" w:rsidRPr="001E6F82" w:rsidRDefault="002E6C09" w:rsidP="00844FF8"/>
        </w:tc>
      </w:tr>
      <w:tr w:rsidR="002E6C09" w:rsidRPr="001E6F82" w14:paraId="20E5E2C5" w14:textId="77777777" w:rsidTr="00844FF8">
        <w:trPr>
          <w:trHeight w:val="240"/>
          <w:jc w:val="center"/>
        </w:trPr>
        <w:tc>
          <w:tcPr>
            <w:tcW w:w="4876" w:type="dxa"/>
            <w:tcBorders>
              <w:top w:val="nil"/>
              <w:left w:val="nil"/>
              <w:bottom w:val="nil"/>
              <w:right w:val="nil"/>
            </w:tcBorders>
            <w:hideMark/>
          </w:tcPr>
          <w:p w14:paraId="684DD1F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C7C8ACF" w14:textId="77777777" w:rsidR="002E6C09" w:rsidRPr="001E6F82" w:rsidRDefault="002E6C09" w:rsidP="00844FF8">
            <w:pPr>
              <w:pStyle w:val="AmColumnHeading"/>
            </w:pPr>
            <w:r w:rsidRPr="001E6F82">
              <w:t>Poprawka</w:t>
            </w:r>
          </w:p>
        </w:tc>
      </w:tr>
      <w:tr w:rsidR="002E6C09" w:rsidRPr="001E6F82" w14:paraId="4A4A7EE1" w14:textId="77777777" w:rsidTr="00844FF8">
        <w:trPr>
          <w:jc w:val="center"/>
        </w:trPr>
        <w:tc>
          <w:tcPr>
            <w:tcW w:w="4876" w:type="dxa"/>
            <w:tcBorders>
              <w:top w:val="nil"/>
              <w:left w:val="nil"/>
              <w:bottom w:val="nil"/>
              <w:right w:val="nil"/>
            </w:tcBorders>
          </w:tcPr>
          <w:p w14:paraId="2E39628E" w14:textId="77777777" w:rsidR="002E6C09" w:rsidRPr="001E6F82" w:rsidRDefault="002E6C09" w:rsidP="00844FF8">
            <w:pPr>
              <w:pStyle w:val="Normal6a"/>
            </w:pPr>
            <w:r w:rsidRPr="001E6F82">
              <w:t>Artykuł 48a</w:t>
            </w:r>
          </w:p>
        </w:tc>
        <w:tc>
          <w:tcPr>
            <w:tcW w:w="4876" w:type="dxa"/>
            <w:tcBorders>
              <w:top w:val="nil"/>
              <w:left w:val="nil"/>
              <w:bottom w:val="nil"/>
              <w:right w:val="nil"/>
            </w:tcBorders>
          </w:tcPr>
          <w:p w14:paraId="6A86A3E5" w14:textId="77777777" w:rsidR="002E6C09" w:rsidRPr="001E6F82" w:rsidRDefault="002E6C09" w:rsidP="00844FF8">
            <w:pPr>
              <w:pStyle w:val="Normal6a"/>
              <w:rPr>
                <w:bCs/>
                <w:iCs/>
              </w:rPr>
            </w:pPr>
            <w:r w:rsidRPr="001E6F82">
              <w:t>Artykuł 48a</w:t>
            </w:r>
          </w:p>
        </w:tc>
      </w:tr>
      <w:tr w:rsidR="002E6C09" w:rsidRPr="001E6F82" w14:paraId="089403D3" w14:textId="77777777" w:rsidTr="00844FF8">
        <w:trPr>
          <w:jc w:val="center"/>
        </w:trPr>
        <w:tc>
          <w:tcPr>
            <w:tcW w:w="4876" w:type="dxa"/>
            <w:tcBorders>
              <w:top w:val="nil"/>
              <w:left w:val="nil"/>
              <w:bottom w:val="nil"/>
              <w:right w:val="nil"/>
            </w:tcBorders>
          </w:tcPr>
          <w:p w14:paraId="26F24CCA" w14:textId="77777777" w:rsidR="002E6C09" w:rsidRPr="001E6F82" w:rsidRDefault="002E6C09" w:rsidP="00844FF8">
            <w:pPr>
              <w:pStyle w:val="Normal6a"/>
            </w:pPr>
            <w:r w:rsidRPr="001E6F82">
              <w:t>Oferty sprzedaży na odległość</w:t>
            </w:r>
          </w:p>
        </w:tc>
        <w:tc>
          <w:tcPr>
            <w:tcW w:w="4876" w:type="dxa"/>
            <w:tcBorders>
              <w:top w:val="nil"/>
              <w:left w:val="nil"/>
              <w:bottom w:val="nil"/>
              <w:right w:val="nil"/>
            </w:tcBorders>
          </w:tcPr>
          <w:p w14:paraId="3878AD10" w14:textId="77777777" w:rsidR="002E6C09" w:rsidRPr="001E6F82" w:rsidRDefault="002E6C09" w:rsidP="00844FF8">
            <w:pPr>
              <w:pStyle w:val="Normal6a"/>
              <w:rPr>
                <w:bCs/>
                <w:iCs/>
              </w:rPr>
            </w:pPr>
            <w:r w:rsidRPr="001E6F82">
              <w:t>Oferty sprzedaży na odległość</w:t>
            </w:r>
          </w:p>
        </w:tc>
      </w:tr>
      <w:tr w:rsidR="002E6C09" w:rsidRPr="001E6F82" w14:paraId="451A167E" w14:textId="77777777" w:rsidTr="00844FF8">
        <w:trPr>
          <w:jc w:val="center"/>
        </w:trPr>
        <w:tc>
          <w:tcPr>
            <w:tcW w:w="4876" w:type="dxa"/>
            <w:tcBorders>
              <w:top w:val="nil"/>
              <w:left w:val="nil"/>
              <w:bottom w:val="nil"/>
              <w:right w:val="nil"/>
            </w:tcBorders>
            <w:hideMark/>
          </w:tcPr>
          <w:p w14:paraId="3163744B" w14:textId="77777777" w:rsidR="002E6C09" w:rsidRPr="001E6F82" w:rsidRDefault="002E6C09" w:rsidP="00844FF8">
            <w:pPr>
              <w:pStyle w:val="Normal6a"/>
            </w:pPr>
            <w:r w:rsidRPr="001E6F82">
              <w:t>Jeżeli substancje lub mieszaniny są wprowadzane do obrotu do sprzedaży na odległość z przeznaczeniem dla ogółu społeczeństwa, w ofercie wskazuje się w jasny i widoczny sposób elementy etykiety, o których mowa w art. 17.”</w:t>
            </w:r>
          </w:p>
        </w:tc>
        <w:tc>
          <w:tcPr>
            <w:tcW w:w="4876" w:type="dxa"/>
            <w:tcBorders>
              <w:top w:val="nil"/>
              <w:left w:val="nil"/>
              <w:bottom w:val="nil"/>
              <w:right w:val="nil"/>
            </w:tcBorders>
            <w:hideMark/>
          </w:tcPr>
          <w:p w14:paraId="4F713564" w14:textId="77777777" w:rsidR="002E6C09" w:rsidRPr="001E6F82" w:rsidRDefault="002E6C09" w:rsidP="00844FF8">
            <w:pPr>
              <w:pStyle w:val="Normal6a"/>
            </w:pPr>
            <w:r w:rsidRPr="001E6F82">
              <w:rPr>
                <w:b/>
                <w:i/>
              </w:rPr>
              <w:t>1.</w:t>
            </w:r>
            <w:r w:rsidRPr="001E6F82">
              <w:t xml:space="preserve"> Jeżeli substancje lub mieszaniny są wprowadzane do obrotu do sprzedaży na odległość z przeznaczeniem dla ogółu społeczeństwa, w ofercie wskazuje się w jasny i widoczny sposób elementy etykiety, o których mowa w art. 17.”</w:t>
            </w:r>
          </w:p>
        </w:tc>
      </w:tr>
      <w:tr w:rsidR="002E6C09" w:rsidRPr="001E6F82" w14:paraId="108B759E" w14:textId="77777777" w:rsidTr="00844FF8">
        <w:trPr>
          <w:jc w:val="center"/>
        </w:trPr>
        <w:tc>
          <w:tcPr>
            <w:tcW w:w="4876" w:type="dxa"/>
            <w:tcBorders>
              <w:top w:val="nil"/>
              <w:left w:val="nil"/>
              <w:bottom w:val="nil"/>
              <w:right w:val="nil"/>
            </w:tcBorders>
          </w:tcPr>
          <w:p w14:paraId="14DDBF76" w14:textId="77777777" w:rsidR="002E6C09" w:rsidRPr="001E6F82" w:rsidRDefault="002E6C09" w:rsidP="00844FF8">
            <w:pPr>
              <w:pStyle w:val="Normal6a"/>
            </w:pPr>
          </w:p>
        </w:tc>
        <w:tc>
          <w:tcPr>
            <w:tcW w:w="4876" w:type="dxa"/>
            <w:tcBorders>
              <w:top w:val="nil"/>
              <w:left w:val="nil"/>
              <w:bottom w:val="nil"/>
              <w:right w:val="nil"/>
            </w:tcBorders>
            <w:hideMark/>
          </w:tcPr>
          <w:p w14:paraId="1A06C39F" w14:textId="77777777" w:rsidR="002E6C09" w:rsidRPr="001E6F82" w:rsidRDefault="002E6C09" w:rsidP="00844FF8">
            <w:pPr>
              <w:pStyle w:val="Normal6a"/>
            </w:pPr>
            <w:r w:rsidRPr="001E6F82">
              <w:rPr>
                <w:b/>
                <w:i/>
              </w:rPr>
              <w:t>2</w:t>
            </w:r>
            <w:r w:rsidRPr="001E6F82">
              <w:t xml:space="preserve">. </w:t>
            </w:r>
            <w:r w:rsidRPr="001E6F82">
              <w:rPr>
                <w:b/>
                <w:i/>
              </w:rPr>
              <w:t>Akapit pierwszy ma również zastosowanie do ofert sprzedaży na odległość skierowanych do użytkowników profesjonalnych, dotyczących substancji lub mieszanin przeznaczonych do stosowania w ramach ich działalności przemysłowej lub zawodowej, jeżeli taka oferta umożliwia osobie prywatnej zawarcie umowy na odległość zdefiniowanej w art. 2 pkt 7 dyrektywy 2011/83/UE.”;</w:t>
            </w:r>
          </w:p>
        </w:tc>
      </w:tr>
    </w:tbl>
    <w:p w14:paraId="512BF37B" w14:textId="77777777" w:rsidR="002E6C09" w:rsidRPr="001E6F82" w:rsidRDefault="002E6C09" w:rsidP="002E6C09"/>
    <w:p w14:paraId="1E28A1A8" w14:textId="77777777" w:rsidR="002E6C09" w:rsidRPr="001E6F82" w:rsidRDefault="002E6C09" w:rsidP="002E6C09">
      <w:pPr>
        <w:pStyle w:val="AmNumberTabs"/>
      </w:pPr>
      <w:r w:rsidRPr="001E6F82">
        <w:t>Poprawka</w:t>
      </w:r>
      <w:r w:rsidRPr="001E6F82">
        <w:tab/>
      </w:r>
      <w:r w:rsidRPr="001E6F82">
        <w:tab/>
        <w:t>47</w:t>
      </w:r>
    </w:p>
    <w:p w14:paraId="17CE7A0F" w14:textId="77777777" w:rsidR="002E6C09" w:rsidRPr="001E6F82" w:rsidRDefault="002E6C09" w:rsidP="002E6C09">
      <w:pPr>
        <w:pStyle w:val="NormalBold"/>
      </w:pPr>
      <w:r w:rsidRPr="001E6F82">
        <w:t>Wniosek dotyczący rozporządzenia</w:t>
      </w:r>
    </w:p>
    <w:p w14:paraId="672D44A0" w14:textId="77777777" w:rsidR="002E6C09" w:rsidRPr="001E6F82" w:rsidRDefault="002E6C09" w:rsidP="002E6C09">
      <w:pPr>
        <w:pStyle w:val="NormalBold"/>
      </w:pPr>
      <w:r w:rsidRPr="001E6F82">
        <w:t>Artykuł 1 – akapit 1 – punkt 9 – litera a</w:t>
      </w:r>
    </w:p>
    <w:p w14:paraId="4EAE8A49" w14:textId="77777777" w:rsidR="002E6C09" w:rsidRPr="001E6F82" w:rsidRDefault="002E6C09" w:rsidP="002E6C09">
      <w:r w:rsidRPr="001E6F82">
        <w:t>Rozporządzenie (WE) nr 1272/2008</w:t>
      </w:r>
    </w:p>
    <w:p w14:paraId="18FBFC65" w14:textId="77777777" w:rsidR="002E6C09" w:rsidRPr="001E6F82" w:rsidRDefault="002E6C09" w:rsidP="002E6C09">
      <w:r w:rsidRPr="001E6F82">
        <w:t>Artykuł 61 – ustęp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4A191B6" w14:textId="77777777" w:rsidTr="00844FF8">
        <w:trPr>
          <w:trHeight w:val="240"/>
          <w:jc w:val="center"/>
        </w:trPr>
        <w:tc>
          <w:tcPr>
            <w:tcW w:w="9752" w:type="dxa"/>
            <w:gridSpan w:val="2"/>
            <w:tcBorders>
              <w:top w:val="nil"/>
              <w:left w:val="nil"/>
              <w:bottom w:val="nil"/>
              <w:right w:val="nil"/>
            </w:tcBorders>
          </w:tcPr>
          <w:p w14:paraId="160E7B6C" w14:textId="77777777" w:rsidR="002E6C09" w:rsidRPr="001E6F82" w:rsidRDefault="002E6C09" w:rsidP="00844FF8"/>
        </w:tc>
      </w:tr>
      <w:tr w:rsidR="002E6C09" w:rsidRPr="001E6F82" w14:paraId="082D4429" w14:textId="77777777" w:rsidTr="00844FF8">
        <w:trPr>
          <w:trHeight w:val="240"/>
          <w:jc w:val="center"/>
        </w:trPr>
        <w:tc>
          <w:tcPr>
            <w:tcW w:w="4876" w:type="dxa"/>
            <w:tcBorders>
              <w:top w:val="nil"/>
              <w:left w:val="nil"/>
              <w:bottom w:val="nil"/>
              <w:right w:val="nil"/>
            </w:tcBorders>
            <w:hideMark/>
          </w:tcPr>
          <w:p w14:paraId="055FC4C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60D52C6" w14:textId="77777777" w:rsidR="002E6C09" w:rsidRPr="001E6F82" w:rsidRDefault="002E6C09" w:rsidP="00844FF8">
            <w:pPr>
              <w:pStyle w:val="AmColumnHeading"/>
            </w:pPr>
            <w:r w:rsidRPr="001E6F82">
              <w:t>Poprawka</w:t>
            </w:r>
          </w:p>
        </w:tc>
      </w:tr>
      <w:tr w:rsidR="002E6C09" w:rsidRPr="001E6F82" w14:paraId="618C2304" w14:textId="77777777" w:rsidTr="00844FF8">
        <w:trPr>
          <w:jc w:val="center"/>
        </w:trPr>
        <w:tc>
          <w:tcPr>
            <w:tcW w:w="4876" w:type="dxa"/>
            <w:tcBorders>
              <w:top w:val="nil"/>
              <w:left w:val="nil"/>
              <w:bottom w:val="nil"/>
              <w:right w:val="nil"/>
            </w:tcBorders>
            <w:hideMark/>
          </w:tcPr>
          <w:p w14:paraId="4B9C7E49" w14:textId="77777777" w:rsidR="002E6C09" w:rsidRPr="001E6F82" w:rsidRDefault="002E6C09" w:rsidP="00844FF8">
            <w:pPr>
              <w:pStyle w:val="Normal6a"/>
            </w:pPr>
            <w:r w:rsidRPr="001E6F82">
              <w:t>8.</w:t>
            </w:r>
            <w:r w:rsidRPr="001E6F82">
              <w:tab/>
              <w:t xml:space="preserve">Substancje i mieszaniny, które zostały sklasyfikowane, oznakowane i zapakowane zgodnie z art. 18 ust. 3 w brzmieniu obowiązującym w dniu 9 grudnia 2024 r. i które wprowadzono do obrotu przed dniem 1 stycznia 2027 r. nie muszą być klasyfikowane, oznakowane ani zapakowane zgodnie z niniejszym rozporządzeniem zmienionym rozporządzeniem Parlamentu </w:t>
            </w:r>
            <w:r w:rsidRPr="001E6F82">
              <w:lastRenderedPageBreak/>
              <w:t>Europejskiego i Rady (UE) 2024/2865 do dnia 1 stycznia 2029 r.”</w:t>
            </w:r>
          </w:p>
        </w:tc>
        <w:tc>
          <w:tcPr>
            <w:tcW w:w="4876" w:type="dxa"/>
            <w:tcBorders>
              <w:top w:val="nil"/>
              <w:left w:val="nil"/>
              <w:bottom w:val="nil"/>
              <w:right w:val="nil"/>
            </w:tcBorders>
            <w:hideMark/>
          </w:tcPr>
          <w:p w14:paraId="4DA5827F" w14:textId="77777777" w:rsidR="002E6C09" w:rsidRPr="001E6F82" w:rsidRDefault="002E6C09" w:rsidP="00844FF8">
            <w:pPr>
              <w:pStyle w:val="Normal6a"/>
            </w:pPr>
            <w:r w:rsidRPr="001E6F82">
              <w:lastRenderedPageBreak/>
              <w:t>8.</w:t>
            </w:r>
            <w:r w:rsidRPr="001E6F82">
              <w:tab/>
              <w:t xml:space="preserve">Substancje i mieszaniny, które zostały sklasyfikowane, oznakowane i zapakowane zgodnie z art. 18 ust. 3 w brzmieniu obowiązującym w dniu 9 grudnia 2024 r. i które wprowadzono do obrotu przed dniem 1 stycznia 2027 r. nie muszą być klasyfikowane, oznakowane ani zapakowane zgodnie z niniejszym rozporządzeniem zmienionym rozporządzeniem Parlamentu </w:t>
            </w:r>
            <w:r w:rsidRPr="001E6F82">
              <w:lastRenderedPageBreak/>
              <w:t xml:space="preserve">Europejskiego i Rady (UE) 2024/2865 do dnia 1 stycznia 2029 r.” </w:t>
            </w:r>
            <w:r w:rsidRPr="001E6F82">
              <w:rPr>
                <w:b/>
                <w:i/>
              </w:rPr>
              <w:t>Substancje i mieszaniny, które zostały sklasyfikowane, opatrzone etykietą i zapakowane zgodnie z art. 31 ust. 3 i sekcją 1.2.1 załącznika I w brzmieniu obowiązującym w dniu 9 grudnia 2024 r. i które wprowadzono do obrotu przed 1 stycznia 2028 r. nie muszą być klasyfikowane, opatrzone etykietą ani zapakowane zgodnie z niniejszym rozporządzeniem zmienionym rozporządzeniem Parlamentu Europejskiego i Rady (UE) 2024/2865 do dnia 1 stycznia 2030 r.”;</w:t>
            </w:r>
          </w:p>
        </w:tc>
      </w:tr>
    </w:tbl>
    <w:p w14:paraId="58284B56" w14:textId="77777777" w:rsidR="002E6C09" w:rsidRPr="001E6F82" w:rsidRDefault="002E6C09" w:rsidP="002E6C09"/>
    <w:p w14:paraId="1CDEF7E3" w14:textId="77777777" w:rsidR="002E6C09" w:rsidRPr="001E6F82" w:rsidRDefault="002E6C09" w:rsidP="002E6C09">
      <w:pPr>
        <w:pStyle w:val="AmNumberTabs"/>
      </w:pPr>
      <w:r w:rsidRPr="001E6F82">
        <w:t>Poprawka</w:t>
      </w:r>
      <w:r w:rsidRPr="001E6F82">
        <w:tab/>
      </w:r>
      <w:r w:rsidRPr="001E6F82">
        <w:tab/>
        <w:t>48</w:t>
      </w:r>
    </w:p>
    <w:p w14:paraId="30D88A8B" w14:textId="77777777" w:rsidR="002E6C09" w:rsidRPr="001E6F82" w:rsidRDefault="002E6C09" w:rsidP="002E6C09">
      <w:pPr>
        <w:pStyle w:val="NormalBold"/>
      </w:pPr>
      <w:r w:rsidRPr="001E6F82">
        <w:t>Wniosek dotyczący rozporządzenia</w:t>
      </w:r>
    </w:p>
    <w:p w14:paraId="7E47D07B" w14:textId="77777777" w:rsidR="002E6C09" w:rsidRPr="001E6F82" w:rsidRDefault="002E6C09" w:rsidP="002E6C09">
      <w:pPr>
        <w:pStyle w:val="NormalBold"/>
      </w:pPr>
      <w:r w:rsidRPr="001E6F82">
        <w:t>Artykuł 2 – akapit 1 – punkt 1</w:t>
      </w:r>
    </w:p>
    <w:p w14:paraId="241604A8" w14:textId="77777777" w:rsidR="002E6C09" w:rsidRPr="001E6F82" w:rsidRDefault="002E6C09" w:rsidP="002E6C09">
      <w:r w:rsidRPr="001E6F82">
        <w:t>Rozporządzenie (WE) nr 1223/2009</w:t>
      </w:r>
    </w:p>
    <w:p w14:paraId="7BBD722D" w14:textId="77777777" w:rsidR="002E6C09" w:rsidRPr="001E6F82" w:rsidRDefault="002E6C09" w:rsidP="002E6C09">
      <w:r w:rsidRPr="001E6F82">
        <w:t>Artykuł 14a – ustęp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0C9ADCB" w14:textId="77777777" w:rsidTr="00844FF8">
        <w:trPr>
          <w:trHeight w:val="240"/>
          <w:jc w:val="center"/>
        </w:trPr>
        <w:tc>
          <w:tcPr>
            <w:tcW w:w="9752" w:type="dxa"/>
            <w:gridSpan w:val="2"/>
            <w:tcBorders>
              <w:top w:val="nil"/>
              <w:left w:val="nil"/>
              <w:bottom w:val="nil"/>
              <w:right w:val="nil"/>
            </w:tcBorders>
          </w:tcPr>
          <w:p w14:paraId="2DD21DB0" w14:textId="77777777" w:rsidR="002E6C09" w:rsidRPr="001E6F82" w:rsidRDefault="002E6C09" w:rsidP="00844FF8"/>
        </w:tc>
      </w:tr>
      <w:tr w:rsidR="002E6C09" w:rsidRPr="001E6F82" w14:paraId="6CDC8874" w14:textId="77777777" w:rsidTr="00844FF8">
        <w:trPr>
          <w:trHeight w:val="240"/>
          <w:jc w:val="center"/>
        </w:trPr>
        <w:tc>
          <w:tcPr>
            <w:tcW w:w="4876" w:type="dxa"/>
            <w:tcBorders>
              <w:top w:val="nil"/>
              <w:left w:val="nil"/>
              <w:bottom w:val="nil"/>
              <w:right w:val="nil"/>
            </w:tcBorders>
            <w:hideMark/>
          </w:tcPr>
          <w:p w14:paraId="041D422E"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18094E2" w14:textId="77777777" w:rsidR="002E6C09" w:rsidRPr="001E6F82" w:rsidRDefault="002E6C09" w:rsidP="00844FF8">
            <w:pPr>
              <w:pStyle w:val="AmColumnHeading"/>
            </w:pPr>
            <w:r w:rsidRPr="001E6F82">
              <w:t>Poprawka</w:t>
            </w:r>
          </w:p>
        </w:tc>
      </w:tr>
      <w:tr w:rsidR="002E6C09" w:rsidRPr="001E6F82" w14:paraId="2E4AF4D3" w14:textId="77777777" w:rsidTr="00844FF8">
        <w:trPr>
          <w:jc w:val="center"/>
        </w:trPr>
        <w:tc>
          <w:tcPr>
            <w:tcW w:w="4876" w:type="dxa"/>
            <w:tcBorders>
              <w:top w:val="nil"/>
              <w:left w:val="nil"/>
              <w:bottom w:val="nil"/>
              <w:right w:val="nil"/>
            </w:tcBorders>
            <w:hideMark/>
          </w:tcPr>
          <w:p w14:paraId="636BA8C6" w14:textId="77777777" w:rsidR="002E6C09" w:rsidRPr="001E6F82" w:rsidRDefault="002E6C09" w:rsidP="00844FF8">
            <w:pPr>
              <w:pStyle w:val="Normal6a"/>
            </w:pPr>
            <w:r w:rsidRPr="001E6F82">
              <w:t>2.</w:t>
            </w:r>
            <w:r w:rsidRPr="001E6F82">
              <w:tab/>
              <w:t xml:space="preserve">Po otrzymaniu wniosku, o którym mowa w ust. 1, Komisja bez zbędnej zwłoki </w:t>
            </w:r>
            <w:r w:rsidRPr="001E6F82">
              <w:rPr>
                <w:b/>
                <w:i/>
              </w:rPr>
              <w:t>zasięga opinii</w:t>
            </w:r>
            <w:r w:rsidRPr="001E6F82">
              <w:t xml:space="preserve"> SCCS w sprawie bezpieczeństwa substancji przeznaczonej do stosowania w produktach kosmetycznych.</w:t>
            </w:r>
          </w:p>
        </w:tc>
        <w:tc>
          <w:tcPr>
            <w:tcW w:w="4876" w:type="dxa"/>
            <w:tcBorders>
              <w:top w:val="nil"/>
              <w:left w:val="nil"/>
              <w:bottom w:val="nil"/>
              <w:right w:val="nil"/>
            </w:tcBorders>
            <w:hideMark/>
          </w:tcPr>
          <w:p w14:paraId="34369DA8" w14:textId="77777777" w:rsidR="002E6C09" w:rsidRPr="001E6F82" w:rsidRDefault="002E6C09" w:rsidP="00844FF8">
            <w:pPr>
              <w:pStyle w:val="Normal6a"/>
            </w:pPr>
            <w:r w:rsidRPr="001E6F82">
              <w:t>2.</w:t>
            </w:r>
            <w:r w:rsidRPr="001E6F82">
              <w:tab/>
              <w:t xml:space="preserve">Po otrzymaniu wniosku, o którym mowa w ust. 1, Komisja bez zbędnej zwłoki </w:t>
            </w:r>
            <w:r w:rsidRPr="001E6F82">
              <w:rPr>
                <w:b/>
                <w:i/>
              </w:rPr>
              <w:t>zwraca się o opinię do</w:t>
            </w:r>
            <w:r w:rsidRPr="001E6F82">
              <w:t xml:space="preserve"> SCCS w sprawie bezpieczeństwa substancji przeznaczonej do stosowania w produktach kosmetycznych.</w:t>
            </w:r>
          </w:p>
        </w:tc>
      </w:tr>
    </w:tbl>
    <w:p w14:paraId="0C9EFE60" w14:textId="77777777" w:rsidR="002E6C09" w:rsidRPr="001E6F82" w:rsidRDefault="002E6C09" w:rsidP="002E6C09"/>
    <w:p w14:paraId="4A91536F" w14:textId="77777777" w:rsidR="002E6C09" w:rsidRPr="001E6F82" w:rsidRDefault="002E6C09" w:rsidP="002E6C09">
      <w:pPr>
        <w:pStyle w:val="AmNumberTabs"/>
      </w:pPr>
      <w:r w:rsidRPr="001E6F82">
        <w:t>Poprawka</w:t>
      </w:r>
      <w:r w:rsidRPr="001E6F82">
        <w:tab/>
      </w:r>
      <w:r w:rsidRPr="001E6F82">
        <w:tab/>
        <w:t>49</w:t>
      </w:r>
    </w:p>
    <w:p w14:paraId="443AA9C2" w14:textId="77777777" w:rsidR="002E6C09" w:rsidRPr="001E6F82" w:rsidRDefault="002E6C09" w:rsidP="002E6C09">
      <w:pPr>
        <w:pStyle w:val="NormalBold"/>
      </w:pPr>
      <w:r w:rsidRPr="001E6F82">
        <w:t>Wniosek dotyczący rozporządzenia</w:t>
      </w:r>
    </w:p>
    <w:p w14:paraId="198F488D" w14:textId="77777777" w:rsidR="002E6C09" w:rsidRPr="001E6F82" w:rsidRDefault="002E6C09" w:rsidP="002E6C09">
      <w:pPr>
        <w:pStyle w:val="NormalBold"/>
      </w:pPr>
      <w:r w:rsidRPr="001E6F82">
        <w:t>Artykuł 1 – akapit 1 – punkt 2 – litera a – podpunkt i</w:t>
      </w:r>
    </w:p>
    <w:p w14:paraId="28DF113B" w14:textId="77777777" w:rsidR="002E6C09" w:rsidRPr="001E6F82" w:rsidRDefault="002E6C09" w:rsidP="002E6C09">
      <w:r w:rsidRPr="001E6F82">
        <w:t>Rozporządzenie (WE) nr 1223/2009</w:t>
      </w:r>
    </w:p>
    <w:p w14:paraId="10A4CD44" w14:textId="77777777" w:rsidR="002E6C09" w:rsidRPr="001E6F82" w:rsidRDefault="002E6C09" w:rsidP="002E6C09">
      <w:r w:rsidRPr="001E6F82">
        <w:t>Artykuł 15 – ustęp 2 – akapit 2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B2ADAA8" w14:textId="77777777" w:rsidTr="00844FF8">
        <w:trPr>
          <w:trHeight w:val="240"/>
          <w:jc w:val="center"/>
        </w:trPr>
        <w:tc>
          <w:tcPr>
            <w:tcW w:w="9752" w:type="dxa"/>
            <w:gridSpan w:val="2"/>
            <w:tcBorders>
              <w:top w:val="nil"/>
              <w:left w:val="nil"/>
              <w:bottom w:val="nil"/>
              <w:right w:val="nil"/>
            </w:tcBorders>
          </w:tcPr>
          <w:p w14:paraId="1D637276" w14:textId="77777777" w:rsidR="002E6C09" w:rsidRPr="001E6F82" w:rsidRDefault="002E6C09" w:rsidP="00844FF8"/>
        </w:tc>
      </w:tr>
      <w:tr w:rsidR="002E6C09" w:rsidRPr="001E6F82" w14:paraId="001FD00D" w14:textId="77777777" w:rsidTr="00844FF8">
        <w:trPr>
          <w:trHeight w:val="240"/>
          <w:jc w:val="center"/>
        </w:trPr>
        <w:tc>
          <w:tcPr>
            <w:tcW w:w="4876" w:type="dxa"/>
            <w:tcBorders>
              <w:top w:val="nil"/>
              <w:left w:val="nil"/>
              <w:bottom w:val="nil"/>
              <w:right w:val="nil"/>
            </w:tcBorders>
            <w:hideMark/>
          </w:tcPr>
          <w:p w14:paraId="061324F1"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77CF716" w14:textId="77777777" w:rsidR="002E6C09" w:rsidRPr="001E6F82" w:rsidRDefault="002E6C09" w:rsidP="00844FF8">
            <w:pPr>
              <w:pStyle w:val="AmColumnHeading"/>
            </w:pPr>
            <w:r w:rsidRPr="001E6F82">
              <w:t>Poprawka</w:t>
            </w:r>
          </w:p>
        </w:tc>
      </w:tr>
      <w:tr w:rsidR="002E6C09" w:rsidRPr="001E6F82" w14:paraId="273BE8BB" w14:textId="77777777" w:rsidTr="00844FF8">
        <w:trPr>
          <w:jc w:val="center"/>
        </w:trPr>
        <w:tc>
          <w:tcPr>
            <w:tcW w:w="4876" w:type="dxa"/>
            <w:tcBorders>
              <w:top w:val="nil"/>
              <w:left w:val="nil"/>
              <w:bottom w:val="nil"/>
              <w:right w:val="nil"/>
            </w:tcBorders>
            <w:hideMark/>
          </w:tcPr>
          <w:p w14:paraId="5F7D3A05" w14:textId="77777777" w:rsidR="002E6C09" w:rsidRPr="001E6F82" w:rsidRDefault="002E6C09" w:rsidP="00844FF8">
            <w:pPr>
              <w:pStyle w:val="Normal6a"/>
            </w:pPr>
            <w:r w:rsidRPr="001E6F82">
              <w:t>2.</w:t>
            </w:r>
            <w:r w:rsidRPr="001E6F82">
              <w:tab/>
              <w:t xml:space="preserve">Substancje te mogą być jednak stosowane w produktach kosmetycznych, jeżeli wniosek o odstępstwo zostanie przedłożony Komisji najpóźniej trzy miesiące po dacie wejścia w życie zmian w części 3 załącznika VI do rozporządzenia (WE) nr 1272/2008 klasyfikujących substancję jako substancję CMR kategorii 1A lub 1B. Komisja </w:t>
            </w:r>
            <w:r w:rsidRPr="001E6F82">
              <w:rPr>
                <w:b/>
                <w:i/>
              </w:rPr>
              <w:t>przyznaje</w:t>
            </w:r>
            <w:r w:rsidRPr="001E6F82">
              <w:t xml:space="preserve"> odstępstwo, </w:t>
            </w:r>
            <w:r w:rsidRPr="001E6F82">
              <w:lastRenderedPageBreak/>
              <w:t>jeżeli spełnione są wszystkie następujące warunki:</w:t>
            </w:r>
          </w:p>
        </w:tc>
        <w:tc>
          <w:tcPr>
            <w:tcW w:w="4876" w:type="dxa"/>
            <w:tcBorders>
              <w:top w:val="nil"/>
              <w:left w:val="nil"/>
              <w:bottom w:val="nil"/>
              <w:right w:val="nil"/>
            </w:tcBorders>
            <w:hideMark/>
          </w:tcPr>
          <w:p w14:paraId="6227AD9A" w14:textId="77777777" w:rsidR="002E6C09" w:rsidRPr="001E6F82" w:rsidRDefault="002E6C09" w:rsidP="00844FF8">
            <w:pPr>
              <w:pStyle w:val="Normal6a"/>
            </w:pPr>
            <w:r w:rsidRPr="001E6F82">
              <w:lastRenderedPageBreak/>
              <w:t>2.</w:t>
            </w:r>
            <w:r w:rsidRPr="001E6F82">
              <w:tab/>
              <w:t xml:space="preserve">Substancje te mogą </w:t>
            </w:r>
            <w:r w:rsidRPr="001E6F82">
              <w:rPr>
                <w:b/>
                <w:i/>
              </w:rPr>
              <w:t>w wyjątkowych sytuacjach</w:t>
            </w:r>
            <w:r w:rsidRPr="001E6F82">
              <w:t xml:space="preserve"> być jednak stosowane w produktach kosmetycznych, jeżeli wniosek o odstępstwo zostanie przedłożony Komisji najpóźniej trzy miesiące po dacie wejścia w życie zmian w części 3 załącznika VI do rozporządzenia (WE) nr 1272/2008 klasyfikujących substancję jako substancję CMR kategorii 1A lub 1B</w:t>
            </w:r>
            <w:r w:rsidRPr="001E6F82">
              <w:rPr>
                <w:b/>
                <w:i/>
              </w:rPr>
              <w:t xml:space="preserve">, a Komisja </w:t>
            </w:r>
            <w:r w:rsidRPr="001E6F82">
              <w:rPr>
                <w:b/>
                <w:i/>
              </w:rPr>
              <w:lastRenderedPageBreak/>
              <w:t>przyzna odstępstwo od ogólnego zakazu określonego w akapicie pierwszym</w:t>
            </w:r>
            <w:r w:rsidRPr="001E6F82">
              <w:t xml:space="preserve">. Komisja </w:t>
            </w:r>
            <w:r w:rsidRPr="001E6F82">
              <w:rPr>
                <w:b/>
                <w:i/>
              </w:rPr>
              <w:t>może przyznać</w:t>
            </w:r>
            <w:r w:rsidRPr="001E6F82">
              <w:t xml:space="preserve"> odstępstwo, jeżeli spełnione są wszystkie następujące warunki:</w:t>
            </w:r>
          </w:p>
        </w:tc>
      </w:tr>
    </w:tbl>
    <w:p w14:paraId="405C041B" w14:textId="77777777" w:rsidR="002E6C09" w:rsidRPr="001E6F82" w:rsidRDefault="002E6C09" w:rsidP="002E6C09"/>
    <w:p w14:paraId="2516662A" w14:textId="77777777" w:rsidR="002E6C09" w:rsidRPr="001E6F82" w:rsidRDefault="002E6C09" w:rsidP="002E6C09">
      <w:pPr>
        <w:pStyle w:val="AmNumberTabs"/>
      </w:pPr>
      <w:r w:rsidRPr="001E6F82">
        <w:t>Poprawka</w:t>
      </w:r>
      <w:r w:rsidRPr="001E6F82">
        <w:tab/>
      </w:r>
      <w:r w:rsidRPr="001E6F82">
        <w:tab/>
        <w:t>50</w:t>
      </w:r>
    </w:p>
    <w:p w14:paraId="675A1161" w14:textId="77777777" w:rsidR="002E6C09" w:rsidRPr="001E6F82" w:rsidRDefault="002E6C09" w:rsidP="002E6C09">
      <w:pPr>
        <w:pStyle w:val="NormalBold"/>
      </w:pPr>
      <w:r w:rsidRPr="001E6F82">
        <w:t>Wniosek dotyczący rozporządzenia</w:t>
      </w:r>
    </w:p>
    <w:p w14:paraId="055991F4" w14:textId="77777777" w:rsidR="002E6C09" w:rsidRPr="001E6F82" w:rsidRDefault="002E6C09" w:rsidP="002E6C09">
      <w:pPr>
        <w:pStyle w:val="NormalBold"/>
      </w:pPr>
      <w:r w:rsidRPr="001E6F82">
        <w:t>Artykuł 1 – akapit 1 – punkt 2 – litera a – podpunkt i</w:t>
      </w:r>
    </w:p>
    <w:p w14:paraId="5840FDB4" w14:textId="77777777" w:rsidR="002E6C09" w:rsidRPr="001E6F82" w:rsidRDefault="002E6C09" w:rsidP="002E6C09">
      <w:r w:rsidRPr="001E6F82">
        <w:t>Rozporządzenie (WE) nr 1223/2009</w:t>
      </w:r>
    </w:p>
    <w:p w14:paraId="5051C7D8" w14:textId="77777777" w:rsidR="002E6C09" w:rsidRPr="001E6F82" w:rsidRDefault="002E6C09" w:rsidP="002E6C09">
      <w:r w:rsidRPr="001E6F82">
        <w:t>Artykuł 15 – ustęp 2 – akapit 2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9A00341" w14:textId="77777777" w:rsidTr="00844FF8">
        <w:trPr>
          <w:trHeight w:val="240"/>
          <w:jc w:val="center"/>
        </w:trPr>
        <w:tc>
          <w:tcPr>
            <w:tcW w:w="9752" w:type="dxa"/>
            <w:gridSpan w:val="2"/>
            <w:tcBorders>
              <w:top w:val="nil"/>
              <w:left w:val="nil"/>
              <w:bottom w:val="nil"/>
              <w:right w:val="nil"/>
            </w:tcBorders>
          </w:tcPr>
          <w:p w14:paraId="6C6C810F" w14:textId="77777777" w:rsidR="002E6C09" w:rsidRPr="001E6F82" w:rsidRDefault="002E6C09" w:rsidP="00844FF8"/>
        </w:tc>
      </w:tr>
      <w:tr w:rsidR="002E6C09" w:rsidRPr="001E6F82" w14:paraId="00470E21" w14:textId="77777777" w:rsidTr="00844FF8">
        <w:trPr>
          <w:trHeight w:val="240"/>
          <w:jc w:val="center"/>
        </w:trPr>
        <w:tc>
          <w:tcPr>
            <w:tcW w:w="4876" w:type="dxa"/>
            <w:tcBorders>
              <w:top w:val="nil"/>
              <w:left w:val="nil"/>
              <w:bottom w:val="nil"/>
              <w:right w:val="nil"/>
            </w:tcBorders>
            <w:hideMark/>
          </w:tcPr>
          <w:p w14:paraId="2AA9902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60D1E0F" w14:textId="77777777" w:rsidR="002E6C09" w:rsidRPr="001E6F82" w:rsidRDefault="002E6C09" w:rsidP="00844FF8">
            <w:pPr>
              <w:pStyle w:val="AmColumnHeading"/>
            </w:pPr>
            <w:r w:rsidRPr="001E6F82">
              <w:t>Poprawka</w:t>
            </w:r>
          </w:p>
        </w:tc>
      </w:tr>
      <w:tr w:rsidR="002E6C09" w:rsidRPr="001E6F82" w14:paraId="3E061E94" w14:textId="77777777" w:rsidTr="00844FF8">
        <w:trPr>
          <w:jc w:val="center"/>
        </w:trPr>
        <w:tc>
          <w:tcPr>
            <w:tcW w:w="4876" w:type="dxa"/>
            <w:tcBorders>
              <w:top w:val="nil"/>
              <w:left w:val="nil"/>
              <w:bottom w:val="nil"/>
              <w:right w:val="nil"/>
            </w:tcBorders>
            <w:hideMark/>
          </w:tcPr>
          <w:p w14:paraId="40F5B1F3" w14:textId="77777777" w:rsidR="002E6C09" w:rsidRPr="001E6F82" w:rsidRDefault="002E6C09" w:rsidP="00844FF8">
            <w:pPr>
              <w:pStyle w:val="Normal6a"/>
            </w:pPr>
            <w:r w:rsidRPr="001E6F82">
              <w:t>b)</w:t>
            </w:r>
            <w:r w:rsidRPr="001E6F82">
              <w:tab/>
              <w:t xml:space="preserve">substancje te zostały ocenione i uznane przez SCCS za bezpieczne w odniesieniu do określonego zastosowania w </w:t>
            </w:r>
            <w:r w:rsidRPr="001E6F82">
              <w:rPr>
                <w:b/>
                <w:i/>
              </w:rPr>
              <w:t>danej</w:t>
            </w:r>
            <w:r w:rsidRPr="001E6F82">
              <w:t xml:space="preserve"> kategorii produktów kosmetycznych, z uwzględnieniem narażenia na działanie tych produktów</w:t>
            </w:r>
            <w:r w:rsidRPr="001E6F82">
              <w:rPr>
                <w:b/>
                <w:i/>
              </w:rPr>
              <w:t>, całkowitego narażenia na działanie tych substancji</w:t>
            </w:r>
            <w:r w:rsidRPr="001E6F82">
              <w:t xml:space="preserve"> ze źródeł innych niż kosmetyki i narażenia grup szczególnie wrażliwych.”.</w:t>
            </w:r>
          </w:p>
        </w:tc>
        <w:tc>
          <w:tcPr>
            <w:tcW w:w="4876" w:type="dxa"/>
            <w:tcBorders>
              <w:top w:val="nil"/>
              <w:left w:val="nil"/>
              <w:bottom w:val="nil"/>
              <w:right w:val="nil"/>
            </w:tcBorders>
            <w:hideMark/>
          </w:tcPr>
          <w:p w14:paraId="2CB88654" w14:textId="77777777" w:rsidR="002E6C09" w:rsidRPr="001E6F82" w:rsidRDefault="002E6C09" w:rsidP="00844FF8">
            <w:pPr>
              <w:pStyle w:val="Normal6a"/>
            </w:pPr>
            <w:r w:rsidRPr="001E6F82">
              <w:t>b)</w:t>
            </w:r>
            <w:r w:rsidRPr="001E6F82">
              <w:tab/>
              <w:t xml:space="preserve">substancje te zostały ocenione i uznane przez SCCS za bezpieczne w odniesieniu do </w:t>
            </w:r>
            <w:r w:rsidRPr="001E6F82">
              <w:rPr>
                <w:b/>
                <w:i/>
              </w:rPr>
              <w:t>co najmniej jednego</w:t>
            </w:r>
            <w:r w:rsidRPr="001E6F82">
              <w:t xml:space="preserve"> określonego zastosowania w </w:t>
            </w:r>
            <w:r w:rsidRPr="001E6F82">
              <w:rPr>
                <w:b/>
                <w:i/>
              </w:rPr>
              <w:t>co najmniej jednej</w:t>
            </w:r>
            <w:r w:rsidRPr="001E6F82">
              <w:t xml:space="preserve"> kategorii produktów kosmetycznych, z uwzględnieniem </w:t>
            </w:r>
            <w:r w:rsidRPr="001E6F82">
              <w:rPr>
                <w:b/>
                <w:i/>
              </w:rPr>
              <w:t>całkowitego</w:t>
            </w:r>
            <w:r w:rsidRPr="001E6F82">
              <w:t xml:space="preserve"> narażenia na działanie tych </w:t>
            </w:r>
            <w:r w:rsidRPr="001E6F82">
              <w:rPr>
                <w:b/>
                <w:i/>
              </w:rPr>
              <w:t>kategorii</w:t>
            </w:r>
            <w:r w:rsidRPr="001E6F82">
              <w:t xml:space="preserve"> produktów </w:t>
            </w:r>
            <w:r w:rsidRPr="001E6F82">
              <w:rPr>
                <w:b/>
                <w:i/>
              </w:rPr>
              <w:t>w ramach takiego zastosowania oraz narażenia</w:t>
            </w:r>
            <w:r w:rsidRPr="001E6F82">
              <w:t xml:space="preserve"> ze źródeł innych niż kosmetyki i narażenia grup szczególnie wrażliwych.”.</w:t>
            </w:r>
          </w:p>
        </w:tc>
      </w:tr>
    </w:tbl>
    <w:p w14:paraId="0BCFFA59" w14:textId="77777777" w:rsidR="002E6C09" w:rsidRPr="001E6F82" w:rsidRDefault="002E6C09" w:rsidP="002E6C09"/>
    <w:p w14:paraId="44C3CEFF" w14:textId="77777777" w:rsidR="002E6C09" w:rsidRPr="001E6F82" w:rsidRDefault="002E6C09" w:rsidP="002E6C09">
      <w:pPr>
        <w:pStyle w:val="AmNumberTabs"/>
      </w:pPr>
      <w:r w:rsidRPr="001E6F82">
        <w:t>Poprawka</w:t>
      </w:r>
      <w:r w:rsidRPr="001E6F82">
        <w:tab/>
      </w:r>
      <w:r w:rsidRPr="001E6F82">
        <w:tab/>
        <w:t>51</w:t>
      </w:r>
    </w:p>
    <w:p w14:paraId="26E8DBFD" w14:textId="77777777" w:rsidR="002E6C09" w:rsidRPr="001E6F82" w:rsidRDefault="002E6C09" w:rsidP="002E6C09">
      <w:pPr>
        <w:pStyle w:val="NormalBold"/>
      </w:pPr>
      <w:r w:rsidRPr="001E6F82">
        <w:t>Wniosek dotyczący rozporządzenia</w:t>
      </w:r>
    </w:p>
    <w:p w14:paraId="4E4C3A19" w14:textId="77777777" w:rsidR="002E6C09" w:rsidRPr="001E6F82" w:rsidRDefault="002E6C09" w:rsidP="002E6C09">
      <w:pPr>
        <w:pStyle w:val="NormalBold"/>
      </w:pPr>
      <w:r w:rsidRPr="001E6F82">
        <w:t>Artykuł 1 – akapit 1 – punkt 2 – litera a – podpunkt ii</w:t>
      </w:r>
    </w:p>
    <w:p w14:paraId="5D5DABF8" w14:textId="77777777" w:rsidR="002E6C09" w:rsidRPr="001E6F82" w:rsidRDefault="002E6C09" w:rsidP="002E6C09">
      <w:r w:rsidRPr="001E6F82">
        <w:t>Rozporządzenie (WE) nr 1223/2009</w:t>
      </w:r>
    </w:p>
    <w:p w14:paraId="6D9B2F98" w14:textId="77777777" w:rsidR="002E6C09" w:rsidRPr="001E6F82" w:rsidRDefault="002E6C09" w:rsidP="002E6C09">
      <w:r w:rsidRPr="001E6F82">
        <w:t>Artykuł 15 – ustęp 2 – akapit 3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53A551F" w14:textId="77777777" w:rsidTr="00844FF8">
        <w:trPr>
          <w:trHeight w:val="240"/>
          <w:jc w:val="center"/>
        </w:trPr>
        <w:tc>
          <w:tcPr>
            <w:tcW w:w="9752" w:type="dxa"/>
            <w:gridSpan w:val="2"/>
            <w:tcBorders>
              <w:top w:val="nil"/>
              <w:left w:val="nil"/>
              <w:bottom w:val="nil"/>
              <w:right w:val="nil"/>
            </w:tcBorders>
          </w:tcPr>
          <w:p w14:paraId="757DC6A3" w14:textId="77777777" w:rsidR="002E6C09" w:rsidRPr="001E6F82" w:rsidRDefault="002E6C09" w:rsidP="00844FF8"/>
        </w:tc>
      </w:tr>
      <w:tr w:rsidR="002E6C09" w:rsidRPr="001E6F82" w14:paraId="6E2C956B" w14:textId="77777777" w:rsidTr="00844FF8">
        <w:trPr>
          <w:trHeight w:val="240"/>
          <w:jc w:val="center"/>
        </w:trPr>
        <w:tc>
          <w:tcPr>
            <w:tcW w:w="4876" w:type="dxa"/>
            <w:tcBorders>
              <w:top w:val="nil"/>
              <w:left w:val="nil"/>
              <w:bottom w:val="nil"/>
              <w:right w:val="nil"/>
            </w:tcBorders>
            <w:hideMark/>
          </w:tcPr>
          <w:p w14:paraId="59E0747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2E17405" w14:textId="77777777" w:rsidR="002E6C09" w:rsidRPr="001E6F82" w:rsidRDefault="002E6C09" w:rsidP="00844FF8">
            <w:pPr>
              <w:pStyle w:val="AmColumnHeading"/>
            </w:pPr>
            <w:r w:rsidRPr="001E6F82">
              <w:t>Poprawka</w:t>
            </w:r>
          </w:p>
        </w:tc>
      </w:tr>
      <w:tr w:rsidR="002E6C09" w:rsidRPr="001E6F82" w14:paraId="379ED2DE" w14:textId="77777777" w:rsidTr="00844FF8">
        <w:trPr>
          <w:jc w:val="center"/>
        </w:trPr>
        <w:tc>
          <w:tcPr>
            <w:tcW w:w="4876" w:type="dxa"/>
            <w:tcBorders>
              <w:top w:val="nil"/>
              <w:left w:val="nil"/>
              <w:bottom w:val="nil"/>
              <w:right w:val="nil"/>
            </w:tcBorders>
            <w:hideMark/>
          </w:tcPr>
          <w:p w14:paraId="3F6D0D27" w14:textId="77777777" w:rsidR="002E6C09" w:rsidRPr="001E6F82" w:rsidRDefault="002E6C09" w:rsidP="00844FF8">
            <w:pPr>
              <w:pStyle w:val="Normal6a"/>
            </w:pPr>
            <w:r w:rsidRPr="001E6F82">
              <w:t>a)</w:t>
            </w:r>
            <w:r w:rsidRPr="001E6F82">
              <w:tab/>
              <w:t xml:space="preserve">jej stosowanie w produktach kosmetycznych prowadzi do zmniejszenia ogólnego ryzyka dla zdrowia ludzkiego </w:t>
            </w:r>
            <w:r w:rsidRPr="001E6F82">
              <w:rPr>
                <w:b/>
                <w:i/>
              </w:rPr>
              <w:t>i dla środowiska</w:t>
            </w:r>
            <w:r w:rsidRPr="001E6F82">
              <w:t>;</w:t>
            </w:r>
          </w:p>
        </w:tc>
        <w:tc>
          <w:tcPr>
            <w:tcW w:w="4876" w:type="dxa"/>
            <w:tcBorders>
              <w:top w:val="nil"/>
              <w:left w:val="nil"/>
              <w:bottom w:val="nil"/>
              <w:right w:val="nil"/>
            </w:tcBorders>
            <w:hideMark/>
          </w:tcPr>
          <w:p w14:paraId="559E5E91" w14:textId="77777777" w:rsidR="002E6C09" w:rsidRPr="001E6F82" w:rsidRDefault="002E6C09" w:rsidP="00844FF8">
            <w:pPr>
              <w:pStyle w:val="Normal6a"/>
            </w:pPr>
            <w:r w:rsidRPr="001E6F82">
              <w:t>a)</w:t>
            </w:r>
            <w:r w:rsidRPr="001E6F82">
              <w:tab/>
              <w:t xml:space="preserve">jej stosowanie w produktach kosmetycznych </w:t>
            </w:r>
            <w:r w:rsidRPr="001E6F82">
              <w:rPr>
                <w:b/>
                <w:i/>
              </w:rPr>
              <w:t>jest bezpieczne i</w:t>
            </w:r>
            <w:r w:rsidRPr="001E6F82">
              <w:t xml:space="preserve"> prowadzi do zmniejszenia ogólnego ryzyka dla zdrowia ludzkiego </w:t>
            </w:r>
            <w:r w:rsidRPr="001E6F82">
              <w:rPr>
                <w:b/>
                <w:i/>
              </w:rPr>
              <w:t>w porównaniu z substancją, którą ma zastąpić</w:t>
            </w:r>
            <w:r w:rsidRPr="001E6F82">
              <w:t>;</w:t>
            </w:r>
          </w:p>
        </w:tc>
      </w:tr>
    </w:tbl>
    <w:p w14:paraId="630C6198" w14:textId="77777777" w:rsidR="002E6C09" w:rsidRPr="001E6F82" w:rsidRDefault="002E6C09" w:rsidP="002E6C09"/>
    <w:p w14:paraId="6D08E0FA" w14:textId="77777777" w:rsidR="002E6C09" w:rsidRPr="001E6F82" w:rsidRDefault="002E6C09" w:rsidP="002E6C09">
      <w:pPr>
        <w:pStyle w:val="AmNumberTabs"/>
      </w:pPr>
      <w:r w:rsidRPr="001E6F82">
        <w:t>Poprawka</w:t>
      </w:r>
      <w:r w:rsidRPr="001E6F82">
        <w:tab/>
      </w:r>
      <w:r w:rsidRPr="001E6F82">
        <w:tab/>
        <w:t>52</w:t>
      </w:r>
    </w:p>
    <w:p w14:paraId="08ABD215" w14:textId="77777777" w:rsidR="002E6C09" w:rsidRPr="001E6F82" w:rsidRDefault="002E6C09" w:rsidP="002E6C09">
      <w:pPr>
        <w:pStyle w:val="NormalBold"/>
      </w:pPr>
      <w:r w:rsidRPr="001E6F82">
        <w:t>Wniosek dotyczący rozporządzenia</w:t>
      </w:r>
    </w:p>
    <w:p w14:paraId="42A71B76" w14:textId="77777777" w:rsidR="002E6C09" w:rsidRPr="001E6F82" w:rsidRDefault="002E6C09" w:rsidP="002E6C09">
      <w:pPr>
        <w:pStyle w:val="NormalBold"/>
      </w:pPr>
      <w:r w:rsidRPr="001E6F82">
        <w:t>Artykuł 1 – akapit 1 – punkt 2 – litera a – podpunkt ii</w:t>
      </w:r>
    </w:p>
    <w:p w14:paraId="1FD561AD" w14:textId="77777777" w:rsidR="002E6C09" w:rsidRPr="001E6F82" w:rsidRDefault="002E6C09" w:rsidP="002E6C09">
      <w:r w:rsidRPr="001E6F82">
        <w:t>Rozporządzenie (WE) nr 1223/2009</w:t>
      </w:r>
    </w:p>
    <w:p w14:paraId="5810DB39" w14:textId="77777777" w:rsidR="002E6C09" w:rsidRPr="001E6F82" w:rsidRDefault="002E6C09" w:rsidP="002E6C09">
      <w:r w:rsidRPr="001E6F82">
        <w:t>Artykuł 15 – ustęp 2 – akapit 2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EB2051B" w14:textId="77777777" w:rsidTr="00844FF8">
        <w:trPr>
          <w:trHeight w:val="240"/>
          <w:jc w:val="center"/>
        </w:trPr>
        <w:tc>
          <w:tcPr>
            <w:tcW w:w="9752" w:type="dxa"/>
            <w:gridSpan w:val="2"/>
            <w:tcBorders>
              <w:top w:val="nil"/>
              <w:left w:val="nil"/>
              <w:bottom w:val="nil"/>
              <w:right w:val="nil"/>
            </w:tcBorders>
          </w:tcPr>
          <w:p w14:paraId="19B70E73" w14:textId="77777777" w:rsidR="002E6C09" w:rsidRPr="001E6F82" w:rsidRDefault="002E6C09" w:rsidP="00844FF8"/>
        </w:tc>
      </w:tr>
      <w:tr w:rsidR="002E6C09" w:rsidRPr="001E6F82" w14:paraId="5DBC7D76" w14:textId="77777777" w:rsidTr="00844FF8">
        <w:trPr>
          <w:trHeight w:val="240"/>
          <w:jc w:val="center"/>
        </w:trPr>
        <w:tc>
          <w:tcPr>
            <w:tcW w:w="4876" w:type="dxa"/>
            <w:tcBorders>
              <w:top w:val="nil"/>
              <w:left w:val="nil"/>
              <w:bottom w:val="nil"/>
              <w:right w:val="nil"/>
            </w:tcBorders>
            <w:hideMark/>
          </w:tcPr>
          <w:p w14:paraId="2E7AA08C" w14:textId="77777777" w:rsidR="002E6C09" w:rsidRPr="001E6F82" w:rsidRDefault="002E6C09" w:rsidP="00844FF8">
            <w:pPr>
              <w:pStyle w:val="AmColumnHeading"/>
            </w:pPr>
            <w:r w:rsidRPr="001E6F82">
              <w:lastRenderedPageBreak/>
              <w:t>Tekst proponowany przez Komisję</w:t>
            </w:r>
          </w:p>
        </w:tc>
        <w:tc>
          <w:tcPr>
            <w:tcW w:w="4876" w:type="dxa"/>
            <w:tcBorders>
              <w:top w:val="nil"/>
              <w:left w:val="nil"/>
              <w:bottom w:val="nil"/>
              <w:right w:val="nil"/>
            </w:tcBorders>
            <w:hideMark/>
          </w:tcPr>
          <w:p w14:paraId="316DD621" w14:textId="77777777" w:rsidR="002E6C09" w:rsidRPr="001E6F82" w:rsidRDefault="002E6C09" w:rsidP="00844FF8">
            <w:pPr>
              <w:pStyle w:val="AmColumnHeading"/>
            </w:pPr>
            <w:r w:rsidRPr="001E6F82">
              <w:t>Poprawka</w:t>
            </w:r>
          </w:p>
        </w:tc>
      </w:tr>
      <w:tr w:rsidR="002E6C09" w:rsidRPr="001E6F82" w14:paraId="6015DB48" w14:textId="77777777" w:rsidTr="00844FF8">
        <w:trPr>
          <w:jc w:val="center"/>
        </w:trPr>
        <w:tc>
          <w:tcPr>
            <w:tcW w:w="4876" w:type="dxa"/>
            <w:tcBorders>
              <w:top w:val="nil"/>
              <w:left w:val="nil"/>
              <w:bottom w:val="nil"/>
              <w:right w:val="nil"/>
            </w:tcBorders>
            <w:hideMark/>
          </w:tcPr>
          <w:p w14:paraId="23261107" w14:textId="77777777" w:rsidR="002E6C09" w:rsidRPr="001E6F82" w:rsidRDefault="002E6C09" w:rsidP="00844FF8">
            <w:pPr>
              <w:pStyle w:val="Normal6a"/>
            </w:pPr>
            <w:r w:rsidRPr="001E6F82">
              <w:t>b)</w:t>
            </w:r>
            <w:r w:rsidRPr="001E6F82">
              <w:tab/>
              <w:t xml:space="preserve">pełni równoważną funkcję w stosunku do sklasyfikowanej substancji – w gotowym produkcie kosmetycznym o </w:t>
            </w:r>
            <w:r w:rsidRPr="001E6F82">
              <w:rPr>
                <w:b/>
                <w:i/>
              </w:rPr>
              <w:t>podobnym</w:t>
            </w:r>
            <w:r w:rsidRPr="001E6F82">
              <w:t xml:space="preserve"> działaniu – i zapewnia </w:t>
            </w:r>
            <w:r w:rsidRPr="001E6F82">
              <w:rPr>
                <w:b/>
                <w:i/>
              </w:rPr>
              <w:t>taki sam</w:t>
            </w:r>
            <w:r w:rsidRPr="001E6F82">
              <w:t xml:space="preserve"> poziom skuteczności;</w:t>
            </w:r>
          </w:p>
        </w:tc>
        <w:tc>
          <w:tcPr>
            <w:tcW w:w="4876" w:type="dxa"/>
            <w:tcBorders>
              <w:top w:val="nil"/>
              <w:left w:val="nil"/>
              <w:bottom w:val="nil"/>
              <w:right w:val="nil"/>
            </w:tcBorders>
            <w:hideMark/>
          </w:tcPr>
          <w:p w14:paraId="0668085F" w14:textId="77777777" w:rsidR="002E6C09" w:rsidRPr="001E6F82" w:rsidRDefault="002E6C09" w:rsidP="00844FF8">
            <w:pPr>
              <w:pStyle w:val="Normal6a"/>
            </w:pPr>
            <w:r w:rsidRPr="001E6F82">
              <w:t>b)</w:t>
            </w:r>
            <w:r w:rsidRPr="001E6F82">
              <w:tab/>
              <w:t xml:space="preserve">pełni równoważną funkcję w stosunku do sklasyfikowanej substancji – w gotowym produkcie kosmetycznym o </w:t>
            </w:r>
            <w:r w:rsidRPr="001E6F82">
              <w:rPr>
                <w:b/>
                <w:i/>
              </w:rPr>
              <w:t>porównywalnym</w:t>
            </w:r>
            <w:r w:rsidRPr="001E6F82">
              <w:t xml:space="preserve"> działaniu – i zapewnia </w:t>
            </w:r>
            <w:r w:rsidRPr="001E6F82">
              <w:rPr>
                <w:b/>
                <w:i/>
              </w:rPr>
              <w:t>podobny efekt,</w:t>
            </w:r>
            <w:r w:rsidRPr="001E6F82">
              <w:t xml:space="preserve"> poziom skuteczności </w:t>
            </w:r>
            <w:r w:rsidRPr="001E6F82">
              <w:rPr>
                <w:b/>
                <w:i/>
              </w:rPr>
              <w:t>i wydajności</w:t>
            </w:r>
            <w:r w:rsidRPr="001E6F82">
              <w:t>;</w:t>
            </w:r>
          </w:p>
        </w:tc>
      </w:tr>
    </w:tbl>
    <w:p w14:paraId="418A50E4" w14:textId="77777777" w:rsidR="002E6C09" w:rsidRPr="001E6F82" w:rsidRDefault="002E6C09" w:rsidP="002E6C09"/>
    <w:p w14:paraId="724E1EB4" w14:textId="77777777" w:rsidR="002E6C09" w:rsidRPr="001E6F82" w:rsidRDefault="002E6C09" w:rsidP="002E6C09">
      <w:pPr>
        <w:pStyle w:val="AmNumberTabs"/>
      </w:pPr>
      <w:r w:rsidRPr="001E6F82">
        <w:t>Poprawka</w:t>
      </w:r>
      <w:r w:rsidRPr="001E6F82">
        <w:tab/>
      </w:r>
      <w:r w:rsidRPr="001E6F82">
        <w:tab/>
        <w:t>53</w:t>
      </w:r>
    </w:p>
    <w:p w14:paraId="39FCE477" w14:textId="77777777" w:rsidR="002E6C09" w:rsidRPr="001E6F82" w:rsidRDefault="002E6C09" w:rsidP="002E6C09">
      <w:pPr>
        <w:pStyle w:val="NormalBold"/>
      </w:pPr>
      <w:r w:rsidRPr="001E6F82">
        <w:t>Wniosek dotyczący rozporządzenia</w:t>
      </w:r>
    </w:p>
    <w:p w14:paraId="35D5737C" w14:textId="77777777" w:rsidR="002E6C09" w:rsidRPr="001E6F82" w:rsidRDefault="002E6C09" w:rsidP="002E6C09">
      <w:pPr>
        <w:pStyle w:val="NormalBold"/>
      </w:pPr>
      <w:r w:rsidRPr="001E6F82">
        <w:t>Artykuł 1 – akapit 1 – punkt 2 – litera a – podpunkt ii</w:t>
      </w:r>
    </w:p>
    <w:p w14:paraId="58BC361C" w14:textId="77777777" w:rsidR="002E6C09" w:rsidRPr="001E6F82" w:rsidRDefault="002E6C09" w:rsidP="002E6C09">
      <w:r w:rsidRPr="001E6F82">
        <w:t>Rozporządzenie (WE) nr 1223/2009</w:t>
      </w:r>
    </w:p>
    <w:p w14:paraId="4774B6C0" w14:textId="77777777" w:rsidR="002E6C09" w:rsidRPr="001E6F82" w:rsidRDefault="002E6C09" w:rsidP="002E6C09">
      <w:r w:rsidRPr="001E6F82">
        <w:t>Artykuł 15 – ustęp 2 – akapit 3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3F191A5" w14:textId="77777777" w:rsidTr="00844FF8">
        <w:trPr>
          <w:trHeight w:val="240"/>
          <w:jc w:val="center"/>
        </w:trPr>
        <w:tc>
          <w:tcPr>
            <w:tcW w:w="9752" w:type="dxa"/>
            <w:gridSpan w:val="2"/>
            <w:tcBorders>
              <w:top w:val="nil"/>
              <w:left w:val="nil"/>
              <w:bottom w:val="nil"/>
              <w:right w:val="nil"/>
            </w:tcBorders>
          </w:tcPr>
          <w:p w14:paraId="6393B0C6" w14:textId="77777777" w:rsidR="002E6C09" w:rsidRPr="001E6F82" w:rsidRDefault="002E6C09" w:rsidP="00844FF8"/>
        </w:tc>
      </w:tr>
      <w:tr w:rsidR="002E6C09" w:rsidRPr="001E6F82" w14:paraId="1629FBE1" w14:textId="77777777" w:rsidTr="00844FF8">
        <w:trPr>
          <w:trHeight w:val="240"/>
          <w:jc w:val="center"/>
        </w:trPr>
        <w:tc>
          <w:tcPr>
            <w:tcW w:w="4876" w:type="dxa"/>
            <w:tcBorders>
              <w:top w:val="nil"/>
              <w:left w:val="nil"/>
              <w:bottom w:val="nil"/>
              <w:right w:val="nil"/>
            </w:tcBorders>
            <w:hideMark/>
          </w:tcPr>
          <w:p w14:paraId="556D2821"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7A954E0" w14:textId="77777777" w:rsidR="002E6C09" w:rsidRPr="001E6F82" w:rsidRDefault="002E6C09" w:rsidP="00844FF8">
            <w:pPr>
              <w:pStyle w:val="AmColumnHeading"/>
            </w:pPr>
            <w:r w:rsidRPr="001E6F82">
              <w:t>Poprawka</w:t>
            </w:r>
          </w:p>
        </w:tc>
      </w:tr>
      <w:tr w:rsidR="002E6C09" w:rsidRPr="001E6F82" w14:paraId="7397D1F0" w14:textId="77777777" w:rsidTr="00844FF8">
        <w:trPr>
          <w:jc w:val="center"/>
        </w:trPr>
        <w:tc>
          <w:tcPr>
            <w:tcW w:w="4876" w:type="dxa"/>
            <w:tcBorders>
              <w:top w:val="nil"/>
              <w:left w:val="nil"/>
              <w:bottom w:val="nil"/>
              <w:right w:val="nil"/>
            </w:tcBorders>
            <w:hideMark/>
          </w:tcPr>
          <w:p w14:paraId="63B0ACCB" w14:textId="77777777" w:rsidR="002E6C09" w:rsidRPr="001E6F82" w:rsidRDefault="002E6C09" w:rsidP="00844FF8">
            <w:pPr>
              <w:pStyle w:val="Normal6a"/>
            </w:pPr>
            <w:r w:rsidRPr="001E6F82">
              <w:t>c)</w:t>
            </w:r>
            <w:r w:rsidRPr="001E6F82">
              <w:tab/>
              <w:t xml:space="preserve">jest technicznie wykonalna i opłacalna </w:t>
            </w:r>
            <w:r w:rsidRPr="001E6F82">
              <w:rPr>
                <w:b/>
                <w:i/>
              </w:rPr>
              <w:t>ekonomicznie</w:t>
            </w:r>
            <w:r w:rsidRPr="001E6F82">
              <w:t>;</w:t>
            </w:r>
          </w:p>
        </w:tc>
        <w:tc>
          <w:tcPr>
            <w:tcW w:w="4876" w:type="dxa"/>
            <w:tcBorders>
              <w:top w:val="nil"/>
              <w:left w:val="nil"/>
              <w:bottom w:val="nil"/>
              <w:right w:val="nil"/>
            </w:tcBorders>
            <w:hideMark/>
          </w:tcPr>
          <w:p w14:paraId="0BE1E195" w14:textId="77777777" w:rsidR="002E6C09" w:rsidRPr="001E6F82" w:rsidRDefault="002E6C09" w:rsidP="00844FF8">
            <w:pPr>
              <w:pStyle w:val="Normal6a"/>
            </w:pPr>
            <w:r w:rsidRPr="001E6F82">
              <w:t>c)</w:t>
            </w:r>
            <w:r w:rsidRPr="001E6F82">
              <w:tab/>
              <w:t xml:space="preserve">jest technicznie wykonalna i </w:t>
            </w:r>
            <w:r w:rsidRPr="001E6F82">
              <w:rPr>
                <w:b/>
                <w:i/>
              </w:rPr>
              <w:t>ekonomicznie</w:t>
            </w:r>
            <w:r w:rsidRPr="001E6F82">
              <w:t xml:space="preserve"> opłacalna</w:t>
            </w:r>
            <w:r w:rsidRPr="001E6F82">
              <w:rPr>
                <w:b/>
                <w:i/>
              </w:rPr>
              <w:t xml:space="preserve">, pod </w:t>
            </w:r>
            <w:proofErr w:type="gramStart"/>
            <w:r w:rsidRPr="001E6F82">
              <w:rPr>
                <w:b/>
                <w:i/>
              </w:rPr>
              <w:t>warunkiem</w:t>
            </w:r>
            <w:proofErr w:type="gramEnd"/>
            <w:r w:rsidRPr="001E6F82">
              <w:rPr>
                <w:b/>
                <w:i/>
              </w:rPr>
              <w:t xml:space="preserve"> że koszty i warunki dostaw umożliwiają nieprzerwaną produkcję</w:t>
            </w:r>
            <w:r w:rsidRPr="001E6F82">
              <w:t>;</w:t>
            </w:r>
          </w:p>
        </w:tc>
      </w:tr>
    </w:tbl>
    <w:p w14:paraId="225DE8F6" w14:textId="77777777" w:rsidR="002E6C09" w:rsidRPr="001E6F82" w:rsidRDefault="002E6C09" w:rsidP="002E6C09"/>
    <w:p w14:paraId="07BEFA1D" w14:textId="77777777" w:rsidR="002E6C09" w:rsidRPr="001E6F82" w:rsidRDefault="002E6C09" w:rsidP="002E6C09">
      <w:pPr>
        <w:pStyle w:val="AmNumberTabs"/>
      </w:pPr>
      <w:r w:rsidRPr="001E6F82">
        <w:t>Poprawka</w:t>
      </w:r>
      <w:r w:rsidRPr="001E6F82">
        <w:tab/>
      </w:r>
      <w:r w:rsidRPr="001E6F82">
        <w:tab/>
        <w:t>54</w:t>
      </w:r>
    </w:p>
    <w:p w14:paraId="448DEEB8" w14:textId="77777777" w:rsidR="002E6C09" w:rsidRPr="001E6F82" w:rsidRDefault="002E6C09" w:rsidP="002E6C09">
      <w:pPr>
        <w:pStyle w:val="NormalBold"/>
      </w:pPr>
      <w:r w:rsidRPr="001E6F82">
        <w:t>Wniosek dotyczący rozporządzenia</w:t>
      </w:r>
    </w:p>
    <w:p w14:paraId="140BEDED" w14:textId="77777777" w:rsidR="002E6C09" w:rsidRPr="001E6F82" w:rsidRDefault="002E6C09" w:rsidP="002E6C09">
      <w:pPr>
        <w:pStyle w:val="NormalBold"/>
      </w:pPr>
      <w:r w:rsidRPr="001E6F82">
        <w:t>Artykuł 1 – akapit 1 – punkt 2 – litera a – podpunkt ii</w:t>
      </w:r>
    </w:p>
    <w:p w14:paraId="28B351D9" w14:textId="77777777" w:rsidR="002E6C09" w:rsidRPr="001E6F82" w:rsidRDefault="002E6C09" w:rsidP="002E6C09">
      <w:r w:rsidRPr="001E6F82">
        <w:t>Rozporządzenie (WE) nr 1223/2009</w:t>
      </w:r>
    </w:p>
    <w:p w14:paraId="0257C6E1" w14:textId="77777777" w:rsidR="002E6C09" w:rsidRPr="001E6F82" w:rsidRDefault="002E6C09" w:rsidP="002E6C09">
      <w:r w:rsidRPr="001E6F82">
        <w:t>Artykuł 15 – ustęp 2 – akapit 3 – litera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DDAF9EC" w14:textId="77777777" w:rsidTr="00844FF8">
        <w:trPr>
          <w:trHeight w:val="240"/>
          <w:jc w:val="center"/>
        </w:trPr>
        <w:tc>
          <w:tcPr>
            <w:tcW w:w="9752" w:type="dxa"/>
            <w:gridSpan w:val="2"/>
            <w:tcBorders>
              <w:top w:val="nil"/>
              <w:left w:val="nil"/>
              <w:bottom w:val="nil"/>
              <w:right w:val="nil"/>
            </w:tcBorders>
          </w:tcPr>
          <w:p w14:paraId="7C755F6E" w14:textId="77777777" w:rsidR="002E6C09" w:rsidRPr="001E6F82" w:rsidRDefault="002E6C09" w:rsidP="00844FF8"/>
        </w:tc>
      </w:tr>
      <w:tr w:rsidR="002E6C09" w:rsidRPr="001E6F82" w14:paraId="41FE15A9" w14:textId="77777777" w:rsidTr="00844FF8">
        <w:trPr>
          <w:trHeight w:val="240"/>
          <w:jc w:val="center"/>
        </w:trPr>
        <w:tc>
          <w:tcPr>
            <w:tcW w:w="4876" w:type="dxa"/>
            <w:tcBorders>
              <w:top w:val="nil"/>
              <w:left w:val="nil"/>
              <w:bottom w:val="nil"/>
              <w:right w:val="nil"/>
            </w:tcBorders>
            <w:hideMark/>
          </w:tcPr>
          <w:p w14:paraId="14B29FF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3B06ACE" w14:textId="77777777" w:rsidR="002E6C09" w:rsidRPr="001E6F82" w:rsidRDefault="002E6C09" w:rsidP="00844FF8">
            <w:pPr>
              <w:pStyle w:val="AmColumnHeading"/>
            </w:pPr>
            <w:r w:rsidRPr="001E6F82">
              <w:t>Poprawka</w:t>
            </w:r>
          </w:p>
        </w:tc>
      </w:tr>
      <w:tr w:rsidR="002E6C09" w:rsidRPr="001E6F82" w14:paraId="594FC4D0" w14:textId="77777777" w:rsidTr="00844FF8">
        <w:trPr>
          <w:jc w:val="center"/>
        </w:trPr>
        <w:tc>
          <w:tcPr>
            <w:tcW w:w="4876" w:type="dxa"/>
            <w:tcBorders>
              <w:top w:val="nil"/>
              <w:left w:val="nil"/>
              <w:bottom w:val="nil"/>
              <w:right w:val="nil"/>
            </w:tcBorders>
            <w:hideMark/>
          </w:tcPr>
          <w:p w14:paraId="4B91D068" w14:textId="77777777" w:rsidR="002E6C09" w:rsidRPr="001E6F82" w:rsidRDefault="002E6C09" w:rsidP="00844FF8">
            <w:pPr>
              <w:pStyle w:val="Normal6a"/>
            </w:pPr>
            <w:r w:rsidRPr="001E6F82">
              <w:t>d)</w:t>
            </w:r>
            <w:r w:rsidRPr="001E6F82">
              <w:tab/>
              <w:t>nie jest objęta ograniczeniami</w:t>
            </w:r>
            <w:r w:rsidRPr="001E6F82">
              <w:rPr>
                <w:b/>
                <w:i/>
              </w:rPr>
              <w:t>, nie jest chroniona prawami wyłącznymi oraz</w:t>
            </w:r>
            <w:r w:rsidRPr="001E6F82">
              <w:t xml:space="preserve"> jest dostępna na rynku na </w:t>
            </w:r>
            <w:r w:rsidRPr="001E6F82">
              <w:rPr>
                <w:b/>
                <w:i/>
              </w:rPr>
              <w:t>dużą</w:t>
            </w:r>
            <w:r w:rsidRPr="001E6F82">
              <w:t xml:space="preserve"> skalę</w:t>
            </w:r>
            <w:r w:rsidRPr="001E6F82">
              <w:rPr>
                <w:b/>
                <w:i/>
              </w:rPr>
              <w:t>,</w:t>
            </w:r>
            <w:r w:rsidRPr="001E6F82">
              <w:t xml:space="preserve"> w ilościach wystarczających do zaspokojenia obecnego </w:t>
            </w:r>
            <w:r w:rsidRPr="001E6F82">
              <w:rPr>
                <w:b/>
                <w:i/>
              </w:rPr>
              <w:t>i oczekiwanego popytu</w:t>
            </w:r>
            <w:r w:rsidRPr="001E6F82">
              <w:t>.”</w:t>
            </w:r>
          </w:p>
        </w:tc>
        <w:tc>
          <w:tcPr>
            <w:tcW w:w="4876" w:type="dxa"/>
            <w:tcBorders>
              <w:top w:val="nil"/>
              <w:left w:val="nil"/>
              <w:bottom w:val="nil"/>
              <w:right w:val="nil"/>
            </w:tcBorders>
            <w:hideMark/>
          </w:tcPr>
          <w:p w14:paraId="33F501B8" w14:textId="77777777" w:rsidR="002E6C09" w:rsidRPr="001E6F82" w:rsidRDefault="002E6C09" w:rsidP="00844FF8">
            <w:pPr>
              <w:pStyle w:val="Normal6a"/>
            </w:pPr>
            <w:r w:rsidRPr="001E6F82">
              <w:t>d)</w:t>
            </w:r>
            <w:r w:rsidRPr="001E6F82">
              <w:tab/>
              <w:t xml:space="preserve">nie jest objęta ograniczeniami </w:t>
            </w:r>
            <w:r w:rsidRPr="001E6F82">
              <w:rPr>
                <w:b/>
                <w:i/>
              </w:rPr>
              <w:t>i</w:t>
            </w:r>
            <w:r w:rsidRPr="001E6F82">
              <w:t xml:space="preserve"> jest dostępna na rynku na skalę </w:t>
            </w:r>
            <w:r w:rsidRPr="001E6F82">
              <w:rPr>
                <w:b/>
                <w:i/>
              </w:rPr>
              <w:t>i</w:t>
            </w:r>
            <w:r w:rsidRPr="001E6F82">
              <w:t xml:space="preserve"> w ilościach wystarczających do zaspokojenia obecnego </w:t>
            </w:r>
            <w:r w:rsidRPr="001E6F82">
              <w:rPr>
                <w:b/>
                <w:i/>
              </w:rPr>
              <w:t>popytu lub może zaspokoić obecny lub oczekiwany popyt w rozsądnych ramach czasowych</w:t>
            </w:r>
            <w:r w:rsidRPr="001E6F82">
              <w:t>.”</w:t>
            </w:r>
          </w:p>
        </w:tc>
      </w:tr>
    </w:tbl>
    <w:p w14:paraId="643E38A6" w14:textId="77777777" w:rsidR="002E6C09" w:rsidRPr="001E6F82" w:rsidRDefault="002E6C09" w:rsidP="002E6C09"/>
    <w:p w14:paraId="42103762" w14:textId="77777777" w:rsidR="002E6C09" w:rsidRPr="001E6F82" w:rsidRDefault="002E6C09" w:rsidP="002E6C09">
      <w:pPr>
        <w:pStyle w:val="AmNumberTabs"/>
      </w:pPr>
      <w:r w:rsidRPr="001E6F82">
        <w:t>Poprawka</w:t>
      </w:r>
      <w:r w:rsidRPr="001E6F82">
        <w:tab/>
      </w:r>
      <w:r w:rsidRPr="001E6F82">
        <w:tab/>
        <w:t>55</w:t>
      </w:r>
    </w:p>
    <w:p w14:paraId="032986D8" w14:textId="77777777" w:rsidR="002E6C09" w:rsidRPr="001E6F82" w:rsidRDefault="002E6C09" w:rsidP="002E6C09">
      <w:pPr>
        <w:pStyle w:val="NormalBold"/>
      </w:pPr>
      <w:r w:rsidRPr="001E6F82">
        <w:t>Wniosek dotyczący rozporządzenia</w:t>
      </w:r>
    </w:p>
    <w:p w14:paraId="6B26B095" w14:textId="77777777" w:rsidR="002E6C09" w:rsidRPr="001E6F82" w:rsidRDefault="002E6C09" w:rsidP="002E6C09">
      <w:pPr>
        <w:pStyle w:val="NormalBold"/>
      </w:pPr>
      <w:r w:rsidRPr="001E6F82">
        <w:t>Artykuł 1 – akapit 1 – punkt 2 – litera a – podpunkt ii a (nowy)</w:t>
      </w:r>
    </w:p>
    <w:p w14:paraId="4651331A" w14:textId="77777777" w:rsidR="002E6C09" w:rsidRPr="001E6F82" w:rsidRDefault="002E6C09" w:rsidP="002E6C09">
      <w:r w:rsidRPr="001E6F82">
        <w:t>Rozporządzenie (WE) nr 1223/2009</w:t>
      </w:r>
    </w:p>
    <w:p w14:paraId="3422374D" w14:textId="77777777" w:rsidR="002E6C09" w:rsidRPr="001E6F82" w:rsidRDefault="002E6C09" w:rsidP="002E6C09">
      <w:r w:rsidRPr="001E6F82">
        <w:t>Artykuł 15 – ustęp 2 – akapit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915E70F" w14:textId="77777777" w:rsidTr="00844FF8">
        <w:trPr>
          <w:trHeight w:val="240"/>
          <w:jc w:val="center"/>
        </w:trPr>
        <w:tc>
          <w:tcPr>
            <w:tcW w:w="9752" w:type="dxa"/>
            <w:gridSpan w:val="2"/>
            <w:tcBorders>
              <w:top w:val="nil"/>
              <w:left w:val="nil"/>
              <w:bottom w:val="nil"/>
              <w:right w:val="nil"/>
            </w:tcBorders>
          </w:tcPr>
          <w:p w14:paraId="1FB04A0F" w14:textId="77777777" w:rsidR="002E6C09" w:rsidRPr="001E6F82" w:rsidRDefault="002E6C09" w:rsidP="00844FF8"/>
        </w:tc>
      </w:tr>
      <w:tr w:rsidR="002E6C09" w:rsidRPr="001E6F82" w14:paraId="0B6E5D4D" w14:textId="77777777" w:rsidTr="00844FF8">
        <w:trPr>
          <w:trHeight w:val="240"/>
          <w:jc w:val="center"/>
        </w:trPr>
        <w:tc>
          <w:tcPr>
            <w:tcW w:w="4876" w:type="dxa"/>
            <w:tcBorders>
              <w:top w:val="nil"/>
              <w:left w:val="nil"/>
              <w:bottom w:val="nil"/>
              <w:right w:val="nil"/>
            </w:tcBorders>
            <w:hideMark/>
          </w:tcPr>
          <w:p w14:paraId="684DFA78"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28ECD80" w14:textId="77777777" w:rsidR="002E6C09" w:rsidRPr="001E6F82" w:rsidRDefault="002E6C09" w:rsidP="00844FF8">
            <w:pPr>
              <w:pStyle w:val="AmColumnHeading"/>
            </w:pPr>
            <w:r w:rsidRPr="001E6F82">
              <w:t>Poprawka</w:t>
            </w:r>
          </w:p>
        </w:tc>
      </w:tr>
      <w:tr w:rsidR="002E6C09" w:rsidRPr="001E6F82" w14:paraId="60B408C4" w14:textId="77777777" w:rsidTr="00844FF8">
        <w:trPr>
          <w:jc w:val="center"/>
        </w:trPr>
        <w:tc>
          <w:tcPr>
            <w:tcW w:w="4876" w:type="dxa"/>
            <w:tcBorders>
              <w:top w:val="nil"/>
              <w:left w:val="nil"/>
              <w:bottom w:val="nil"/>
              <w:right w:val="nil"/>
            </w:tcBorders>
          </w:tcPr>
          <w:p w14:paraId="23FE167C" w14:textId="77777777" w:rsidR="002E6C09" w:rsidRPr="001E6F82" w:rsidRDefault="002E6C09" w:rsidP="00844FF8">
            <w:pPr>
              <w:pStyle w:val="Normal6a"/>
            </w:pPr>
          </w:p>
        </w:tc>
        <w:tc>
          <w:tcPr>
            <w:tcW w:w="4876" w:type="dxa"/>
            <w:tcBorders>
              <w:top w:val="nil"/>
              <w:left w:val="nil"/>
              <w:bottom w:val="nil"/>
              <w:right w:val="nil"/>
            </w:tcBorders>
            <w:hideMark/>
          </w:tcPr>
          <w:p w14:paraId="65B15FC5" w14:textId="77777777" w:rsidR="002E6C09" w:rsidRPr="001E6F82" w:rsidRDefault="002E6C09" w:rsidP="00844FF8">
            <w:pPr>
              <w:pStyle w:val="Normal6a"/>
            </w:pPr>
            <w:r w:rsidRPr="001E6F82">
              <w:rPr>
                <w:b/>
                <w:i/>
              </w:rPr>
              <w:t>ii a)</w:t>
            </w:r>
            <w:r w:rsidRPr="001E6F82">
              <w:tab/>
            </w:r>
            <w:r w:rsidRPr="001E6F82">
              <w:rPr>
                <w:b/>
                <w:i/>
              </w:rPr>
              <w:t xml:space="preserve">po akapicie trzecim dodaje się </w:t>
            </w:r>
            <w:r w:rsidRPr="001E6F82">
              <w:rPr>
                <w:b/>
                <w:i/>
              </w:rPr>
              <w:lastRenderedPageBreak/>
              <w:t>akapit w brzmieniu:</w:t>
            </w:r>
          </w:p>
        </w:tc>
      </w:tr>
      <w:tr w:rsidR="002E6C09" w:rsidRPr="001E6F82" w14:paraId="56EA4F86" w14:textId="77777777" w:rsidTr="00844FF8">
        <w:trPr>
          <w:jc w:val="center"/>
        </w:trPr>
        <w:tc>
          <w:tcPr>
            <w:tcW w:w="4876" w:type="dxa"/>
            <w:tcBorders>
              <w:top w:val="nil"/>
              <w:left w:val="nil"/>
              <w:bottom w:val="nil"/>
              <w:right w:val="nil"/>
            </w:tcBorders>
          </w:tcPr>
          <w:p w14:paraId="75C13F3C" w14:textId="77777777" w:rsidR="002E6C09" w:rsidRPr="001E6F82" w:rsidRDefault="002E6C09" w:rsidP="00844FF8">
            <w:pPr>
              <w:pStyle w:val="Normal6a"/>
            </w:pPr>
          </w:p>
        </w:tc>
        <w:tc>
          <w:tcPr>
            <w:tcW w:w="4876" w:type="dxa"/>
            <w:tcBorders>
              <w:top w:val="nil"/>
              <w:left w:val="nil"/>
              <w:bottom w:val="nil"/>
              <w:right w:val="nil"/>
            </w:tcBorders>
            <w:hideMark/>
          </w:tcPr>
          <w:p w14:paraId="11A3E08E" w14:textId="77777777" w:rsidR="002E6C09" w:rsidRPr="001E6F82" w:rsidRDefault="002E6C09" w:rsidP="00844FF8">
            <w:pPr>
              <w:pStyle w:val="Normal6a"/>
            </w:pPr>
            <w:r w:rsidRPr="001E6F82">
              <w:rPr>
                <w:b/>
                <w:i/>
              </w:rPr>
              <w:t>„Do celów akapitu drugiego lit. a) oraz akapitu trzeciego Komisja konsultuje się z odpowiednimi zainteresowanymi stronami.”;</w:t>
            </w:r>
          </w:p>
        </w:tc>
      </w:tr>
    </w:tbl>
    <w:p w14:paraId="75F99A66" w14:textId="77777777" w:rsidR="002E6C09" w:rsidRPr="001E6F82" w:rsidRDefault="002E6C09" w:rsidP="002E6C09"/>
    <w:p w14:paraId="03A52947" w14:textId="77777777" w:rsidR="002E6C09" w:rsidRPr="001E6F82" w:rsidRDefault="002E6C09" w:rsidP="002E6C09">
      <w:pPr>
        <w:pStyle w:val="AmNumberTabs"/>
      </w:pPr>
      <w:r w:rsidRPr="001E6F82">
        <w:t>Poprawka</w:t>
      </w:r>
      <w:r w:rsidRPr="001E6F82">
        <w:tab/>
      </w:r>
      <w:r w:rsidRPr="001E6F82">
        <w:tab/>
        <w:t>56</w:t>
      </w:r>
    </w:p>
    <w:p w14:paraId="722D43C2" w14:textId="77777777" w:rsidR="002E6C09" w:rsidRPr="001E6F82" w:rsidRDefault="002E6C09" w:rsidP="002E6C09">
      <w:pPr>
        <w:pStyle w:val="NormalBold"/>
      </w:pPr>
      <w:r w:rsidRPr="001E6F82">
        <w:t>Wniosek dotyczący rozporządzenia</w:t>
      </w:r>
    </w:p>
    <w:p w14:paraId="4D8D67CE" w14:textId="77777777" w:rsidR="002E6C09" w:rsidRPr="001E6F82" w:rsidRDefault="002E6C09" w:rsidP="002E6C09">
      <w:pPr>
        <w:pStyle w:val="NormalBold"/>
      </w:pPr>
      <w:r w:rsidRPr="001E6F82">
        <w:t>Artykuł 1 – akapit 1 – punkt 2 – litera a – podpunkt iii – wprowadzenie</w:t>
      </w:r>
    </w:p>
    <w:p w14:paraId="44D42D44" w14:textId="77777777" w:rsidR="002E6C09" w:rsidRPr="001E6F82" w:rsidRDefault="002E6C09" w:rsidP="002E6C09">
      <w:r w:rsidRPr="001E6F82">
        <w:t>Rozporządzenie (WE) nr 1223/2009</w:t>
      </w:r>
    </w:p>
    <w:p w14:paraId="1AD964F8" w14:textId="77777777" w:rsidR="002E6C09" w:rsidRPr="001E6F82" w:rsidRDefault="002E6C09" w:rsidP="002E6C09">
      <w:r w:rsidRPr="001E6F82">
        <w:t>Artykuł 15 – ustęp 2 – akapit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3F02FF0" w14:textId="77777777" w:rsidTr="00844FF8">
        <w:trPr>
          <w:trHeight w:val="240"/>
          <w:jc w:val="center"/>
        </w:trPr>
        <w:tc>
          <w:tcPr>
            <w:tcW w:w="9752" w:type="dxa"/>
            <w:gridSpan w:val="2"/>
            <w:tcBorders>
              <w:top w:val="nil"/>
              <w:left w:val="nil"/>
              <w:bottom w:val="nil"/>
              <w:right w:val="nil"/>
            </w:tcBorders>
          </w:tcPr>
          <w:p w14:paraId="21033AB7" w14:textId="77777777" w:rsidR="002E6C09" w:rsidRPr="001E6F82" w:rsidRDefault="002E6C09" w:rsidP="00844FF8"/>
        </w:tc>
      </w:tr>
      <w:tr w:rsidR="002E6C09" w:rsidRPr="001E6F82" w14:paraId="30C827EA" w14:textId="77777777" w:rsidTr="00844FF8">
        <w:trPr>
          <w:trHeight w:val="240"/>
          <w:jc w:val="center"/>
        </w:trPr>
        <w:tc>
          <w:tcPr>
            <w:tcW w:w="4876" w:type="dxa"/>
            <w:tcBorders>
              <w:top w:val="nil"/>
              <w:left w:val="nil"/>
              <w:bottom w:val="nil"/>
              <w:right w:val="nil"/>
            </w:tcBorders>
            <w:hideMark/>
          </w:tcPr>
          <w:p w14:paraId="006BB92C"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FAB7C31" w14:textId="77777777" w:rsidR="002E6C09" w:rsidRPr="001E6F82" w:rsidRDefault="002E6C09" w:rsidP="00844FF8">
            <w:pPr>
              <w:pStyle w:val="AmColumnHeading"/>
            </w:pPr>
            <w:r w:rsidRPr="001E6F82">
              <w:t>Poprawka</w:t>
            </w:r>
          </w:p>
        </w:tc>
      </w:tr>
      <w:tr w:rsidR="002E6C09" w:rsidRPr="001E6F82" w14:paraId="640CFE45" w14:textId="77777777" w:rsidTr="00844FF8">
        <w:trPr>
          <w:jc w:val="center"/>
        </w:trPr>
        <w:tc>
          <w:tcPr>
            <w:tcW w:w="4876" w:type="dxa"/>
            <w:tcBorders>
              <w:top w:val="nil"/>
              <w:left w:val="nil"/>
              <w:bottom w:val="nil"/>
              <w:right w:val="nil"/>
            </w:tcBorders>
            <w:hideMark/>
          </w:tcPr>
          <w:p w14:paraId="09AFFF39" w14:textId="77777777" w:rsidR="002E6C09" w:rsidRPr="001E6F82" w:rsidRDefault="002E6C09" w:rsidP="00844FF8">
            <w:pPr>
              <w:pStyle w:val="Normal6a"/>
            </w:pPr>
            <w:r w:rsidRPr="001E6F82">
              <w:t>(iii)</w:t>
            </w:r>
            <w:r w:rsidRPr="001E6F82">
              <w:tab/>
              <w:t xml:space="preserve">po akapicie czwartym dodaje się </w:t>
            </w:r>
            <w:r w:rsidRPr="001E6F82">
              <w:rPr>
                <w:b/>
                <w:i/>
              </w:rPr>
              <w:t>akapit</w:t>
            </w:r>
            <w:r w:rsidRPr="001E6F82">
              <w:t xml:space="preserve"> w brzmieniu:</w:t>
            </w:r>
          </w:p>
        </w:tc>
        <w:tc>
          <w:tcPr>
            <w:tcW w:w="4876" w:type="dxa"/>
            <w:tcBorders>
              <w:top w:val="nil"/>
              <w:left w:val="nil"/>
              <w:bottom w:val="nil"/>
              <w:right w:val="nil"/>
            </w:tcBorders>
            <w:hideMark/>
          </w:tcPr>
          <w:p w14:paraId="3FDEDE90" w14:textId="77777777" w:rsidR="002E6C09" w:rsidRPr="001E6F82" w:rsidRDefault="002E6C09" w:rsidP="00844FF8">
            <w:pPr>
              <w:pStyle w:val="Normal6a"/>
            </w:pPr>
            <w:r w:rsidRPr="001E6F82">
              <w:t>(iii)</w:t>
            </w:r>
            <w:r w:rsidRPr="001E6F82">
              <w:tab/>
              <w:t xml:space="preserve">po akapicie czwartym dodaje się </w:t>
            </w:r>
            <w:r w:rsidRPr="001E6F82">
              <w:rPr>
                <w:b/>
                <w:i/>
              </w:rPr>
              <w:t>akapity</w:t>
            </w:r>
            <w:r w:rsidRPr="001E6F82">
              <w:t xml:space="preserve"> w brzmieniu:</w:t>
            </w:r>
          </w:p>
        </w:tc>
      </w:tr>
    </w:tbl>
    <w:p w14:paraId="6183939A" w14:textId="77777777" w:rsidR="002E6C09" w:rsidRPr="001E6F82" w:rsidRDefault="002E6C09" w:rsidP="002E6C09"/>
    <w:p w14:paraId="0FC2626D" w14:textId="77777777" w:rsidR="002E6C09" w:rsidRPr="001E6F82" w:rsidRDefault="002E6C09" w:rsidP="002E6C09">
      <w:pPr>
        <w:pStyle w:val="AmNumberTabs"/>
      </w:pPr>
      <w:r w:rsidRPr="001E6F82">
        <w:t>Poprawka</w:t>
      </w:r>
      <w:r w:rsidRPr="001E6F82">
        <w:tab/>
      </w:r>
      <w:r w:rsidRPr="001E6F82">
        <w:tab/>
        <w:t>57</w:t>
      </w:r>
    </w:p>
    <w:p w14:paraId="2F469D28" w14:textId="77777777" w:rsidR="002E6C09" w:rsidRPr="001E6F82" w:rsidRDefault="002E6C09" w:rsidP="002E6C09">
      <w:pPr>
        <w:pStyle w:val="NormalBold"/>
      </w:pPr>
      <w:r w:rsidRPr="001E6F82">
        <w:t>Wniosek dotyczący rozporządzenia</w:t>
      </w:r>
    </w:p>
    <w:p w14:paraId="4307CBCB" w14:textId="77777777" w:rsidR="002E6C09" w:rsidRPr="001E6F82" w:rsidRDefault="002E6C09" w:rsidP="002E6C09">
      <w:pPr>
        <w:pStyle w:val="NormalBold"/>
      </w:pPr>
      <w:r w:rsidRPr="001E6F82">
        <w:t>Artykuł 1 – akapit 1 – punkt 2 – litera a – podpunkt iii</w:t>
      </w:r>
    </w:p>
    <w:p w14:paraId="1D21F06F" w14:textId="77777777" w:rsidR="002E6C09" w:rsidRPr="001E6F82" w:rsidRDefault="002E6C09" w:rsidP="002E6C09">
      <w:r w:rsidRPr="001E6F82">
        <w:t>Rozporządzenie (WE) nr 1223/2009</w:t>
      </w:r>
    </w:p>
    <w:p w14:paraId="3A1182F4" w14:textId="77777777" w:rsidR="002E6C09" w:rsidRPr="001E6F82" w:rsidRDefault="002E6C09" w:rsidP="002E6C09">
      <w:r w:rsidRPr="001E6F82">
        <w:t>Artykuł 15 – ustęp 2 – akapit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3DE3BFC" w14:textId="77777777" w:rsidTr="00844FF8">
        <w:trPr>
          <w:trHeight w:val="240"/>
          <w:jc w:val="center"/>
        </w:trPr>
        <w:tc>
          <w:tcPr>
            <w:tcW w:w="9752" w:type="dxa"/>
            <w:gridSpan w:val="2"/>
            <w:tcBorders>
              <w:top w:val="nil"/>
              <w:left w:val="nil"/>
              <w:bottom w:val="nil"/>
              <w:right w:val="nil"/>
            </w:tcBorders>
          </w:tcPr>
          <w:p w14:paraId="4CD9A00F" w14:textId="77777777" w:rsidR="002E6C09" w:rsidRPr="001E6F82" w:rsidRDefault="002E6C09" w:rsidP="00844FF8"/>
        </w:tc>
      </w:tr>
      <w:tr w:rsidR="002E6C09" w:rsidRPr="001E6F82" w14:paraId="3CFF7158" w14:textId="77777777" w:rsidTr="00844FF8">
        <w:trPr>
          <w:trHeight w:val="240"/>
          <w:jc w:val="center"/>
        </w:trPr>
        <w:tc>
          <w:tcPr>
            <w:tcW w:w="4876" w:type="dxa"/>
            <w:tcBorders>
              <w:top w:val="nil"/>
              <w:left w:val="nil"/>
              <w:bottom w:val="nil"/>
              <w:right w:val="nil"/>
            </w:tcBorders>
            <w:hideMark/>
          </w:tcPr>
          <w:p w14:paraId="0FB018E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1B80E09" w14:textId="77777777" w:rsidR="002E6C09" w:rsidRPr="001E6F82" w:rsidRDefault="002E6C09" w:rsidP="00844FF8">
            <w:pPr>
              <w:pStyle w:val="AmColumnHeading"/>
            </w:pPr>
            <w:r w:rsidRPr="001E6F82">
              <w:t>Poprawka</w:t>
            </w:r>
          </w:p>
        </w:tc>
      </w:tr>
      <w:tr w:rsidR="002E6C09" w:rsidRPr="001E6F82" w14:paraId="756FC608" w14:textId="77777777" w:rsidTr="00844FF8">
        <w:trPr>
          <w:jc w:val="center"/>
        </w:trPr>
        <w:tc>
          <w:tcPr>
            <w:tcW w:w="4876" w:type="dxa"/>
            <w:tcBorders>
              <w:top w:val="nil"/>
              <w:left w:val="nil"/>
              <w:bottom w:val="nil"/>
              <w:right w:val="nil"/>
            </w:tcBorders>
            <w:hideMark/>
          </w:tcPr>
          <w:p w14:paraId="2EAC2366" w14:textId="77777777" w:rsidR="002E6C09" w:rsidRPr="001E6F82" w:rsidRDefault="002E6C09" w:rsidP="00844FF8">
            <w:pPr>
              <w:pStyle w:val="Normal6a"/>
            </w:pPr>
            <w:r w:rsidRPr="001E6F82">
              <w:t xml:space="preserve">„Termin określony w akapicie czwartym niniejszego ustępu rozpoczyna bieg w dniu </w:t>
            </w:r>
            <w:r w:rsidRPr="001E6F82">
              <w:rPr>
                <w:b/>
                <w:i/>
              </w:rPr>
              <w:t>rozpoczęcia stosowania</w:t>
            </w:r>
            <w:r w:rsidRPr="001E6F82">
              <w:t xml:space="preserve"> odpowiednich zmian w części 3 załącznika VI do rozporządzenia (WE) nr 1272/2008 klasyfikujących daną substancję jako substancję CMR kategorii 1A lub 1B.”;</w:t>
            </w:r>
          </w:p>
        </w:tc>
        <w:tc>
          <w:tcPr>
            <w:tcW w:w="4876" w:type="dxa"/>
            <w:tcBorders>
              <w:top w:val="nil"/>
              <w:left w:val="nil"/>
              <w:bottom w:val="nil"/>
              <w:right w:val="nil"/>
            </w:tcBorders>
            <w:hideMark/>
          </w:tcPr>
          <w:p w14:paraId="1CD6BF26" w14:textId="77777777" w:rsidR="002E6C09" w:rsidRPr="001E6F82" w:rsidRDefault="002E6C09" w:rsidP="00844FF8">
            <w:pPr>
              <w:pStyle w:val="Normal6a"/>
            </w:pPr>
            <w:r w:rsidRPr="001E6F82">
              <w:t xml:space="preserve">„Termin określony w akapicie czwartym niniejszego ustępu rozpoczyna bieg w dniu </w:t>
            </w:r>
            <w:r w:rsidRPr="001E6F82">
              <w:rPr>
                <w:b/>
                <w:i/>
              </w:rPr>
              <w:t>wejścia w życie</w:t>
            </w:r>
            <w:r w:rsidRPr="001E6F82">
              <w:t xml:space="preserve"> odpowiednich zmian w części 3 załącznika VI do rozporządzenia (WE) nr 1272/2008 klasyfikujących daną substancję jako substancję CMR kategorii 1A lub 1B.”;</w:t>
            </w:r>
          </w:p>
        </w:tc>
      </w:tr>
    </w:tbl>
    <w:p w14:paraId="5C0D07B5" w14:textId="77777777" w:rsidR="002E6C09" w:rsidRPr="001E6F82" w:rsidRDefault="002E6C09" w:rsidP="002E6C09"/>
    <w:p w14:paraId="7AED8CAF" w14:textId="77777777" w:rsidR="002E6C09" w:rsidRPr="001E6F82" w:rsidRDefault="002E6C09" w:rsidP="002E6C09">
      <w:pPr>
        <w:pStyle w:val="AmNumberTabs"/>
      </w:pPr>
      <w:r w:rsidRPr="001E6F82">
        <w:t>Poprawka</w:t>
      </w:r>
      <w:r w:rsidRPr="001E6F82">
        <w:tab/>
      </w:r>
      <w:r w:rsidRPr="001E6F82">
        <w:tab/>
        <w:t>58</w:t>
      </w:r>
    </w:p>
    <w:p w14:paraId="063AFEED" w14:textId="77777777" w:rsidR="002E6C09" w:rsidRPr="001E6F82" w:rsidRDefault="002E6C09" w:rsidP="002E6C09">
      <w:pPr>
        <w:pStyle w:val="NormalBold"/>
      </w:pPr>
      <w:r w:rsidRPr="001E6F82">
        <w:t>Wniosek dotyczący rozporządzenia</w:t>
      </w:r>
    </w:p>
    <w:p w14:paraId="20528C90" w14:textId="77777777" w:rsidR="002E6C09" w:rsidRPr="001E6F82" w:rsidRDefault="002E6C09" w:rsidP="002E6C09">
      <w:pPr>
        <w:pStyle w:val="NormalBold"/>
      </w:pPr>
      <w:r w:rsidRPr="001E6F82">
        <w:t>Artykuł 1 – akapit 1 – punkt 2 – litera a</w:t>
      </w:r>
    </w:p>
    <w:p w14:paraId="19E72836" w14:textId="77777777" w:rsidR="002E6C09" w:rsidRPr="001E6F82" w:rsidRDefault="002E6C09" w:rsidP="002E6C09">
      <w:r w:rsidRPr="001E6F82">
        <w:t>Rozporządzenie (WE) nr 1223/2009</w:t>
      </w:r>
    </w:p>
    <w:p w14:paraId="53FE666C" w14:textId="77777777" w:rsidR="002E6C09" w:rsidRPr="001E6F82" w:rsidRDefault="002E6C09" w:rsidP="002E6C09">
      <w:r w:rsidRPr="001E6F82">
        <w:t>Artykuł 15 – ustęp 2 – akapit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5BB3A83" w14:textId="77777777" w:rsidTr="00844FF8">
        <w:trPr>
          <w:trHeight w:val="240"/>
          <w:jc w:val="center"/>
        </w:trPr>
        <w:tc>
          <w:tcPr>
            <w:tcW w:w="9752" w:type="dxa"/>
            <w:gridSpan w:val="2"/>
            <w:tcBorders>
              <w:top w:val="nil"/>
              <w:left w:val="nil"/>
              <w:bottom w:val="nil"/>
              <w:right w:val="nil"/>
            </w:tcBorders>
          </w:tcPr>
          <w:p w14:paraId="61AC3006" w14:textId="77777777" w:rsidR="002E6C09" w:rsidRPr="001E6F82" w:rsidRDefault="002E6C09" w:rsidP="00844FF8"/>
        </w:tc>
      </w:tr>
      <w:tr w:rsidR="002E6C09" w:rsidRPr="001E6F82" w14:paraId="6E33F015" w14:textId="77777777" w:rsidTr="00844FF8">
        <w:trPr>
          <w:trHeight w:val="240"/>
          <w:jc w:val="center"/>
        </w:trPr>
        <w:tc>
          <w:tcPr>
            <w:tcW w:w="4876" w:type="dxa"/>
            <w:tcBorders>
              <w:top w:val="nil"/>
              <w:left w:val="nil"/>
              <w:bottom w:val="nil"/>
              <w:right w:val="nil"/>
            </w:tcBorders>
            <w:hideMark/>
          </w:tcPr>
          <w:p w14:paraId="1AC06F6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37DDA7E" w14:textId="77777777" w:rsidR="002E6C09" w:rsidRPr="001E6F82" w:rsidRDefault="002E6C09" w:rsidP="00844FF8">
            <w:pPr>
              <w:pStyle w:val="AmColumnHeading"/>
            </w:pPr>
            <w:r w:rsidRPr="001E6F82">
              <w:t>Poprawka</w:t>
            </w:r>
          </w:p>
        </w:tc>
      </w:tr>
      <w:tr w:rsidR="002E6C09" w:rsidRPr="001E6F82" w14:paraId="3013BE3B" w14:textId="77777777" w:rsidTr="00844FF8">
        <w:trPr>
          <w:jc w:val="center"/>
        </w:trPr>
        <w:tc>
          <w:tcPr>
            <w:tcW w:w="4876" w:type="dxa"/>
            <w:tcBorders>
              <w:top w:val="nil"/>
              <w:left w:val="nil"/>
              <w:bottom w:val="nil"/>
              <w:right w:val="nil"/>
            </w:tcBorders>
          </w:tcPr>
          <w:p w14:paraId="598E4D70" w14:textId="77777777" w:rsidR="002E6C09" w:rsidRPr="001E6F82" w:rsidRDefault="002E6C09" w:rsidP="00844FF8">
            <w:pPr>
              <w:pStyle w:val="Normal6a"/>
            </w:pPr>
          </w:p>
        </w:tc>
        <w:tc>
          <w:tcPr>
            <w:tcW w:w="4876" w:type="dxa"/>
            <w:tcBorders>
              <w:top w:val="nil"/>
              <w:left w:val="nil"/>
              <w:bottom w:val="nil"/>
              <w:right w:val="nil"/>
            </w:tcBorders>
            <w:hideMark/>
          </w:tcPr>
          <w:p w14:paraId="433DAC9C" w14:textId="77777777" w:rsidR="002E6C09" w:rsidRPr="001E6F82" w:rsidRDefault="002E6C09" w:rsidP="00844FF8">
            <w:pPr>
              <w:pStyle w:val="Normal6a"/>
            </w:pPr>
            <w:r w:rsidRPr="001E6F82">
              <w:rPr>
                <w:b/>
                <w:i/>
              </w:rPr>
              <w:t>5a.</w:t>
            </w:r>
            <w:r w:rsidRPr="001E6F82">
              <w:tab/>
            </w:r>
            <w:r w:rsidRPr="001E6F82">
              <w:rPr>
                <w:b/>
                <w:i/>
              </w:rPr>
              <w:t>Jeżeli w odniesieniu do substancji CMR kategorii 1A lub 1B został złożony wniosek o odstępstwo, o którym mowa w ust. 2 akapit drugi, termin przedłuża się o dwanaście miesięcy.</w:t>
            </w:r>
          </w:p>
        </w:tc>
      </w:tr>
    </w:tbl>
    <w:p w14:paraId="0075A3F2" w14:textId="77777777" w:rsidR="002E6C09" w:rsidRPr="001E6F82" w:rsidRDefault="002E6C09" w:rsidP="002E6C09"/>
    <w:p w14:paraId="3C1F2B78" w14:textId="77777777" w:rsidR="002E6C09" w:rsidRPr="001E6F82" w:rsidRDefault="002E6C09" w:rsidP="002E6C09">
      <w:pPr>
        <w:pStyle w:val="AmNumberTabs"/>
      </w:pPr>
      <w:r w:rsidRPr="001E6F82">
        <w:t>Poprawka</w:t>
      </w:r>
      <w:r w:rsidRPr="001E6F82">
        <w:tab/>
      </w:r>
      <w:r w:rsidRPr="001E6F82">
        <w:tab/>
        <w:t>59</w:t>
      </w:r>
    </w:p>
    <w:p w14:paraId="12D3690C" w14:textId="77777777" w:rsidR="002E6C09" w:rsidRPr="001E6F82" w:rsidRDefault="002E6C09" w:rsidP="002E6C09">
      <w:pPr>
        <w:pStyle w:val="NormalBold"/>
      </w:pPr>
      <w:r w:rsidRPr="001E6F82">
        <w:t>Wniosek dotyczący rozporządzenia</w:t>
      </w:r>
    </w:p>
    <w:p w14:paraId="5371B71E" w14:textId="77777777" w:rsidR="002E6C09" w:rsidRPr="001E6F82" w:rsidRDefault="002E6C09" w:rsidP="002E6C09">
      <w:pPr>
        <w:pStyle w:val="NormalBold"/>
      </w:pPr>
      <w:r w:rsidRPr="001E6F82">
        <w:t>Artykuł 1 – akapit 1 – punkt 2 – litera b</w:t>
      </w:r>
    </w:p>
    <w:p w14:paraId="4C8AD7DC" w14:textId="77777777" w:rsidR="002E6C09" w:rsidRPr="001E6F82" w:rsidRDefault="002E6C09" w:rsidP="002E6C09">
      <w:r w:rsidRPr="001E6F82">
        <w:t>Rozporządzenie (WE) nr 1223/2009</w:t>
      </w:r>
    </w:p>
    <w:p w14:paraId="0587E439" w14:textId="77777777" w:rsidR="002E6C09" w:rsidRPr="001E6F82" w:rsidRDefault="002E6C09" w:rsidP="002E6C09">
      <w:r w:rsidRPr="001E6F82">
        <w:t>Artykuł 15 – ustęp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07B4171" w14:textId="77777777" w:rsidTr="00844FF8">
        <w:trPr>
          <w:trHeight w:val="240"/>
          <w:jc w:val="center"/>
        </w:trPr>
        <w:tc>
          <w:tcPr>
            <w:tcW w:w="9752" w:type="dxa"/>
            <w:gridSpan w:val="2"/>
            <w:tcBorders>
              <w:top w:val="nil"/>
              <w:left w:val="nil"/>
              <w:bottom w:val="nil"/>
              <w:right w:val="nil"/>
            </w:tcBorders>
          </w:tcPr>
          <w:p w14:paraId="494B1541" w14:textId="77777777" w:rsidR="002E6C09" w:rsidRPr="001E6F82" w:rsidRDefault="002E6C09" w:rsidP="00844FF8"/>
        </w:tc>
      </w:tr>
      <w:tr w:rsidR="002E6C09" w:rsidRPr="001E6F82" w14:paraId="00118E47" w14:textId="77777777" w:rsidTr="00844FF8">
        <w:trPr>
          <w:trHeight w:val="240"/>
          <w:jc w:val="center"/>
        </w:trPr>
        <w:tc>
          <w:tcPr>
            <w:tcW w:w="4876" w:type="dxa"/>
            <w:tcBorders>
              <w:top w:val="nil"/>
              <w:left w:val="nil"/>
              <w:bottom w:val="nil"/>
              <w:right w:val="nil"/>
            </w:tcBorders>
            <w:hideMark/>
          </w:tcPr>
          <w:p w14:paraId="738A7C4A"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2CF26D5" w14:textId="77777777" w:rsidR="002E6C09" w:rsidRPr="001E6F82" w:rsidRDefault="002E6C09" w:rsidP="00844FF8">
            <w:pPr>
              <w:pStyle w:val="AmColumnHeading"/>
            </w:pPr>
            <w:r w:rsidRPr="001E6F82">
              <w:t>Poprawka</w:t>
            </w:r>
          </w:p>
        </w:tc>
      </w:tr>
      <w:tr w:rsidR="002E6C09" w:rsidRPr="001E6F82" w14:paraId="2F043BF3" w14:textId="77777777" w:rsidTr="00844FF8">
        <w:trPr>
          <w:jc w:val="center"/>
        </w:trPr>
        <w:tc>
          <w:tcPr>
            <w:tcW w:w="4876" w:type="dxa"/>
            <w:tcBorders>
              <w:top w:val="nil"/>
              <w:left w:val="nil"/>
              <w:bottom w:val="nil"/>
              <w:right w:val="nil"/>
            </w:tcBorders>
            <w:hideMark/>
          </w:tcPr>
          <w:p w14:paraId="3C8BE58D" w14:textId="77777777" w:rsidR="002E6C09" w:rsidRPr="001E6F82" w:rsidRDefault="002E6C09" w:rsidP="00844FF8">
            <w:pPr>
              <w:pStyle w:val="Normal6a"/>
            </w:pPr>
            <w:r w:rsidRPr="001E6F82">
              <w:rPr>
                <w:b/>
                <w:i/>
              </w:rPr>
              <w:t>5.</w:t>
            </w:r>
            <w:r w:rsidRPr="001E6F82">
              <w:tab/>
            </w:r>
            <w:r w:rsidRPr="001E6F82">
              <w:rPr>
                <w:b/>
                <w:i/>
              </w:rPr>
              <w:t>Zakaz, o którym mowa w ust. 1 i 2 niniejszego artykułu, nie ma zastosowania do substancji, w przypadku której narażenie drogą pokarmową lub przez drogi oddechowe zostało wyraźnie wskazane w kolumnie „Kody zwrotów wskazujących rodzaj zagrożenia” w części 3 załącznika VI do rozporządzenia (WE) nr 1272/2008 do celów zharmonizowanej klasyfikacji jako CMR. Jeżeli produkty kosmetyczne zawierające taką substancję mogą stwarzać zagrożenie dla zdrowia ludzkiego w razie przypadkowego spożycia lub wdychania, Komisja bez zbędnej zwłoki zwraca się o opinię SCCS w sprawie bezpieczeństwa stosowania danej substancji w tych konkretnych rodzajach produktów.</w:t>
            </w:r>
          </w:p>
        </w:tc>
        <w:tc>
          <w:tcPr>
            <w:tcW w:w="4876" w:type="dxa"/>
            <w:tcBorders>
              <w:top w:val="nil"/>
              <w:left w:val="nil"/>
              <w:bottom w:val="nil"/>
              <w:right w:val="nil"/>
            </w:tcBorders>
            <w:hideMark/>
          </w:tcPr>
          <w:p w14:paraId="5DF22F0F" w14:textId="77777777" w:rsidR="002E6C09" w:rsidRPr="001E6F82" w:rsidRDefault="002E6C09" w:rsidP="00844FF8">
            <w:pPr>
              <w:pStyle w:val="Normal6a"/>
            </w:pPr>
            <w:r w:rsidRPr="001E6F82">
              <w:rPr>
                <w:b/>
                <w:i/>
              </w:rPr>
              <w:t>skreśla się</w:t>
            </w:r>
          </w:p>
        </w:tc>
      </w:tr>
    </w:tbl>
    <w:p w14:paraId="507CA986" w14:textId="77777777" w:rsidR="002E6C09" w:rsidRPr="001E6F82" w:rsidRDefault="002E6C09" w:rsidP="002E6C09"/>
    <w:p w14:paraId="5980681F" w14:textId="77777777" w:rsidR="002E6C09" w:rsidRPr="001E6F82" w:rsidRDefault="002E6C09" w:rsidP="002E6C09">
      <w:pPr>
        <w:pStyle w:val="AmNumberTabs"/>
      </w:pPr>
      <w:r w:rsidRPr="001E6F82">
        <w:t>Poprawka</w:t>
      </w:r>
      <w:r w:rsidRPr="001E6F82">
        <w:tab/>
      </w:r>
      <w:r w:rsidRPr="001E6F82">
        <w:tab/>
        <w:t>60</w:t>
      </w:r>
    </w:p>
    <w:p w14:paraId="2E27636D" w14:textId="77777777" w:rsidR="002E6C09" w:rsidRPr="001E6F82" w:rsidRDefault="002E6C09" w:rsidP="002E6C09">
      <w:pPr>
        <w:pStyle w:val="NormalBold"/>
      </w:pPr>
      <w:r w:rsidRPr="001E6F82">
        <w:t>Wniosek dotyczący rozporządzenia</w:t>
      </w:r>
    </w:p>
    <w:p w14:paraId="381E113C" w14:textId="77777777" w:rsidR="002E6C09" w:rsidRPr="001E6F82" w:rsidRDefault="002E6C09" w:rsidP="002E6C09">
      <w:pPr>
        <w:pStyle w:val="NormalBold"/>
      </w:pPr>
      <w:r w:rsidRPr="001E6F82">
        <w:t>Artykuł 1 – akapit 1 – punkt 2 – litera b</w:t>
      </w:r>
    </w:p>
    <w:p w14:paraId="7487ECF5" w14:textId="77777777" w:rsidR="002E6C09" w:rsidRPr="001E6F82" w:rsidRDefault="002E6C09" w:rsidP="002E6C09">
      <w:r w:rsidRPr="001E6F82">
        <w:t>Rozporządzenie (WE) nr 1223/2009</w:t>
      </w:r>
    </w:p>
    <w:p w14:paraId="1D9A5BC2" w14:textId="77777777" w:rsidR="002E6C09" w:rsidRPr="001E6F82" w:rsidRDefault="002E6C09" w:rsidP="002E6C09">
      <w:r w:rsidRPr="001E6F82">
        <w:t>Artykuł 15 – ustęp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4A06A73" w14:textId="77777777" w:rsidTr="00844FF8">
        <w:trPr>
          <w:trHeight w:val="240"/>
          <w:jc w:val="center"/>
        </w:trPr>
        <w:tc>
          <w:tcPr>
            <w:tcW w:w="9752" w:type="dxa"/>
            <w:gridSpan w:val="2"/>
            <w:tcBorders>
              <w:top w:val="nil"/>
              <w:left w:val="nil"/>
              <w:bottom w:val="nil"/>
              <w:right w:val="nil"/>
            </w:tcBorders>
          </w:tcPr>
          <w:p w14:paraId="45BED28E" w14:textId="77777777" w:rsidR="002E6C09" w:rsidRPr="001E6F82" w:rsidRDefault="002E6C09" w:rsidP="00844FF8"/>
        </w:tc>
      </w:tr>
      <w:tr w:rsidR="002E6C09" w:rsidRPr="001E6F82" w14:paraId="7D336A17" w14:textId="77777777" w:rsidTr="00844FF8">
        <w:trPr>
          <w:trHeight w:val="240"/>
          <w:jc w:val="center"/>
        </w:trPr>
        <w:tc>
          <w:tcPr>
            <w:tcW w:w="4876" w:type="dxa"/>
            <w:tcBorders>
              <w:top w:val="nil"/>
              <w:left w:val="nil"/>
              <w:bottom w:val="nil"/>
              <w:right w:val="nil"/>
            </w:tcBorders>
            <w:hideMark/>
          </w:tcPr>
          <w:p w14:paraId="5920A7F3"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4D7FDE0" w14:textId="77777777" w:rsidR="002E6C09" w:rsidRPr="001E6F82" w:rsidRDefault="002E6C09" w:rsidP="00844FF8">
            <w:pPr>
              <w:pStyle w:val="AmColumnHeading"/>
            </w:pPr>
            <w:r w:rsidRPr="001E6F82">
              <w:t>Poprawka</w:t>
            </w:r>
          </w:p>
        </w:tc>
      </w:tr>
      <w:tr w:rsidR="002E6C09" w:rsidRPr="001E6F82" w14:paraId="225F13A0" w14:textId="77777777" w:rsidTr="00844FF8">
        <w:trPr>
          <w:jc w:val="center"/>
        </w:trPr>
        <w:tc>
          <w:tcPr>
            <w:tcW w:w="4876" w:type="dxa"/>
            <w:tcBorders>
              <w:top w:val="nil"/>
              <w:left w:val="nil"/>
              <w:bottom w:val="nil"/>
              <w:right w:val="nil"/>
            </w:tcBorders>
            <w:hideMark/>
          </w:tcPr>
          <w:p w14:paraId="3879EDE4" w14:textId="77777777" w:rsidR="002E6C09" w:rsidRPr="001E6F82" w:rsidRDefault="002E6C09" w:rsidP="00844FF8">
            <w:pPr>
              <w:pStyle w:val="Normal6a"/>
            </w:pPr>
            <w:r w:rsidRPr="001E6F82">
              <w:t>6.</w:t>
            </w:r>
            <w:r w:rsidRPr="001E6F82">
              <w:tab/>
              <w:t xml:space="preserve">Zakaz, o którym mowa w ust. 1 i 2 niniejszego artykułu, nie ma zastosowania do substancji wyekstrahowanych z roślin lub części roślin i zawierających więcej niż jeden składnik, które są substancjami niezmodyfikowanymi chemicznie zdefiniowanymi w art. 3 pkt 40 rozporządzenia (WE) nr 1907/2006, których co najmniej jeden składnik został sklasyfikowany jako substancja CMR kategorii 1A, 1B lub 2 zgodnie z częścią 3 załącznika VI do rozporządzenia (WE) nr </w:t>
            </w:r>
            <w:r w:rsidRPr="001E6F82">
              <w:lastRenderedPageBreak/>
              <w:t xml:space="preserve">1272/2008. Jeżeli </w:t>
            </w:r>
            <w:r w:rsidRPr="001E6F82">
              <w:rPr>
                <w:b/>
                <w:i/>
              </w:rPr>
              <w:t>stosowanie takiej substancji</w:t>
            </w:r>
            <w:r w:rsidRPr="001E6F82">
              <w:t xml:space="preserve"> w produktach kosmetycznych </w:t>
            </w:r>
            <w:r w:rsidRPr="001E6F82">
              <w:rPr>
                <w:b/>
                <w:i/>
              </w:rPr>
              <w:t>może stwarzać</w:t>
            </w:r>
            <w:r w:rsidRPr="001E6F82">
              <w:t xml:space="preserve"> zagrożenie dla zdrowia ludzkiego, Komisja bez zbędnej zwłoki </w:t>
            </w:r>
            <w:r w:rsidRPr="001E6F82">
              <w:rPr>
                <w:b/>
                <w:i/>
              </w:rPr>
              <w:t>zasięga opinii</w:t>
            </w:r>
            <w:r w:rsidRPr="001E6F82">
              <w:t xml:space="preserve"> SCCS na temat bezpieczeństwa </w:t>
            </w:r>
            <w:r w:rsidRPr="001E6F82">
              <w:rPr>
                <w:b/>
                <w:i/>
              </w:rPr>
              <w:t>tej substancji</w:t>
            </w:r>
            <w:r w:rsidRPr="001E6F82">
              <w:t xml:space="preserve"> w odniesieniu do </w:t>
            </w:r>
            <w:r w:rsidRPr="001E6F82">
              <w:rPr>
                <w:b/>
                <w:i/>
              </w:rPr>
              <w:t>jej</w:t>
            </w:r>
            <w:r w:rsidRPr="001E6F82">
              <w:t xml:space="preserve"> stosowania w produktach kosmetycznych.</w:t>
            </w:r>
          </w:p>
        </w:tc>
        <w:tc>
          <w:tcPr>
            <w:tcW w:w="4876" w:type="dxa"/>
            <w:tcBorders>
              <w:top w:val="nil"/>
              <w:left w:val="nil"/>
              <w:bottom w:val="nil"/>
              <w:right w:val="nil"/>
            </w:tcBorders>
            <w:hideMark/>
          </w:tcPr>
          <w:p w14:paraId="38A80F48" w14:textId="77777777" w:rsidR="002E6C09" w:rsidRPr="001E6F82" w:rsidRDefault="002E6C09" w:rsidP="00844FF8">
            <w:pPr>
              <w:pStyle w:val="Normal6a"/>
            </w:pPr>
            <w:r w:rsidRPr="001E6F82">
              <w:lastRenderedPageBreak/>
              <w:t>6.</w:t>
            </w:r>
            <w:r w:rsidRPr="001E6F82">
              <w:tab/>
              <w:t xml:space="preserve">Zakaz, o którym mowa w ust. 1 i 2 niniejszego artykułu, nie ma zastosowania do substancji wyekstrahowanych z roślin lub części roślin i zawierających więcej niż jeden składnik, które są substancjami niezmodyfikowanymi chemicznie zdefiniowanymi w art. 3 pkt 40 rozporządzenia (WE) nr 1907/2006, których co najmniej jeden składnik został sklasyfikowany jako substancja CMR kategorii 1A, 1B lub 2 zgodnie z częścią 3 załącznika VI do rozporządzenia (WE) nr </w:t>
            </w:r>
            <w:r w:rsidRPr="001E6F82">
              <w:lastRenderedPageBreak/>
              <w:t xml:space="preserve">1272/2008. </w:t>
            </w:r>
            <w:r w:rsidRPr="001E6F82">
              <w:rPr>
                <w:b/>
                <w:i/>
              </w:rPr>
              <w:t>Jeżeli obecność składnika sklasyfikowanego jako CMR kategorii 1A, 1B lub 2 w takich substancjach w produktach kosmetycznych stwarza zagrożenie dla zdrowia ludzkiego, Komisja bez zbędnej zwłoki zwraca się do SCCS o opinię w sprawie bezpieczeństwa tego składnika w odniesieniu do jego obecności w produktach kosmetycznych. SCCS wydaje taką opinię w terminie 12 miesięcy od otrzymania wniosku Komisji. Komisja może przedłużyć termin o sześć miesięcy, jeżeli wymagane są dodatkowe dowody. SCCS wydaje ostateczną opinię w terminie sześciu miesięcy od podania dodatkowych danych. Opinię SCCS podaje się do wiadomości publicznej. Uwzględniając opinię SCCS i jeżeli istnieje potencjalne ryzyko dla zdrowia ludzkiego wynikające ze</w:t>
            </w:r>
            <w:r w:rsidRPr="001E6F82">
              <w:t xml:space="preserve"> stosowania w produktach kosmetycznych </w:t>
            </w:r>
            <w:r w:rsidRPr="001E6F82">
              <w:rPr>
                <w:b/>
                <w:i/>
              </w:rPr>
              <w:t>substancji, o której mowa w akapicie pierwszym, która zawiera składnik sklasyfikowany jako substancja CMR kategorii 1A, 1B lub 2, Komisja bez zbędnej zwłoki wprowadza zmiany w załącznikach do rozporządzenia.</w:t>
            </w:r>
            <w:r w:rsidRPr="001E6F82">
              <w:t xml:space="preserve"> </w:t>
            </w:r>
            <w:r w:rsidRPr="001E6F82">
              <w:rPr>
                <w:b/>
                <w:i/>
              </w:rPr>
              <w:t xml:space="preserve">Do celów niniejszego ustępu termin »rośliny« oznacza żywe lub martwe organizmy należące do królestwa </w:t>
            </w:r>
            <w:proofErr w:type="spellStart"/>
            <w:r w:rsidRPr="001E6F82">
              <w:rPr>
                <w:b/>
                <w:i/>
              </w:rPr>
              <w:t>Plantae</w:t>
            </w:r>
            <w:proofErr w:type="spellEnd"/>
            <w:r w:rsidRPr="001E6F82">
              <w:rPr>
                <w:b/>
                <w:i/>
              </w:rPr>
              <w:t xml:space="preserve"> i </w:t>
            </w:r>
            <w:proofErr w:type="spellStart"/>
            <w:r w:rsidRPr="001E6F82">
              <w:rPr>
                <w:b/>
                <w:i/>
              </w:rPr>
              <w:t>Fungi</w:t>
            </w:r>
            <w:proofErr w:type="spellEnd"/>
            <w:r w:rsidRPr="001E6F82">
              <w:rPr>
                <w:b/>
                <w:i/>
              </w:rPr>
              <w:t xml:space="preserve"> i obejmuje algi, porosty i drożdże.</w:t>
            </w:r>
          </w:p>
        </w:tc>
      </w:tr>
    </w:tbl>
    <w:p w14:paraId="3480AC21" w14:textId="77777777" w:rsidR="002E6C09" w:rsidRPr="001E6F82" w:rsidRDefault="002E6C09" w:rsidP="002E6C09"/>
    <w:p w14:paraId="47584102" w14:textId="77777777" w:rsidR="002E6C09" w:rsidRPr="001E6F82" w:rsidRDefault="002E6C09" w:rsidP="002E6C09">
      <w:pPr>
        <w:pStyle w:val="AmNumberTabs"/>
      </w:pPr>
      <w:r w:rsidRPr="001E6F82">
        <w:t>Poprawka</w:t>
      </w:r>
      <w:r w:rsidRPr="001E6F82">
        <w:tab/>
      </w:r>
      <w:r w:rsidRPr="001E6F82">
        <w:tab/>
        <w:t>61</w:t>
      </w:r>
    </w:p>
    <w:p w14:paraId="1FC2CD75" w14:textId="77777777" w:rsidR="002E6C09" w:rsidRPr="001E6F82" w:rsidRDefault="002E6C09" w:rsidP="002E6C09">
      <w:pPr>
        <w:pStyle w:val="NormalBold"/>
      </w:pPr>
      <w:r w:rsidRPr="001E6F82">
        <w:t>Wniosek dotyczący rozporządzenia</w:t>
      </w:r>
    </w:p>
    <w:p w14:paraId="0F50D248" w14:textId="77777777" w:rsidR="002E6C09" w:rsidRPr="001E6F82" w:rsidRDefault="002E6C09" w:rsidP="002E6C09">
      <w:pPr>
        <w:pStyle w:val="NormalBold"/>
      </w:pPr>
      <w:r w:rsidRPr="001E6F82">
        <w:t>Artykuł 1 – akapit 1 – punkt 2 – litera b</w:t>
      </w:r>
    </w:p>
    <w:p w14:paraId="2A9FC04A" w14:textId="77777777" w:rsidR="002E6C09" w:rsidRPr="001E6F82" w:rsidRDefault="002E6C09" w:rsidP="002E6C09">
      <w:r w:rsidRPr="001E6F82">
        <w:t>Rozporządzenie (WE) nr 1223/2009</w:t>
      </w:r>
    </w:p>
    <w:p w14:paraId="4DA0B032" w14:textId="77777777" w:rsidR="002E6C09" w:rsidRPr="001E6F82" w:rsidRDefault="002E6C09" w:rsidP="002E6C09">
      <w:r w:rsidRPr="001E6F82">
        <w:t>Artykuł 15 – ustęp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E91FDE4" w14:textId="77777777" w:rsidTr="00844FF8">
        <w:trPr>
          <w:trHeight w:val="240"/>
          <w:jc w:val="center"/>
        </w:trPr>
        <w:tc>
          <w:tcPr>
            <w:tcW w:w="9752" w:type="dxa"/>
            <w:gridSpan w:val="2"/>
            <w:tcBorders>
              <w:top w:val="nil"/>
              <w:left w:val="nil"/>
              <w:bottom w:val="nil"/>
              <w:right w:val="nil"/>
            </w:tcBorders>
          </w:tcPr>
          <w:p w14:paraId="28945BC9" w14:textId="77777777" w:rsidR="002E6C09" w:rsidRPr="001E6F82" w:rsidRDefault="002E6C09" w:rsidP="00844FF8"/>
        </w:tc>
      </w:tr>
      <w:tr w:rsidR="002E6C09" w:rsidRPr="001E6F82" w14:paraId="58D997EE" w14:textId="77777777" w:rsidTr="00844FF8">
        <w:trPr>
          <w:trHeight w:val="240"/>
          <w:jc w:val="center"/>
        </w:trPr>
        <w:tc>
          <w:tcPr>
            <w:tcW w:w="4876" w:type="dxa"/>
            <w:tcBorders>
              <w:top w:val="nil"/>
              <w:left w:val="nil"/>
              <w:bottom w:val="nil"/>
              <w:right w:val="nil"/>
            </w:tcBorders>
            <w:hideMark/>
          </w:tcPr>
          <w:p w14:paraId="21C605CC"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4D92126" w14:textId="77777777" w:rsidR="002E6C09" w:rsidRPr="001E6F82" w:rsidRDefault="002E6C09" w:rsidP="00844FF8">
            <w:pPr>
              <w:pStyle w:val="AmColumnHeading"/>
            </w:pPr>
            <w:r w:rsidRPr="001E6F82">
              <w:t>Poprawka</w:t>
            </w:r>
          </w:p>
        </w:tc>
      </w:tr>
      <w:tr w:rsidR="002E6C09" w:rsidRPr="001E6F82" w14:paraId="01FCB831" w14:textId="77777777" w:rsidTr="00844FF8">
        <w:trPr>
          <w:jc w:val="center"/>
        </w:trPr>
        <w:tc>
          <w:tcPr>
            <w:tcW w:w="4876" w:type="dxa"/>
            <w:tcBorders>
              <w:top w:val="nil"/>
              <w:left w:val="nil"/>
              <w:bottom w:val="nil"/>
              <w:right w:val="nil"/>
            </w:tcBorders>
            <w:hideMark/>
          </w:tcPr>
          <w:p w14:paraId="2EA6593B" w14:textId="77777777" w:rsidR="002E6C09" w:rsidRPr="001E6F82" w:rsidRDefault="002E6C09" w:rsidP="00844FF8">
            <w:pPr>
              <w:pStyle w:val="Normal6a"/>
            </w:pPr>
            <w:r w:rsidRPr="001E6F82">
              <w:t>7.</w:t>
            </w:r>
            <w:r w:rsidRPr="001E6F82">
              <w:tab/>
              <w:t xml:space="preserve">Produkty kosmetyczne zawierające substancję sklasyfikowaną jako substancja CMR kategorii 1A, 1B lub 2, zgodnie z częścią 3 załącznika VI do rozporządzenia (WE) nr 1272/2008, której stosowanie w produktach kosmetycznych jest zakazane, lub substancję niespełniającą wymogów określonych w ograniczeniach dotyczących jej stosowania, mogą być nadal wprowadzane do obrotu przez </w:t>
            </w:r>
            <w:r w:rsidRPr="001E6F82">
              <w:rPr>
                <w:b/>
                <w:i/>
              </w:rPr>
              <w:t>12</w:t>
            </w:r>
            <w:r w:rsidRPr="001E6F82">
              <w:t xml:space="preserve"> miesięcy </w:t>
            </w:r>
            <w:r w:rsidRPr="001E6F82">
              <w:lastRenderedPageBreak/>
              <w:t>i udostępniane na rynku przez 24 miesiące po wejściu w życie odpowiednich zmian w załącznikach do niniejszego rozporządzenia.</w:t>
            </w:r>
            <w:r w:rsidRPr="001E6F82">
              <w:rPr>
                <w:b/>
                <w:i/>
              </w:rPr>
              <w:t>”</w:t>
            </w:r>
          </w:p>
        </w:tc>
        <w:tc>
          <w:tcPr>
            <w:tcW w:w="4876" w:type="dxa"/>
            <w:tcBorders>
              <w:top w:val="nil"/>
              <w:left w:val="nil"/>
              <w:bottom w:val="nil"/>
              <w:right w:val="nil"/>
            </w:tcBorders>
            <w:hideMark/>
          </w:tcPr>
          <w:p w14:paraId="3EBA091F" w14:textId="77777777" w:rsidR="002E6C09" w:rsidRPr="001E6F82" w:rsidRDefault="002E6C09" w:rsidP="00844FF8">
            <w:pPr>
              <w:pStyle w:val="Normal6a"/>
            </w:pPr>
            <w:r w:rsidRPr="001E6F82">
              <w:lastRenderedPageBreak/>
              <w:t>7.</w:t>
            </w:r>
            <w:r w:rsidRPr="001E6F82">
              <w:tab/>
            </w:r>
            <w:r w:rsidRPr="001E6F82">
              <w:rPr>
                <w:b/>
                <w:i/>
              </w:rPr>
              <w:t xml:space="preserve">Produkty kosmetyczne zawierające substancję sklasyfikowaną jako substancja CMR kategorii 1A, 1B lub 2 zgodnie z częścią 3 załącznika VI do rozporządzenia (WE) nr 1272/2008, której stosowanie w produktach kosmetycznych jest zakazane i w odniesieniu do której nie złożono wniosku o odstępstwo na podstawie ust. 2, lub substancję niespełniającą wymogów określonych w </w:t>
            </w:r>
            <w:r w:rsidRPr="001E6F82">
              <w:rPr>
                <w:b/>
                <w:i/>
              </w:rPr>
              <w:lastRenderedPageBreak/>
              <w:t>ograniczeniach dotyczących jej stosowania, mogą być nadal wprowadzane do obrotu przez 6 miesięcy i udostępniane na rynku przez 15 miesięcy po wejściu w życie odpowiednich zmian w załącznikach do rozporządzenia. Produkty kosmetyczne zawierające substancję sklasyfikowaną jako substancja CMR kategorii 1A, 1B lub 2 zgodnie z częścią 3 załącznika VI do rozporządzenia (WE) nr 1272/2008, której stosowanie w produktach kosmetycznych jest zakazane, i w odniesieniu do której złożono wniosek o odstępstwo na podstawie ust. 2, który został odrzucony ze względów bezpieczeństwa przez SCCS, lub substancję niespełniającą wymogów określonych w ograniczeniach dotyczących jej stosowania, mogą być nadal wprowadzane do obrotu przez 3 miesiące i udostępniane na rynku przez 12 miesięcy po wejściu w życie odpowiednich zmian w załącznikach do rozporządzenia.</w:t>
            </w:r>
            <w:r w:rsidRPr="001E6F82">
              <w:t xml:space="preserve"> </w:t>
            </w:r>
            <w:r w:rsidRPr="001E6F82">
              <w:rPr>
                <w:b/>
                <w:i/>
              </w:rPr>
              <w:t>Produkty kosmetyczne zawierające substancję sklasyfikowaną jako substancja CMR kategorii 1A, 1B lub 2 zgodnie z częścią 3 załącznika VI do rozporządzenia (WE) nr 1272/2008, której stosowanie w produktach kosmetycznych jest zakazane, lub substancję niespełniającą wymogów określonych w ograniczeniach dotyczących jej stosowania i w odniesieniu do której złożono wniosek o odstępstwo na podstawie ust. 2, który odrzucono ze względu na dostępność substancji alternatywnej, mogą być nadal wprowadzane do obrotu przez</w:t>
            </w:r>
            <w:r w:rsidRPr="001E6F82">
              <w:t xml:space="preserve"> 24 miesiące </w:t>
            </w:r>
            <w:r w:rsidRPr="001E6F82">
              <w:rPr>
                <w:b/>
                <w:i/>
              </w:rPr>
              <w:t>i udostępniane na rynku przez 48 miesięcy</w:t>
            </w:r>
            <w:r w:rsidRPr="001E6F82">
              <w:t xml:space="preserve"> po wejściu w życie odpowiednich zmian w załącznikach do niniejszego rozporządzenia, jeżeli </w:t>
            </w:r>
            <w:r w:rsidRPr="001E6F82">
              <w:rPr>
                <w:b/>
                <w:i/>
              </w:rPr>
              <w:t>pozostaje dostępny ważny, a w razie potrzeby zaktualizowany, raport bezpieczeństwa produktu kosmetycznego (CPSR)</w:t>
            </w:r>
            <w:r w:rsidRPr="001E6F82">
              <w:t>.</w:t>
            </w:r>
          </w:p>
        </w:tc>
      </w:tr>
    </w:tbl>
    <w:p w14:paraId="5732DFAE" w14:textId="77777777" w:rsidR="002E6C09" w:rsidRPr="001E6F82" w:rsidRDefault="002E6C09" w:rsidP="002E6C09"/>
    <w:p w14:paraId="55BBF2AC" w14:textId="77777777" w:rsidR="002E6C09" w:rsidRPr="001E6F82" w:rsidRDefault="002E6C09" w:rsidP="002E6C09">
      <w:pPr>
        <w:pStyle w:val="AmNumberTabs"/>
      </w:pPr>
      <w:r w:rsidRPr="001E6F82">
        <w:t>Poprawka</w:t>
      </w:r>
      <w:r w:rsidRPr="001E6F82">
        <w:tab/>
      </w:r>
      <w:r w:rsidRPr="001E6F82">
        <w:tab/>
        <w:t>62</w:t>
      </w:r>
    </w:p>
    <w:p w14:paraId="2659A6DF" w14:textId="77777777" w:rsidR="002E6C09" w:rsidRPr="001E6F82" w:rsidRDefault="002E6C09" w:rsidP="002E6C09">
      <w:pPr>
        <w:pStyle w:val="NormalBold"/>
      </w:pPr>
      <w:r w:rsidRPr="001E6F82">
        <w:t>Wniosek dotyczący rozporządzenia</w:t>
      </w:r>
    </w:p>
    <w:p w14:paraId="5863928D" w14:textId="77777777" w:rsidR="002E6C09" w:rsidRPr="001E6F82" w:rsidRDefault="002E6C09" w:rsidP="002E6C09">
      <w:pPr>
        <w:pStyle w:val="NormalBold"/>
      </w:pPr>
      <w:r w:rsidRPr="001E6F82">
        <w:t>Artykuł 2 – akapit 1 – punkt 3</w:t>
      </w:r>
    </w:p>
    <w:p w14:paraId="7EFA0762" w14:textId="77777777" w:rsidR="002E6C09" w:rsidRPr="001E6F82" w:rsidRDefault="002E6C09" w:rsidP="002E6C09">
      <w:r w:rsidRPr="001E6F82">
        <w:t>Rozporządzenie (WE) nr 1223/2009</w:t>
      </w:r>
    </w:p>
    <w:p w14:paraId="58FA2479" w14:textId="77777777" w:rsidR="002E6C09" w:rsidRPr="001E6F82" w:rsidRDefault="002E6C09" w:rsidP="002E6C09">
      <w:r w:rsidRPr="001E6F82">
        <w:lastRenderedPageBreak/>
        <w:t>Artykuł 16 – ustęp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7746B11" w14:textId="77777777" w:rsidTr="00844FF8">
        <w:trPr>
          <w:trHeight w:val="240"/>
          <w:jc w:val="center"/>
        </w:trPr>
        <w:tc>
          <w:tcPr>
            <w:tcW w:w="9752" w:type="dxa"/>
            <w:gridSpan w:val="2"/>
            <w:tcBorders>
              <w:top w:val="nil"/>
              <w:left w:val="nil"/>
              <w:bottom w:val="nil"/>
              <w:right w:val="nil"/>
            </w:tcBorders>
          </w:tcPr>
          <w:p w14:paraId="0F562920" w14:textId="77777777" w:rsidR="002E6C09" w:rsidRPr="001E6F82" w:rsidRDefault="002E6C09" w:rsidP="00844FF8"/>
        </w:tc>
      </w:tr>
      <w:tr w:rsidR="002E6C09" w:rsidRPr="001E6F82" w14:paraId="05D182D7" w14:textId="77777777" w:rsidTr="00844FF8">
        <w:trPr>
          <w:trHeight w:val="240"/>
          <w:jc w:val="center"/>
        </w:trPr>
        <w:tc>
          <w:tcPr>
            <w:tcW w:w="4876" w:type="dxa"/>
            <w:tcBorders>
              <w:top w:val="nil"/>
              <w:left w:val="nil"/>
              <w:bottom w:val="nil"/>
              <w:right w:val="nil"/>
            </w:tcBorders>
            <w:hideMark/>
          </w:tcPr>
          <w:p w14:paraId="483C5F1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4F18CF32" w14:textId="77777777" w:rsidR="002E6C09" w:rsidRPr="001E6F82" w:rsidRDefault="002E6C09" w:rsidP="00844FF8">
            <w:pPr>
              <w:pStyle w:val="AmColumnHeading"/>
            </w:pPr>
            <w:r w:rsidRPr="001E6F82">
              <w:t>Poprawka</w:t>
            </w:r>
          </w:p>
        </w:tc>
      </w:tr>
      <w:tr w:rsidR="002E6C09" w:rsidRPr="001E6F82" w14:paraId="5E329484" w14:textId="77777777" w:rsidTr="00844FF8">
        <w:trPr>
          <w:jc w:val="center"/>
        </w:trPr>
        <w:tc>
          <w:tcPr>
            <w:tcW w:w="4876" w:type="dxa"/>
            <w:tcBorders>
              <w:top w:val="nil"/>
              <w:left w:val="nil"/>
              <w:bottom w:val="nil"/>
              <w:right w:val="nil"/>
            </w:tcBorders>
            <w:hideMark/>
          </w:tcPr>
          <w:p w14:paraId="51952522" w14:textId="77777777" w:rsidR="002E6C09" w:rsidRPr="001E6F82" w:rsidRDefault="002E6C09" w:rsidP="00844FF8">
            <w:pPr>
              <w:pStyle w:val="Normal6a"/>
            </w:pPr>
            <w:r w:rsidRPr="001E6F82">
              <w:t>3)</w:t>
            </w:r>
            <w:r w:rsidRPr="001E6F82">
              <w:tab/>
              <w:t xml:space="preserve">w art. 16 </w:t>
            </w:r>
            <w:r w:rsidRPr="001E6F82">
              <w:rPr>
                <w:b/>
                <w:i/>
              </w:rPr>
              <w:t>uchyla się ust</w:t>
            </w:r>
            <w:r w:rsidRPr="001E6F82">
              <w:t xml:space="preserve">. </w:t>
            </w:r>
            <w:r w:rsidRPr="001E6F82">
              <w:rPr>
                <w:b/>
                <w:i/>
              </w:rPr>
              <w:t>3</w:t>
            </w:r>
            <w:r w:rsidRPr="001E6F82">
              <w:t xml:space="preserve"> i </w:t>
            </w:r>
            <w:r w:rsidRPr="001E6F82">
              <w:rPr>
                <w:b/>
                <w:i/>
              </w:rPr>
              <w:t>7;</w:t>
            </w:r>
          </w:p>
        </w:tc>
        <w:tc>
          <w:tcPr>
            <w:tcW w:w="4876" w:type="dxa"/>
            <w:tcBorders>
              <w:top w:val="nil"/>
              <w:left w:val="nil"/>
              <w:bottom w:val="nil"/>
              <w:right w:val="nil"/>
            </w:tcBorders>
            <w:hideMark/>
          </w:tcPr>
          <w:p w14:paraId="61BE5793" w14:textId="77777777" w:rsidR="002E6C09" w:rsidRPr="001E6F82" w:rsidRDefault="002E6C09" w:rsidP="00844FF8">
            <w:pPr>
              <w:pStyle w:val="Normal6a"/>
            </w:pPr>
            <w:r w:rsidRPr="001E6F82">
              <w:t>3)</w:t>
            </w:r>
            <w:r w:rsidRPr="001E6F82">
              <w:tab/>
              <w:t xml:space="preserve">w art. 16 </w:t>
            </w:r>
            <w:r w:rsidRPr="001E6F82">
              <w:rPr>
                <w:b/>
                <w:i/>
              </w:rPr>
              <w:t>ust. 3 otrzymuje brzmienie:</w:t>
            </w:r>
          </w:p>
        </w:tc>
      </w:tr>
      <w:tr w:rsidR="002E6C09" w:rsidRPr="001E6F82" w14:paraId="19E99A83" w14:textId="77777777" w:rsidTr="00844FF8">
        <w:trPr>
          <w:jc w:val="center"/>
        </w:trPr>
        <w:tc>
          <w:tcPr>
            <w:tcW w:w="4876" w:type="dxa"/>
            <w:tcBorders>
              <w:top w:val="nil"/>
              <w:left w:val="nil"/>
              <w:bottom w:val="nil"/>
              <w:right w:val="nil"/>
            </w:tcBorders>
          </w:tcPr>
          <w:p w14:paraId="55787E4B" w14:textId="77777777" w:rsidR="002E6C09" w:rsidRPr="001E6F82" w:rsidRDefault="002E6C09" w:rsidP="00844FF8">
            <w:pPr>
              <w:pStyle w:val="Normal6a"/>
            </w:pPr>
          </w:p>
        </w:tc>
        <w:tc>
          <w:tcPr>
            <w:tcW w:w="4876" w:type="dxa"/>
            <w:tcBorders>
              <w:top w:val="nil"/>
              <w:left w:val="nil"/>
              <w:bottom w:val="nil"/>
              <w:right w:val="nil"/>
            </w:tcBorders>
            <w:hideMark/>
          </w:tcPr>
          <w:p w14:paraId="0A91E422" w14:textId="77777777" w:rsidR="002E6C09" w:rsidRPr="001E6F82" w:rsidRDefault="002E6C09" w:rsidP="00844FF8">
            <w:pPr>
              <w:pStyle w:val="Normal6a"/>
            </w:pPr>
            <w:r w:rsidRPr="001E6F82">
              <w:rPr>
                <w:b/>
                <w:i/>
              </w:rPr>
              <w:t>3. W uzupełnieniu do zgłoszenia zgodnie z art. 13 produkty kosmetyczne zawierające nanomateriały są zgłaszane Komisji drogą elektroniczną przez osobę odpowiedzialną przed wprowadzeniem ich do obrotu. Akapity pierwsze nie mają zastosowania w przypadku produktów kosmetycznych zawierających nanomateriały, które są zgodne z wymaganiami określonymi w załączniku III. Informacje zgłaszane Komisji muszą zawierać co najmniej:</w:t>
            </w:r>
          </w:p>
        </w:tc>
      </w:tr>
      <w:tr w:rsidR="002E6C09" w:rsidRPr="001E6F82" w14:paraId="1E2CBC59" w14:textId="77777777" w:rsidTr="00844FF8">
        <w:trPr>
          <w:jc w:val="center"/>
        </w:trPr>
        <w:tc>
          <w:tcPr>
            <w:tcW w:w="4876" w:type="dxa"/>
            <w:tcBorders>
              <w:top w:val="nil"/>
              <w:left w:val="nil"/>
              <w:bottom w:val="nil"/>
              <w:right w:val="nil"/>
            </w:tcBorders>
          </w:tcPr>
          <w:p w14:paraId="31D942DF" w14:textId="77777777" w:rsidR="002E6C09" w:rsidRPr="001E6F82" w:rsidRDefault="002E6C09" w:rsidP="00844FF8">
            <w:pPr>
              <w:pStyle w:val="Normal6a"/>
            </w:pPr>
          </w:p>
        </w:tc>
        <w:tc>
          <w:tcPr>
            <w:tcW w:w="4876" w:type="dxa"/>
            <w:tcBorders>
              <w:top w:val="nil"/>
              <w:left w:val="nil"/>
              <w:bottom w:val="nil"/>
              <w:right w:val="nil"/>
            </w:tcBorders>
            <w:hideMark/>
          </w:tcPr>
          <w:p w14:paraId="76E73016" w14:textId="77777777" w:rsidR="002E6C09" w:rsidRPr="001E6F82" w:rsidRDefault="002E6C09" w:rsidP="00844FF8">
            <w:pPr>
              <w:pStyle w:val="Normal6a"/>
            </w:pPr>
            <w:r w:rsidRPr="001E6F82">
              <w:rPr>
                <w:b/>
                <w:i/>
              </w:rPr>
              <w:t>a) identyfikację nanomateriału, w tym nazwę chemiczną (wg nomenklatury IUPAC) i inne oznaczenia określone w pkt 2 preambuły do załączników II–VI, oraz</w:t>
            </w:r>
          </w:p>
        </w:tc>
      </w:tr>
      <w:tr w:rsidR="002E6C09" w:rsidRPr="001E6F82" w14:paraId="4A2902DF" w14:textId="77777777" w:rsidTr="00844FF8">
        <w:trPr>
          <w:jc w:val="center"/>
        </w:trPr>
        <w:tc>
          <w:tcPr>
            <w:tcW w:w="4876" w:type="dxa"/>
            <w:tcBorders>
              <w:top w:val="nil"/>
              <w:left w:val="nil"/>
              <w:bottom w:val="nil"/>
              <w:right w:val="nil"/>
            </w:tcBorders>
          </w:tcPr>
          <w:p w14:paraId="35425BA7" w14:textId="77777777" w:rsidR="002E6C09" w:rsidRPr="001E6F82" w:rsidRDefault="002E6C09" w:rsidP="00844FF8">
            <w:pPr>
              <w:pStyle w:val="Normal6a"/>
            </w:pPr>
          </w:p>
        </w:tc>
        <w:tc>
          <w:tcPr>
            <w:tcW w:w="4876" w:type="dxa"/>
            <w:tcBorders>
              <w:top w:val="nil"/>
              <w:left w:val="nil"/>
              <w:bottom w:val="nil"/>
              <w:right w:val="nil"/>
            </w:tcBorders>
            <w:hideMark/>
          </w:tcPr>
          <w:p w14:paraId="4DC2EDC8" w14:textId="77777777" w:rsidR="002E6C09" w:rsidRPr="001E6F82" w:rsidRDefault="002E6C09" w:rsidP="00844FF8">
            <w:pPr>
              <w:pStyle w:val="Normal6a"/>
            </w:pPr>
            <w:r w:rsidRPr="001E6F82">
              <w:rPr>
                <w:b/>
                <w:i/>
              </w:rPr>
              <w:t>b) specyfikację nanomateriału, w tym wielkość cząsteczek oraz właściwości fizyczne i chemiczne.</w:t>
            </w:r>
          </w:p>
        </w:tc>
      </w:tr>
      <w:tr w:rsidR="002E6C09" w:rsidRPr="001E6F82" w14:paraId="53A3CC58" w14:textId="77777777" w:rsidTr="00844FF8">
        <w:trPr>
          <w:jc w:val="center"/>
        </w:trPr>
        <w:tc>
          <w:tcPr>
            <w:tcW w:w="4876" w:type="dxa"/>
            <w:tcBorders>
              <w:top w:val="nil"/>
              <w:left w:val="nil"/>
              <w:bottom w:val="nil"/>
              <w:right w:val="nil"/>
            </w:tcBorders>
          </w:tcPr>
          <w:p w14:paraId="22601076" w14:textId="77777777" w:rsidR="002E6C09" w:rsidRPr="001E6F82" w:rsidRDefault="002E6C09" w:rsidP="00844FF8">
            <w:pPr>
              <w:pStyle w:val="Normal6a"/>
            </w:pPr>
          </w:p>
        </w:tc>
        <w:tc>
          <w:tcPr>
            <w:tcW w:w="4876" w:type="dxa"/>
            <w:tcBorders>
              <w:top w:val="nil"/>
              <w:left w:val="nil"/>
              <w:bottom w:val="nil"/>
              <w:right w:val="nil"/>
            </w:tcBorders>
            <w:hideMark/>
          </w:tcPr>
          <w:p w14:paraId="5A644479" w14:textId="77777777" w:rsidR="002E6C09" w:rsidRPr="001E6F82" w:rsidRDefault="002E6C09" w:rsidP="00844FF8">
            <w:pPr>
              <w:pStyle w:val="Normal6a"/>
            </w:pPr>
            <w:r w:rsidRPr="001E6F82">
              <w:rPr>
                <w:b/>
                <w:i/>
              </w:rPr>
              <w:t>Osoba odpowiedzialna może wyznaczyć inną osobę prawną lub fizyczną, pisemnie upoważniając ją do zgłoszenia nanomateriałów, i powiadamia o tym Komisję. Komisja nadaje numer porządkowy, który można podać zamiast informacji, które należy zgłosić, jeżeli ten sam nanomateriał jest stosowany w różnych produktach.</w:t>
            </w:r>
          </w:p>
        </w:tc>
      </w:tr>
    </w:tbl>
    <w:p w14:paraId="4DE32582" w14:textId="77777777" w:rsidR="002E6C09" w:rsidRPr="001E6F82" w:rsidRDefault="002E6C09" w:rsidP="002E6C09"/>
    <w:p w14:paraId="1E22C864" w14:textId="77777777" w:rsidR="002E6C09" w:rsidRPr="001E6F82" w:rsidRDefault="002E6C09" w:rsidP="002E6C09">
      <w:pPr>
        <w:pStyle w:val="AmNumberTabs"/>
      </w:pPr>
      <w:r w:rsidRPr="001E6F82">
        <w:t>Poprawka</w:t>
      </w:r>
      <w:r w:rsidRPr="001E6F82">
        <w:tab/>
      </w:r>
      <w:r w:rsidRPr="001E6F82">
        <w:tab/>
        <w:t>63</w:t>
      </w:r>
    </w:p>
    <w:p w14:paraId="376E67D7" w14:textId="77777777" w:rsidR="002E6C09" w:rsidRPr="001E6F82" w:rsidRDefault="002E6C09" w:rsidP="002E6C09">
      <w:pPr>
        <w:pStyle w:val="NormalBold"/>
      </w:pPr>
      <w:r w:rsidRPr="001E6F82">
        <w:t>Wniosek dotyczący rozporządzenia</w:t>
      </w:r>
    </w:p>
    <w:p w14:paraId="21926FD6" w14:textId="77777777" w:rsidR="002E6C09" w:rsidRPr="001E6F82" w:rsidRDefault="002E6C09" w:rsidP="002E6C09">
      <w:pPr>
        <w:pStyle w:val="NormalBold"/>
      </w:pPr>
      <w:r w:rsidRPr="001E6F82">
        <w:t>Artykuł 1 – akapit 1 – punkt 4 a (nowy)</w:t>
      </w:r>
    </w:p>
    <w:p w14:paraId="09D91839" w14:textId="77777777" w:rsidR="002E6C09" w:rsidRPr="001E6F82" w:rsidRDefault="002E6C09" w:rsidP="002E6C09">
      <w:r w:rsidRPr="001E6F82">
        <w:t>Rozporządzenie (WE) nr 1223/2009</w:t>
      </w:r>
    </w:p>
    <w:p w14:paraId="6882EE03" w14:textId="77777777" w:rsidR="002E6C09" w:rsidRPr="001E6F82" w:rsidRDefault="002E6C09" w:rsidP="002E6C09">
      <w:r w:rsidRPr="001E6F82">
        <w:t>Artykuł 19 – ustęp 6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387E74B2" w14:textId="77777777" w:rsidTr="00844FF8">
        <w:trPr>
          <w:trHeight w:val="240"/>
          <w:jc w:val="center"/>
        </w:trPr>
        <w:tc>
          <w:tcPr>
            <w:tcW w:w="9752" w:type="dxa"/>
            <w:gridSpan w:val="2"/>
            <w:tcBorders>
              <w:top w:val="nil"/>
              <w:left w:val="nil"/>
              <w:bottom w:val="nil"/>
              <w:right w:val="nil"/>
            </w:tcBorders>
          </w:tcPr>
          <w:p w14:paraId="01F1E8D9" w14:textId="77777777" w:rsidR="002E6C09" w:rsidRPr="001E6F82" w:rsidRDefault="002E6C09" w:rsidP="00844FF8"/>
        </w:tc>
      </w:tr>
      <w:tr w:rsidR="002E6C09" w:rsidRPr="001E6F82" w14:paraId="3E3E5E03" w14:textId="77777777" w:rsidTr="00844FF8">
        <w:trPr>
          <w:trHeight w:val="240"/>
          <w:jc w:val="center"/>
        </w:trPr>
        <w:tc>
          <w:tcPr>
            <w:tcW w:w="4876" w:type="dxa"/>
            <w:tcBorders>
              <w:top w:val="nil"/>
              <w:left w:val="nil"/>
              <w:bottom w:val="nil"/>
              <w:right w:val="nil"/>
            </w:tcBorders>
            <w:hideMark/>
          </w:tcPr>
          <w:p w14:paraId="664F9C6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73097DB" w14:textId="77777777" w:rsidR="002E6C09" w:rsidRPr="001E6F82" w:rsidRDefault="002E6C09" w:rsidP="00844FF8">
            <w:pPr>
              <w:pStyle w:val="AmColumnHeading"/>
            </w:pPr>
            <w:r w:rsidRPr="001E6F82">
              <w:t>Poprawka</w:t>
            </w:r>
          </w:p>
        </w:tc>
      </w:tr>
      <w:tr w:rsidR="002E6C09" w:rsidRPr="001E6F82" w14:paraId="02CAAE75" w14:textId="77777777" w:rsidTr="00844FF8">
        <w:trPr>
          <w:jc w:val="center"/>
        </w:trPr>
        <w:tc>
          <w:tcPr>
            <w:tcW w:w="4876" w:type="dxa"/>
            <w:tcBorders>
              <w:top w:val="nil"/>
              <w:left w:val="nil"/>
              <w:bottom w:val="nil"/>
              <w:right w:val="nil"/>
            </w:tcBorders>
          </w:tcPr>
          <w:p w14:paraId="79A96E6E" w14:textId="77777777" w:rsidR="002E6C09" w:rsidRPr="001E6F82" w:rsidRDefault="002E6C09" w:rsidP="00844FF8">
            <w:pPr>
              <w:pStyle w:val="Normal6a"/>
            </w:pPr>
          </w:p>
        </w:tc>
        <w:tc>
          <w:tcPr>
            <w:tcW w:w="4876" w:type="dxa"/>
            <w:tcBorders>
              <w:top w:val="nil"/>
              <w:left w:val="nil"/>
              <w:bottom w:val="nil"/>
              <w:right w:val="nil"/>
            </w:tcBorders>
            <w:hideMark/>
          </w:tcPr>
          <w:p w14:paraId="73FE6DE4" w14:textId="77777777" w:rsidR="002E6C09" w:rsidRPr="001E6F82" w:rsidRDefault="002E6C09" w:rsidP="00844FF8">
            <w:pPr>
              <w:pStyle w:val="Normal6a"/>
            </w:pPr>
            <w:r w:rsidRPr="001E6F82">
              <w:rPr>
                <w:b/>
                <w:i/>
              </w:rPr>
              <w:t>4a)</w:t>
            </w:r>
            <w:r w:rsidRPr="001E6F82">
              <w:tab/>
            </w:r>
            <w:r w:rsidRPr="001E6F82">
              <w:rPr>
                <w:b/>
                <w:i/>
              </w:rPr>
              <w:t>w art. 19 dodaje się ustęp w brzmieniu:</w:t>
            </w:r>
          </w:p>
        </w:tc>
      </w:tr>
      <w:tr w:rsidR="002E6C09" w:rsidRPr="001E6F82" w14:paraId="784D9640" w14:textId="77777777" w:rsidTr="00844FF8">
        <w:trPr>
          <w:jc w:val="center"/>
        </w:trPr>
        <w:tc>
          <w:tcPr>
            <w:tcW w:w="4876" w:type="dxa"/>
            <w:tcBorders>
              <w:top w:val="nil"/>
              <w:left w:val="nil"/>
              <w:bottom w:val="nil"/>
              <w:right w:val="nil"/>
            </w:tcBorders>
          </w:tcPr>
          <w:p w14:paraId="34935DE6" w14:textId="77777777" w:rsidR="002E6C09" w:rsidRPr="001E6F82" w:rsidRDefault="002E6C09" w:rsidP="00844FF8">
            <w:pPr>
              <w:pStyle w:val="Normal6a"/>
            </w:pPr>
          </w:p>
        </w:tc>
        <w:tc>
          <w:tcPr>
            <w:tcW w:w="4876" w:type="dxa"/>
            <w:tcBorders>
              <w:top w:val="nil"/>
              <w:left w:val="nil"/>
              <w:bottom w:val="nil"/>
              <w:right w:val="nil"/>
            </w:tcBorders>
            <w:hideMark/>
          </w:tcPr>
          <w:p w14:paraId="14861E85" w14:textId="77777777" w:rsidR="002E6C09" w:rsidRPr="001E6F82" w:rsidRDefault="002E6C09" w:rsidP="00844FF8">
            <w:pPr>
              <w:pStyle w:val="Normal6a"/>
            </w:pPr>
            <w:r w:rsidRPr="001E6F82">
              <w:rPr>
                <w:b/>
                <w:i/>
              </w:rPr>
              <w:t xml:space="preserve">„6a. W przypadku udostępniania produktów kosmetycznych na rynku w </w:t>
            </w:r>
            <w:r w:rsidRPr="001E6F82">
              <w:rPr>
                <w:b/>
                <w:i/>
              </w:rPr>
              <w:lastRenderedPageBreak/>
              <w:t>drodze sprzedaży na odległość w ofercie wyraźnie i w widocznym miejscu wskazuje się informacje, o których mowa w ust. 1.”;</w:t>
            </w:r>
          </w:p>
        </w:tc>
      </w:tr>
    </w:tbl>
    <w:p w14:paraId="538A0F75" w14:textId="77777777" w:rsidR="002E6C09" w:rsidRPr="001E6F82" w:rsidRDefault="002E6C09" w:rsidP="002E6C09"/>
    <w:p w14:paraId="727FDF3B" w14:textId="77777777" w:rsidR="002E6C09" w:rsidRPr="001E6F82" w:rsidRDefault="002E6C09" w:rsidP="002E6C09">
      <w:pPr>
        <w:pStyle w:val="AmNumberTabs"/>
      </w:pPr>
      <w:r w:rsidRPr="001E6F82">
        <w:t>Poprawka</w:t>
      </w:r>
      <w:r w:rsidRPr="001E6F82">
        <w:tab/>
      </w:r>
      <w:r w:rsidRPr="001E6F82">
        <w:tab/>
        <w:t>64</w:t>
      </w:r>
    </w:p>
    <w:p w14:paraId="2EA3D192" w14:textId="77777777" w:rsidR="002E6C09" w:rsidRPr="001E6F82" w:rsidRDefault="002E6C09" w:rsidP="002E6C09">
      <w:pPr>
        <w:pStyle w:val="NormalBold"/>
      </w:pPr>
      <w:r w:rsidRPr="001E6F82">
        <w:t>Wniosek dotyczący rozporządzenia</w:t>
      </w:r>
    </w:p>
    <w:p w14:paraId="5DABA0AF" w14:textId="77777777" w:rsidR="002E6C09" w:rsidRPr="001E6F82" w:rsidRDefault="002E6C09" w:rsidP="002E6C09">
      <w:pPr>
        <w:pStyle w:val="NormalBold"/>
      </w:pPr>
      <w:r w:rsidRPr="001E6F82">
        <w:t>Artykuł 2 – akapit 1 – punkt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803C407" w14:textId="77777777" w:rsidTr="00844FF8">
        <w:trPr>
          <w:trHeight w:val="240"/>
          <w:jc w:val="center"/>
        </w:trPr>
        <w:tc>
          <w:tcPr>
            <w:tcW w:w="9752" w:type="dxa"/>
            <w:gridSpan w:val="2"/>
            <w:tcBorders>
              <w:top w:val="nil"/>
              <w:left w:val="nil"/>
              <w:bottom w:val="nil"/>
              <w:right w:val="nil"/>
            </w:tcBorders>
          </w:tcPr>
          <w:p w14:paraId="1C4040D4" w14:textId="77777777" w:rsidR="002E6C09" w:rsidRPr="001E6F82" w:rsidRDefault="002E6C09" w:rsidP="00844FF8"/>
        </w:tc>
      </w:tr>
      <w:tr w:rsidR="002E6C09" w:rsidRPr="001E6F82" w14:paraId="3A24855D" w14:textId="77777777" w:rsidTr="00844FF8">
        <w:trPr>
          <w:trHeight w:val="240"/>
          <w:jc w:val="center"/>
        </w:trPr>
        <w:tc>
          <w:tcPr>
            <w:tcW w:w="4876" w:type="dxa"/>
            <w:tcBorders>
              <w:top w:val="nil"/>
              <w:left w:val="nil"/>
              <w:bottom w:val="nil"/>
              <w:right w:val="nil"/>
            </w:tcBorders>
            <w:hideMark/>
          </w:tcPr>
          <w:p w14:paraId="7384378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25320F8" w14:textId="77777777" w:rsidR="002E6C09" w:rsidRPr="001E6F82" w:rsidRDefault="002E6C09" w:rsidP="00844FF8">
            <w:pPr>
              <w:pStyle w:val="AmColumnHeading"/>
            </w:pPr>
            <w:r w:rsidRPr="001E6F82">
              <w:t>Poprawka</w:t>
            </w:r>
          </w:p>
        </w:tc>
      </w:tr>
      <w:tr w:rsidR="002E6C09" w:rsidRPr="001E6F82" w14:paraId="2954548B" w14:textId="77777777" w:rsidTr="00844FF8">
        <w:trPr>
          <w:jc w:val="center"/>
        </w:trPr>
        <w:tc>
          <w:tcPr>
            <w:tcW w:w="4876" w:type="dxa"/>
            <w:tcBorders>
              <w:top w:val="nil"/>
              <w:left w:val="nil"/>
              <w:bottom w:val="nil"/>
              <w:right w:val="nil"/>
            </w:tcBorders>
            <w:hideMark/>
          </w:tcPr>
          <w:p w14:paraId="261D0E43" w14:textId="77777777" w:rsidR="002E6C09" w:rsidRPr="001E6F82" w:rsidRDefault="002E6C09" w:rsidP="00844FF8">
            <w:pPr>
              <w:pStyle w:val="Normal6a"/>
            </w:pPr>
            <w:r w:rsidRPr="001E6F82">
              <w:rPr>
                <w:b/>
                <w:i/>
              </w:rPr>
              <w:t>8)</w:t>
            </w:r>
            <w:r w:rsidRPr="001E6F82">
              <w:tab/>
            </w:r>
            <w:r w:rsidRPr="001E6F82">
              <w:rPr>
                <w:b/>
                <w:i/>
              </w:rPr>
              <w:t>w załącznikach II–VI wprowadza się zmiany zgodnie z załącznikiem III do niniejszego rozporządzenia.</w:t>
            </w:r>
          </w:p>
        </w:tc>
        <w:tc>
          <w:tcPr>
            <w:tcW w:w="4876" w:type="dxa"/>
            <w:tcBorders>
              <w:top w:val="nil"/>
              <w:left w:val="nil"/>
              <w:bottom w:val="nil"/>
              <w:right w:val="nil"/>
            </w:tcBorders>
            <w:hideMark/>
          </w:tcPr>
          <w:p w14:paraId="43B8F323" w14:textId="77777777" w:rsidR="002E6C09" w:rsidRPr="001E6F82" w:rsidRDefault="002E6C09" w:rsidP="00844FF8">
            <w:pPr>
              <w:pStyle w:val="Normal6a"/>
            </w:pPr>
            <w:r w:rsidRPr="001E6F82">
              <w:rPr>
                <w:b/>
                <w:i/>
              </w:rPr>
              <w:t>skreśla się</w:t>
            </w:r>
          </w:p>
        </w:tc>
      </w:tr>
    </w:tbl>
    <w:p w14:paraId="233C0F45" w14:textId="77777777" w:rsidR="002E6C09" w:rsidRPr="001E6F82" w:rsidRDefault="002E6C09" w:rsidP="002E6C09"/>
    <w:p w14:paraId="52229B70" w14:textId="77777777" w:rsidR="002E6C09" w:rsidRPr="001E6F82" w:rsidRDefault="002E6C09" w:rsidP="002E6C09">
      <w:pPr>
        <w:pStyle w:val="AmNumberTabs"/>
      </w:pPr>
      <w:r w:rsidRPr="001E6F82">
        <w:t>Poprawka</w:t>
      </w:r>
      <w:r w:rsidRPr="001E6F82">
        <w:tab/>
      </w:r>
      <w:r w:rsidRPr="001E6F82">
        <w:tab/>
        <w:t>65</w:t>
      </w:r>
    </w:p>
    <w:p w14:paraId="14B1FB92" w14:textId="77777777" w:rsidR="002E6C09" w:rsidRPr="001E6F82" w:rsidRDefault="002E6C09" w:rsidP="002E6C09">
      <w:pPr>
        <w:pStyle w:val="NormalBold"/>
      </w:pPr>
      <w:r w:rsidRPr="001E6F82">
        <w:t>Wniosek dotyczący rozporządzenia</w:t>
      </w:r>
    </w:p>
    <w:p w14:paraId="0B0CC864" w14:textId="77777777" w:rsidR="002E6C09" w:rsidRPr="001E6F82" w:rsidRDefault="002E6C09" w:rsidP="002E6C09">
      <w:pPr>
        <w:pStyle w:val="NormalBold"/>
      </w:pPr>
      <w:r w:rsidRPr="001E6F82">
        <w:t>Artykuł 3 – akapit 1 – punkt 1</w:t>
      </w:r>
    </w:p>
    <w:p w14:paraId="04704839" w14:textId="77777777" w:rsidR="002E6C09" w:rsidRPr="001E6F82" w:rsidRDefault="002E6C09" w:rsidP="002E6C09">
      <w:r w:rsidRPr="001E6F82">
        <w:t>Rozporządzenie (UE) nr 2019/1009</w:t>
      </w:r>
    </w:p>
    <w:p w14:paraId="628F6668" w14:textId="77777777" w:rsidR="002E6C09" w:rsidRPr="001E6F82" w:rsidRDefault="002E6C09" w:rsidP="002E6C09">
      <w:r w:rsidRPr="001E6F82">
        <w:t>Artykuł 2 – akapit 1 – punkt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9C0B874" w14:textId="77777777" w:rsidTr="00844FF8">
        <w:trPr>
          <w:trHeight w:val="240"/>
          <w:jc w:val="center"/>
        </w:trPr>
        <w:tc>
          <w:tcPr>
            <w:tcW w:w="9752" w:type="dxa"/>
            <w:gridSpan w:val="2"/>
            <w:tcBorders>
              <w:top w:val="nil"/>
              <w:left w:val="nil"/>
              <w:bottom w:val="nil"/>
              <w:right w:val="nil"/>
            </w:tcBorders>
          </w:tcPr>
          <w:p w14:paraId="32588A5C" w14:textId="77777777" w:rsidR="002E6C09" w:rsidRPr="001E6F82" w:rsidRDefault="002E6C09" w:rsidP="00844FF8"/>
        </w:tc>
      </w:tr>
      <w:tr w:rsidR="002E6C09" w:rsidRPr="001E6F82" w14:paraId="274CDB3D" w14:textId="77777777" w:rsidTr="00844FF8">
        <w:trPr>
          <w:trHeight w:val="240"/>
          <w:jc w:val="center"/>
        </w:trPr>
        <w:tc>
          <w:tcPr>
            <w:tcW w:w="4876" w:type="dxa"/>
            <w:tcBorders>
              <w:top w:val="nil"/>
              <w:left w:val="nil"/>
              <w:bottom w:val="nil"/>
              <w:right w:val="nil"/>
            </w:tcBorders>
            <w:hideMark/>
          </w:tcPr>
          <w:p w14:paraId="4170E320"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2C62A2E" w14:textId="77777777" w:rsidR="002E6C09" w:rsidRPr="001E6F82" w:rsidRDefault="002E6C09" w:rsidP="00844FF8">
            <w:pPr>
              <w:pStyle w:val="AmColumnHeading"/>
            </w:pPr>
            <w:r w:rsidRPr="001E6F82">
              <w:t>Poprawka</w:t>
            </w:r>
          </w:p>
        </w:tc>
      </w:tr>
      <w:tr w:rsidR="002E6C09" w:rsidRPr="001E6F82" w14:paraId="68DF6160" w14:textId="77777777" w:rsidTr="00844FF8">
        <w:trPr>
          <w:jc w:val="center"/>
        </w:trPr>
        <w:tc>
          <w:tcPr>
            <w:tcW w:w="4876" w:type="dxa"/>
            <w:tcBorders>
              <w:top w:val="nil"/>
              <w:left w:val="nil"/>
              <w:bottom w:val="nil"/>
              <w:right w:val="nil"/>
            </w:tcBorders>
            <w:hideMark/>
          </w:tcPr>
          <w:p w14:paraId="4A83734C" w14:textId="77777777" w:rsidR="002E6C09" w:rsidRPr="001E6F82" w:rsidRDefault="002E6C09" w:rsidP="00844FF8">
            <w:pPr>
              <w:pStyle w:val="Normal6a"/>
            </w:pPr>
            <w:r w:rsidRPr="001E6F82">
              <w:t xml:space="preserve">»kontakt elektroniczny« oznacza każdy aktualny i </w:t>
            </w:r>
            <w:r w:rsidRPr="001E6F82">
              <w:rPr>
                <w:b/>
                <w:i/>
              </w:rPr>
              <w:t>dostępny</w:t>
            </w:r>
            <w:r w:rsidRPr="001E6F82">
              <w:t xml:space="preserve"> internetowy kanał komunikacyjny, za </w:t>
            </w:r>
            <w:proofErr w:type="gramStart"/>
            <w:r w:rsidRPr="001E6F82">
              <w:t>pośrednictwem</w:t>
            </w:r>
            <w:proofErr w:type="gramEnd"/>
            <w:r w:rsidRPr="001E6F82">
              <w:t xml:space="preserve"> którego można </w:t>
            </w:r>
            <w:r w:rsidRPr="001E6F82">
              <w:rPr>
                <w:b/>
                <w:i/>
              </w:rPr>
              <w:t>dotrzeć do podmiotów gospodarczych lub zaangażować je</w:t>
            </w:r>
            <w:r w:rsidRPr="001E6F82">
              <w:t xml:space="preserve"> bez konieczności rejestracji lub </w:t>
            </w:r>
            <w:r w:rsidRPr="001E6F82">
              <w:rPr>
                <w:b/>
                <w:i/>
              </w:rPr>
              <w:t>pobierania</w:t>
            </w:r>
            <w:r w:rsidRPr="001E6F82">
              <w:t xml:space="preserve"> aplikacji;”</w:t>
            </w:r>
          </w:p>
        </w:tc>
        <w:tc>
          <w:tcPr>
            <w:tcW w:w="4876" w:type="dxa"/>
            <w:tcBorders>
              <w:top w:val="nil"/>
              <w:left w:val="nil"/>
              <w:bottom w:val="nil"/>
              <w:right w:val="nil"/>
            </w:tcBorders>
            <w:hideMark/>
          </w:tcPr>
          <w:p w14:paraId="2FEB1708" w14:textId="77777777" w:rsidR="002E6C09" w:rsidRPr="001E6F82" w:rsidRDefault="002E6C09" w:rsidP="00844FF8">
            <w:pPr>
              <w:pStyle w:val="Normal6a"/>
            </w:pPr>
            <w:r w:rsidRPr="001E6F82">
              <w:t xml:space="preserve">»kontakt elektroniczny« oznacza dowolny aktualny i </w:t>
            </w:r>
            <w:r w:rsidRPr="001E6F82">
              <w:rPr>
                <w:b/>
                <w:i/>
              </w:rPr>
              <w:t>ogólnodostępny</w:t>
            </w:r>
            <w:r w:rsidRPr="001E6F82">
              <w:t xml:space="preserve"> internetowy kanał komunikacyjny, za </w:t>
            </w:r>
            <w:proofErr w:type="gramStart"/>
            <w:r w:rsidRPr="001E6F82">
              <w:t>pośrednictwem</w:t>
            </w:r>
            <w:proofErr w:type="gramEnd"/>
            <w:r w:rsidRPr="001E6F82">
              <w:t xml:space="preserve"> którego można </w:t>
            </w:r>
            <w:r w:rsidRPr="001E6F82">
              <w:rPr>
                <w:b/>
                <w:i/>
              </w:rPr>
              <w:t>skontaktować się z podmiotem gospodarczym</w:t>
            </w:r>
            <w:r w:rsidRPr="001E6F82">
              <w:t xml:space="preserve"> bez konieczności rejestracji</w:t>
            </w:r>
            <w:r w:rsidRPr="001E6F82">
              <w:rPr>
                <w:b/>
                <w:i/>
              </w:rPr>
              <w:t>, pobierania</w:t>
            </w:r>
            <w:r w:rsidRPr="001E6F82">
              <w:t xml:space="preserve"> lub </w:t>
            </w:r>
            <w:r w:rsidRPr="001E6F82">
              <w:rPr>
                <w:b/>
                <w:i/>
              </w:rPr>
              <w:t>używania dodatkowych</w:t>
            </w:r>
            <w:r w:rsidRPr="001E6F82">
              <w:t xml:space="preserve"> aplikacji </w:t>
            </w:r>
            <w:r w:rsidRPr="001E6F82">
              <w:rPr>
                <w:b/>
                <w:i/>
              </w:rPr>
              <w:t>właściwych dla danego podmiotu gospodarczego</w:t>
            </w:r>
            <w:r w:rsidRPr="001E6F82">
              <w:t>;”;</w:t>
            </w:r>
          </w:p>
        </w:tc>
      </w:tr>
    </w:tbl>
    <w:p w14:paraId="5CA7870D" w14:textId="77777777" w:rsidR="002E6C09" w:rsidRPr="001E6F82" w:rsidRDefault="002E6C09" w:rsidP="002E6C09"/>
    <w:p w14:paraId="21F4DC22" w14:textId="77777777" w:rsidR="002E6C09" w:rsidRPr="001E6F82" w:rsidRDefault="002E6C09" w:rsidP="002E6C09">
      <w:pPr>
        <w:pStyle w:val="AmNumberTabs"/>
      </w:pPr>
      <w:r w:rsidRPr="001E6F82">
        <w:t>Poprawka</w:t>
      </w:r>
      <w:r w:rsidRPr="001E6F82">
        <w:tab/>
      </w:r>
      <w:r w:rsidRPr="001E6F82">
        <w:tab/>
        <w:t>66</w:t>
      </w:r>
    </w:p>
    <w:p w14:paraId="49ADD918" w14:textId="77777777" w:rsidR="002E6C09" w:rsidRPr="001E6F82" w:rsidRDefault="002E6C09" w:rsidP="002E6C09">
      <w:pPr>
        <w:pStyle w:val="NormalBold"/>
      </w:pPr>
      <w:r w:rsidRPr="001E6F82">
        <w:t>Wniosek dotyczący rozporządzenia</w:t>
      </w:r>
    </w:p>
    <w:p w14:paraId="2D6E5845" w14:textId="77777777" w:rsidR="002E6C09" w:rsidRPr="001E6F82" w:rsidRDefault="002E6C09" w:rsidP="002E6C09">
      <w:pPr>
        <w:pStyle w:val="NormalBold"/>
      </w:pPr>
      <w:r w:rsidRPr="001E6F82">
        <w:t>Artykuł 3 – akapit 1 – punkt 2 – litera a – podpunkt ii</w:t>
      </w:r>
    </w:p>
    <w:p w14:paraId="7D3D0DC7" w14:textId="77777777" w:rsidR="002E6C09" w:rsidRPr="001E6F82" w:rsidRDefault="002E6C09" w:rsidP="002E6C09">
      <w:r w:rsidRPr="001E6F82">
        <w:t>Rozporządzenie (UE) nr 2019/1009</w:t>
      </w:r>
    </w:p>
    <w:p w14:paraId="2A468CC5" w14:textId="77777777" w:rsidR="002E6C09" w:rsidRPr="001E6F82" w:rsidRDefault="002E6C09" w:rsidP="002E6C09">
      <w:r w:rsidRPr="001E6F82">
        <w:t>Artykuł 6 – ustęp 2 – akapit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DA2DEBA" w14:textId="77777777" w:rsidTr="00844FF8">
        <w:trPr>
          <w:trHeight w:val="240"/>
          <w:jc w:val="center"/>
        </w:trPr>
        <w:tc>
          <w:tcPr>
            <w:tcW w:w="9752" w:type="dxa"/>
            <w:gridSpan w:val="2"/>
            <w:tcBorders>
              <w:top w:val="nil"/>
              <w:left w:val="nil"/>
              <w:bottom w:val="nil"/>
              <w:right w:val="nil"/>
            </w:tcBorders>
          </w:tcPr>
          <w:p w14:paraId="6F93369C" w14:textId="77777777" w:rsidR="002E6C09" w:rsidRPr="001E6F82" w:rsidRDefault="002E6C09" w:rsidP="00844FF8"/>
        </w:tc>
      </w:tr>
      <w:tr w:rsidR="002E6C09" w:rsidRPr="001E6F82" w14:paraId="09C882B8" w14:textId="77777777" w:rsidTr="00844FF8">
        <w:trPr>
          <w:trHeight w:val="240"/>
          <w:jc w:val="center"/>
        </w:trPr>
        <w:tc>
          <w:tcPr>
            <w:tcW w:w="4876" w:type="dxa"/>
            <w:tcBorders>
              <w:top w:val="nil"/>
              <w:left w:val="nil"/>
              <w:bottom w:val="nil"/>
              <w:right w:val="nil"/>
            </w:tcBorders>
            <w:hideMark/>
          </w:tcPr>
          <w:p w14:paraId="6C4780AD"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E205779" w14:textId="77777777" w:rsidR="002E6C09" w:rsidRPr="001E6F82" w:rsidRDefault="002E6C09" w:rsidP="00844FF8">
            <w:pPr>
              <w:pStyle w:val="AmColumnHeading"/>
            </w:pPr>
            <w:r w:rsidRPr="001E6F82">
              <w:t>Poprawka</w:t>
            </w:r>
          </w:p>
        </w:tc>
      </w:tr>
      <w:tr w:rsidR="002E6C09" w:rsidRPr="001E6F82" w14:paraId="23279752" w14:textId="77777777" w:rsidTr="00844FF8">
        <w:trPr>
          <w:jc w:val="center"/>
        </w:trPr>
        <w:tc>
          <w:tcPr>
            <w:tcW w:w="4876" w:type="dxa"/>
            <w:tcBorders>
              <w:top w:val="nil"/>
              <w:left w:val="nil"/>
              <w:bottom w:val="nil"/>
              <w:right w:val="nil"/>
            </w:tcBorders>
            <w:hideMark/>
          </w:tcPr>
          <w:p w14:paraId="6C4B8470" w14:textId="77777777" w:rsidR="002E6C09" w:rsidRPr="001E6F82" w:rsidRDefault="002E6C09" w:rsidP="00844FF8">
            <w:pPr>
              <w:pStyle w:val="Normal6a"/>
            </w:pPr>
            <w:r w:rsidRPr="001E6F82">
              <w:t>„Producenci zapewniają dołączenie do produktu nawozowego UE adresu internetowego lub nośnika danych, które umożliwiają dostęp do deklaracji zgodności UE.”;</w:t>
            </w:r>
          </w:p>
        </w:tc>
        <w:tc>
          <w:tcPr>
            <w:tcW w:w="4876" w:type="dxa"/>
            <w:tcBorders>
              <w:top w:val="nil"/>
              <w:left w:val="nil"/>
              <w:bottom w:val="nil"/>
              <w:right w:val="nil"/>
            </w:tcBorders>
            <w:hideMark/>
          </w:tcPr>
          <w:p w14:paraId="2824B45A" w14:textId="77777777" w:rsidR="002E6C09" w:rsidRPr="001E6F82" w:rsidRDefault="002E6C09" w:rsidP="00844FF8">
            <w:pPr>
              <w:pStyle w:val="Normal6a"/>
            </w:pPr>
            <w:r w:rsidRPr="001E6F82">
              <w:t xml:space="preserve">„Producenci zapewniają dołączenie do produktu nawozowego UE adresu internetowego lub nośnika danych, które umożliwiają </w:t>
            </w:r>
            <w:r w:rsidRPr="001E6F82">
              <w:rPr>
                <w:b/>
                <w:i/>
              </w:rPr>
              <w:t>bezpośredni</w:t>
            </w:r>
            <w:r w:rsidRPr="001E6F82">
              <w:t xml:space="preserve"> dostęp do deklaracji zgodności UE.”;</w:t>
            </w:r>
          </w:p>
        </w:tc>
      </w:tr>
    </w:tbl>
    <w:p w14:paraId="40E4E83A" w14:textId="77777777" w:rsidR="002E6C09" w:rsidRPr="001E6F82" w:rsidRDefault="002E6C09" w:rsidP="002E6C09"/>
    <w:p w14:paraId="28ADBED5" w14:textId="77777777" w:rsidR="002E6C09" w:rsidRPr="001E6F82" w:rsidRDefault="002E6C09" w:rsidP="002E6C09">
      <w:pPr>
        <w:pStyle w:val="AmNumberTabs"/>
      </w:pPr>
      <w:r w:rsidRPr="001E6F82">
        <w:lastRenderedPageBreak/>
        <w:t>Poprawka</w:t>
      </w:r>
      <w:r w:rsidRPr="001E6F82">
        <w:tab/>
      </w:r>
      <w:r w:rsidRPr="001E6F82">
        <w:tab/>
        <w:t>67</w:t>
      </w:r>
    </w:p>
    <w:p w14:paraId="2C7EA8FA" w14:textId="77777777" w:rsidR="002E6C09" w:rsidRPr="001E6F82" w:rsidRDefault="002E6C09" w:rsidP="002E6C09">
      <w:pPr>
        <w:pStyle w:val="NormalBold"/>
      </w:pPr>
      <w:r w:rsidRPr="001E6F82">
        <w:t>Wniosek dotyczący rozporządzenia</w:t>
      </w:r>
    </w:p>
    <w:p w14:paraId="1225501F" w14:textId="77777777" w:rsidR="002E6C09" w:rsidRPr="001E6F82" w:rsidRDefault="002E6C09" w:rsidP="002E6C09">
      <w:pPr>
        <w:pStyle w:val="NormalBold"/>
      </w:pPr>
      <w:r w:rsidRPr="001E6F82">
        <w:t>Artykuł 3 – akapit 1 – punkt 2 – litera c</w:t>
      </w:r>
    </w:p>
    <w:p w14:paraId="3C7F6BCF" w14:textId="77777777" w:rsidR="002E6C09" w:rsidRPr="001E6F82" w:rsidRDefault="002E6C09" w:rsidP="002E6C09">
      <w:r w:rsidRPr="001E6F82">
        <w:t>Rozporządzenie (UE) nr 2019/1009</w:t>
      </w:r>
    </w:p>
    <w:p w14:paraId="7F57C707" w14:textId="77777777" w:rsidR="002E6C09" w:rsidRPr="001E6F82" w:rsidRDefault="002E6C09" w:rsidP="002E6C09">
      <w:r w:rsidRPr="001E6F82">
        <w:t>Artykuł 6 – ustęp 6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57DC7C1" w14:textId="77777777" w:rsidTr="00844FF8">
        <w:trPr>
          <w:trHeight w:val="240"/>
          <w:jc w:val="center"/>
        </w:trPr>
        <w:tc>
          <w:tcPr>
            <w:tcW w:w="9752" w:type="dxa"/>
            <w:gridSpan w:val="2"/>
            <w:tcBorders>
              <w:top w:val="nil"/>
              <w:left w:val="nil"/>
              <w:bottom w:val="nil"/>
              <w:right w:val="nil"/>
            </w:tcBorders>
          </w:tcPr>
          <w:p w14:paraId="657B47C9" w14:textId="77777777" w:rsidR="002E6C09" w:rsidRPr="001E6F82" w:rsidRDefault="002E6C09" w:rsidP="00844FF8"/>
        </w:tc>
      </w:tr>
      <w:tr w:rsidR="002E6C09" w:rsidRPr="001E6F82" w14:paraId="5C7A3971" w14:textId="77777777" w:rsidTr="00844FF8">
        <w:trPr>
          <w:trHeight w:val="240"/>
          <w:jc w:val="center"/>
        </w:trPr>
        <w:tc>
          <w:tcPr>
            <w:tcW w:w="4876" w:type="dxa"/>
            <w:tcBorders>
              <w:top w:val="nil"/>
              <w:left w:val="nil"/>
              <w:bottom w:val="nil"/>
              <w:right w:val="nil"/>
            </w:tcBorders>
            <w:hideMark/>
          </w:tcPr>
          <w:p w14:paraId="056519D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29E42ED" w14:textId="77777777" w:rsidR="002E6C09" w:rsidRPr="001E6F82" w:rsidRDefault="002E6C09" w:rsidP="00844FF8">
            <w:pPr>
              <w:pStyle w:val="AmColumnHeading"/>
            </w:pPr>
            <w:r w:rsidRPr="001E6F82">
              <w:t>Poprawka</w:t>
            </w:r>
          </w:p>
        </w:tc>
      </w:tr>
      <w:tr w:rsidR="002E6C09" w:rsidRPr="001E6F82" w14:paraId="35C0F0C3" w14:textId="77777777" w:rsidTr="00844FF8">
        <w:trPr>
          <w:jc w:val="center"/>
        </w:trPr>
        <w:tc>
          <w:tcPr>
            <w:tcW w:w="4876" w:type="dxa"/>
            <w:tcBorders>
              <w:top w:val="nil"/>
              <w:left w:val="nil"/>
              <w:bottom w:val="nil"/>
              <w:right w:val="nil"/>
            </w:tcBorders>
            <w:hideMark/>
          </w:tcPr>
          <w:p w14:paraId="57FA787E" w14:textId="77777777" w:rsidR="002E6C09" w:rsidRPr="001E6F82" w:rsidRDefault="002E6C09" w:rsidP="00844FF8">
            <w:pPr>
              <w:pStyle w:val="Normal6a"/>
            </w:pPr>
            <w:r w:rsidRPr="001E6F82">
              <w:t>„Producenci podają swoją nazwę, zarejestrowaną nazwę handlową lub zarejestrowany znak towarowy oraz swój adres pocztowy i kontakt elektroniczny na opakowaniu produktu nawozowego UE lub, jeśli produkt nawozowy UE jest dostarczany bez opakowania – w dokumencie dołączonym do produktu nawozowego UE. W adresie pocztowym i kontakcie elektronicznym wskazuje się pojedynczy punkt, za pośrednictwem którego można skontaktować się z producentem.”</w:t>
            </w:r>
          </w:p>
        </w:tc>
        <w:tc>
          <w:tcPr>
            <w:tcW w:w="4876" w:type="dxa"/>
            <w:tcBorders>
              <w:top w:val="nil"/>
              <w:left w:val="nil"/>
              <w:bottom w:val="nil"/>
              <w:right w:val="nil"/>
            </w:tcBorders>
            <w:hideMark/>
          </w:tcPr>
          <w:p w14:paraId="3EED6ED0" w14:textId="77777777" w:rsidR="002E6C09" w:rsidRPr="001E6F82" w:rsidRDefault="002E6C09" w:rsidP="00844FF8">
            <w:pPr>
              <w:pStyle w:val="Normal6a"/>
            </w:pPr>
            <w:r w:rsidRPr="001E6F82">
              <w:t xml:space="preserve">„Producenci podają swoją nazwę, zarejestrowaną nazwę handlową lub zarejestrowany znak towarowy oraz swój adres pocztowy i kontakt elektroniczny na opakowaniu produktu nawozowego UE lub, jeśli produkt nawozowy UE jest dostarczany bez opakowania – w dokumencie dołączonym do produktu nawozowego UE. W adresie pocztowym i kontakcie elektronicznym wskazuje się pojedynczy punkt, za pośrednictwem którego można </w:t>
            </w:r>
            <w:r w:rsidRPr="001E6F82">
              <w:rPr>
                <w:b/>
                <w:i/>
              </w:rPr>
              <w:t>szybko</w:t>
            </w:r>
            <w:r w:rsidRPr="001E6F82">
              <w:t xml:space="preserve"> skontaktować się z producentem.”</w:t>
            </w:r>
          </w:p>
        </w:tc>
      </w:tr>
    </w:tbl>
    <w:p w14:paraId="45E14274" w14:textId="77777777" w:rsidR="002E6C09" w:rsidRPr="001E6F82" w:rsidRDefault="002E6C09" w:rsidP="002E6C09"/>
    <w:p w14:paraId="6DBF3F45" w14:textId="77777777" w:rsidR="002E6C09" w:rsidRPr="001E6F82" w:rsidRDefault="002E6C09" w:rsidP="002E6C09">
      <w:pPr>
        <w:pStyle w:val="AmNumberTabs"/>
      </w:pPr>
      <w:r w:rsidRPr="001E6F82">
        <w:t>Poprawka</w:t>
      </w:r>
      <w:r w:rsidRPr="001E6F82">
        <w:tab/>
      </w:r>
      <w:r w:rsidRPr="001E6F82">
        <w:tab/>
        <w:t>68</w:t>
      </w:r>
    </w:p>
    <w:p w14:paraId="5CEB1FD1" w14:textId="77777777" w:rsidR="002E6C09" w:rsidRPr="001E6F82" w:rsidRDefault="002E6C09" w:rsidP="002E6C09">
      <w:pPr>
        <w:pStyle w:val="NormalBold"/>
      </w:pPr>
      <w:r w:rsidRPr="001E6F82">
        <w:t>Wniosek dotyczący rozporządzenia</w:t>
      </w:r>
    </w:p>
    <w:p w14:paraId="4330888A" w14:textId="77777777" w:rsidR="002E6C09" w:rsidRPr="001E6F82" w:rsidRDefault="002E6C09" w:rsidP="002E6C09">
      <w:pPr>
        <w:pStyle w:val="NormalBold"/>
      </w:pPr>
      <w:r w:rsidRPr="001E6F82">
        <w:t>Artykuł 3 – akapit 1 – punkt 4 – litera a</w:t>
      </w:r>
    </w:p>
    <w:p w14:paraId="37F2FA63" w14:textId="77777777" w:rsidR="002E6C09" w:rsidRPr="001E6F82" w:rsidRDefault="002E6C09" w:rsidP="002E6C09">
      <w:r w:rsidRPr="001E6F82">
        <w:t>Rozporządzenie (UE) nr 2019/1009</w:t>
      </w:r>
    </w:p>
    <w:p w14:paraId="7F7C8326" w14:textId="77777777" w:rsidR="002E6C09" w:rsidRPr="001E6F82" w:rsidRDefault="002E6C09" w:rsidP="002E6C09">
      <w:r w:rsidRPr="001E6F82">
        <w:t>Artykuł 8 – ustęp 2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A10FFA5" w14:textId="77777777" w:rsidTr="00844FF8">
        <w:trPr>
          <w:trHeight w:val="240"/>
          <w:jc w:val="center"/>
        </w:trPr>
        <w:tc>
          <w:tcPr>
            <w:tcW w:w="9752" w:type="dxa"/>
            <w:gridSpan w:val="2"/>
            <w:tcBorders>
              <w:top w:val="nil"/>
              <w:left w:val="nil"/>
              <w:bottom w:val="nil"/>
              <w:right w:val="nil"/>
            </w:tcBorders>
          </w:tcPr>
          <w:p w14:paraId="66C04B2E" w14:textId="77777777" w:rsidR="002E6C09" w:rsidRPr="001E6F82" w:rsidRDefault="002E6C09" w:rsidP="00844FF8"/>
        </w:tc>
      </w:tr>
      <w:tr w:rsidR="002E6C09" w:rsidRPr="001E6F82" w14:paraId="722DDCD8" w14:textId="77777777" w:rsidTr="00844FF8">
        <w:trPr>
          <w:trHeight w:val="240"/>
          <w:jc w:val="center"/>
        </w:trPr>
        <w:tc>
          <w:tcPr>
            <w:tcW w:w="4876" w:type="dxa"/>
            <w:tcBorders>
              <w:top w:val="nil"/>
              <w:left w:val="nil"/>
              <w:bottom w:val="nil"/>
              <w:right w:val="nil"/>
            </w:tcBorders>
            <w:hideMark/>
          </w:tcPr>
          <w:p w14:paraId="792C584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5434EAC" w14:textId="77777777" w:rsidR="002E6C09" w:rsidRPr="001E6F82" w:rsidRDefault="002E6C09" w:rsidP="00844FF8">
            <w:pPr>
              <w:pStyle w:val="AmColumnHeading"/>
            </w:pPr>
            <w:r w:rsidRPr="001E6F82">
              <w:t>Poprawka</w:t>
            </w:r>
          </w:p>
        </w:tc>
      </w:tr>
      <w:tr w:rsidR="002E6C09" w:rsidRPr="001E6F82" w14:paraId="02981E07" w14:textId="77777777" w:rsidTr="00844FF8">
        <w:trPr>
          <w:jc w:val="center"/>
        </w:trPr>
        <w:tc>
          <w:tcPr>
            <w:tcW w:w="4876" w:type="dxa"/>
            <w:tcBorders>
              <w:top w:val="nil"/>
              <w:left w:val="nil"/>
              <w:bottom w:val="nil"/>
              <w:right w:val="nil"/>
            </w:tcBorders>
            <w:hideMark/>
          </w:tcPr>
          <w:p w14:paraId="647E4BCB" w14:textId="77777777" w:rsidR="002E6C09" w:rsidRPr="001E6F82" w:rsidRDefault="002E6C09" w:rsidP="00844FF8">
            <w:pPr>
              <w:pStyle w:val="Normal6a"/>
            </w:pPr>
            <w:r w:rsidRPr="001E6F82">
              <w:t xml:space="preserve">„Zapewniają oni, by producent sporządził dokumentację techniczną, a do produktu nawozowego UE dołączony był adres internetowy lub nośnik danych, za pośrednictwem których można uzyskać dostęp do deklaracji zgodności UE, </w:t>
            </w:r>
            <w:proofErr w:type="gramStart"/>
            <w:r w:rsidRPr="001E6F82">
              <w:t>oraz,</w:t>
            </w:r>
            <w:proofErr w:type="gramEnd"/>
            <w:r w:rsidRPr="001E6F82">
              <w:t xml:space="preserve"> w razie potrzeby, inne wymagane dokumenty, a także by producent spełnił wymagania określone w art. 6 ust. 5 i 6.”</w:t>
            </w:r>
          </w:p>
        </w:tc>
        <w:tc>
          <w:tcPr>
            <w:tcW w:w="4876" w:type="dxa"/>
            <w:tcBorders>
              <w:top w:val="nil"/>
              <w:left w:val="nil"/>
              <w:bottom w:val="nil"/>
              <w:right w:val="nil"/>
            </w:tcBorders>
            <w:hideMark/>
          </w:tcPr>
          <w:p w14:paraId="5C2E985D" w14:textId="77777777" w:rsidR="002E6C09" w:rsidRPr="001E6F82" w:rsidRDefault="002E6C09" w:rsidP="00844FF8">
            <w:pPr>
              <w:pStyle w:val="Normal6a"/>
            </w:pPr>
            <w:r w:rsidRPr="001E6F82">
              <w:t xml:space="preserve">„Zapewniają oni, by producent sporządził dokumentację techniczną, a do produktu nawozowego UE dołączony był adres internetowy lub nośnik danych, za pośrednictwem których można uzyskać </w:t>
            </w:r>
            <w:r w:rsidRPr="001E6F82">
              <w:rPr>
                <w:b/>
                <w:i/>
              </w:rPr>
              <w:t>bezpośredni</w:t>
            </w:r>
            <w:r w:rsidRPr="001E6F82">
              <w:t xml:space="preserve"> dostęp do deklaracji zgodności UE, </w:t>
            </w:r>
            <w:proofErr w:type="gramStart"/>
            <w:r w:rsidRPr="001E6F82">
              <w:t>oraz,</w:t>
            </w:r>
            <w:proofErr w:type="gramEnd"/>
            <w:r w:rsidRPr="001E6F82">
              <w:t xml:space="preserve"> w razie potrzeby, inne wymagane dokumenty, a także by producent spełnił wymagania określone w art. 6 ust. 5 i 6.”</w:t>
            </w:r>
          </w:p>
        </w:tc>
      </w:tr>
    </w:tbl>
    <w:p w14:paraId="20C497C9" w14:textId="77777777" w:rsidR="002E6C09" w:rsidRPr="001E6F82" w:rsidRDefault="002E6C09" w:rsidP="002E6C09"/>
    <w:p w14:paraId="30FFB810" w14:textId="77777777" w:rsidR="002E6C09" w:rsidRPr="001E6F82" w:rsidRDefault="002E6C09" w:rsidP="002E6C09">
      <w:pPr>
        <w:pStyle w:val="AmNumberTabs"/>
      </w:pPr>
      <w:r w:rsidRPr="001E6F82">
        <w:t>Poprawka</w:t>
      </w:r>
      <w:r w:rsidRPr="001E6F82">
        <w:tab/>
      </w:r>
      <w:r w:rsidRPr="001E6F82">
        <w:tab/>
        <w:t>69</w:t>
      </w:r>
    </w:p>
    <w:p w14:paraId="5D451793" w14:textId="77777777" w:rsidR="002E6C09" w:rsidRPr="001E6F82" w:rsidRDefault="002E6C09" w:rsidP="002E6C09">
      <w:pPr>
        <w:pStyle w:val="NormalBold"/>
      </w:pPr>
      <w:r w:rsidRPr="001E6F82">
        <w:t>Wniosek dotyczący rozporządzenia</w:t>
      </w:r>
    </w:p>
    <w:p w14:paraId="3EA65378" w14:textId="77777777" w:rsidR="002E6C09" w:rsidRPr="001E6F82" w:rsidRDefault="002E6C09" w:rsidP="002E6C09">
      <w:pPr>
        <w:pStyle w:val="NormalBold"/>
      </w:pPr>
      <w:r w:rsidRPr="001E6F82">
        <w:t>Artykuł 3 – akapit 1 – punkt 4 – litera c</w:t>
      </w:r>
    </w:p>
    <w:p w14:paraId="0DDD001C" w14:textId="77777777" w:rsidR="002E6C09" w:rsidRPr="001E6F82" w:rsidRDefault="002E6C09" w:rsidP="002E6C09">
      <w:r w:rsidRPr="001E6F82">
        <w:t>Rozporządzenie (UE) nr 2019/1009</w:t>
      </w:r>
    </w:p>
    <w:p w14:paraId="7259D9A8" w14:textId="77777777" w:rsidR="002E6C09" w:rsidRPr="001E6F82" w:rsidRDefault="002E6C09" w:rsidP="002E6C09">
      <w:r w:rsidRPr="001E6F82">
        <w:t>Artykuł 8 – ustęp 8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5CD3BDB" w14:textId="77777777" w:rsidTr="00844FF8">
        <w:trPr>
          <w:trHeight w:val="240"/>
          <w:jc w:val="center"/>
        </w:trPr>
        <w:tc>
          <w:tcPr>
            <w:tcW w:w="9752" w:type="dxa"/>
            <w:gridSpan w:val="2"/>
            <w:tcBorders>
              <w:top w:val="nil"/>
              <w:left w:val="nil"/>
              <w:bottom w:val="nil"/>
              <w:right w:val="nil"/>
            </w:tcBorders>
          </w:tcPr>
          <w:p w14:paraId="7BFFF7AA" w14:textId="77777777" w:rsidR="002E6C09" w:rsidRPr="001E6F82" w:rsidRDefault="002E6C09" w:rsidP="00844FF8"/>
        </w:tc>
      </w:tr>
      <w:tr w:rsidR="002E6C09" w:rsidRPr="001E6F82" w14:paraId="3104B0F4" w14:textId="77777777" w:rsidTr="00844FF8">
        <w:trPr>
          <w:trHeight w:val="240"/>
          <w:jc w:val="center"/>
        </w:trPr>
        <w:tc>
          <w:tcPr>
            <w:tcW w:w="4876" w:type="dxa"/>
            <w:tcBorders>
              <w:top w:val="nil"/>
              <w:left w:val="nil"/>
              <w:bottom w:val="nil"/>
              <w:right w:val="nil"/>
            </w:tcBorders>
            <w:hideMark/>
          </w:tcPr>
          <w:p w14:paraId="4D7E0737" w14:textId="77777777" w:rsidR="002E6C09" w:rsidRPr="001E6F82" w:rsidRDefault="002E6C09" w:rsidP="00844FF8">
            <w:pPr>
              <w:pStyle w:val="AmColumnHeading"/>
            </w:pPr>
            <w:r w:rsidRPr="001E6F82">
              <w:lastRenderedPageBreak/>
              <w:t>Tekst proponowany przez Komisję</w:t>
            </w:r>
          </w:p>
        </w:tc>
        <w:tc>
          <w:tcPr>
            <w:tcW w:w="4876" w:type="dxa"/>
            <w:tcBorders>
              <w:top w:val="nil"/>
              <w:left w:val="nil"/>
              <w:bottom w:val="nil"/>
              <w:right w:val="nil"/>
            </w:tcBorders>
            <w:hideMark/>
          </w:tcPr>
          <w:p w14:paraId="76E7ADD5" w14:textId="77777777" w:rsidR="002E6C09" w:rsidRPr="001E6F82" w:rsidRDefault="002E6C09" w:rsidP="00844FF8">
            <w:pPr>
              <w:pStyle w:val="AmColumnHeading"/>
            </w:pPr>
            <w:r w:rsidRPr="001E6F82">
              <w:t>Poprawka</w:t>
            </w:r>
          </w:p>
        </w:tc>
      </w:tr>
      <w:tr w:rsidR="002E6C09" w:rsidRPr="001E6F82" w14:paraId="15D4CF47" w14:textId="77777777" w:rsidTr="00844FF8">
        <w:trPr>
          <w:jc w:val="center"/>
        </w:trPr>
        <w:tc>
          <w:tcPr>
            <w:tcW w:w="4876" w:type="dxa"/>
            <w:tcBorders>
              <w:top w:val="nil"/>
              <w:left w:val="nil"/>
              <w:bottom w:val="nil"/>
              <w:right w:val="nil"/>
            </w:tcBorders>
            <w:hideMark/>
          </w:tcPr>
          <w:p w14:paraId="1C053BC3" w14:textId="77777777" w:rsidR="002E6C09" w:rsidRPr="001E6F82" w:rsidRDefault="002E6C09" w:rsidP="00844FF8">
            <w:pPr>
              <w:pStyle w:val="Normal6a"/>
            </w:pPr>
            <w:r w:rsidRPr="001E6F82">
              <w:t>Importerzy przechowują deklarację zgodności UE do dyspozycji organów nadzoru rynku przez 5 lat od wprowadzenia produktu nawozowego UE do obrotu i zapewniają, aby dokumentacja techniczna była udostępniana tym organom na ich żądanie.</w:t>
            </w:r>
          </w:p>
        </w:tc>
        <w:tc>
          <w:tcPr>
            <w:tcW w:w="4876" w:type="dxa"/>
            <w:tcBorders>
              <w:top w:val="nil"/>
              <w:left w:val="nil"/>
              <w:bottom w:val="nil"/>
              <w:right w:val="nil"/>
            </w:tcBorders>
            <w:hideMark/>
          </w:tcPr>
          <w:p w14:paraId="0FD26762" w14:textId="77777777" w:rsidR="002E6C09" w:rsidRPr="001E6F82" w:rsidRDefault="002E6C09" w:rsidP="00844FF8">
            <w:pPr>
              <w:pStyle w:val="Normal6a"/>
            </w:pPr>
            <w:r w:rsidRPr="001E6F82">
              <w:t xml:space="preserve">Importerzy przechowują deklarację zgodności UE do dyspozycji organów nadzoru rynku przez 5 lat od wprowadzenia produktu nawozowego UE do obrotu i zapewniają, aby dokumentacja techniczna była </w:t>
            </w:r>
            <w:r w:rsidRPr="001E6F82">
              <w:rPr>
                <w:b/>
                <w:i/>
              </w:rPr>
              <w:t>szybko</w:t>
            </w:r>
            <w:r w:rsidRPr="001E6F82">
              <w:t xml:space="preserve"> udostępniana tym organom na ich żądanie.</w:t>
            </w:r>
          </w:p>
        </w:tc>
      </w:tr>
    </w:tbl>
    <w:p w14:paraId="2020A4DF" w14:textId="77777777" w:rsidR="002E6C09" w:rsidRPr="001E6F82" w:rsidRDefault="002E6C09" w:rsidP="002E6C09"/>
    <w:p w14:paraId="1F61BCD4" w14:textId="77777777" w:rsidR="002E6C09" w:rsidRPr="001E6F82" w:rsidRDefault="002E6C09" w:rsidP="002E6C09">
      <w:pPr>
        <w:pStyle w:val="AmNumberTabs"/>
      </w:pPr>
      <w:r w:rsidRPr="001E6F82">
        <w:t>Poprawka</w:t>
      </w:r>
      <w:r w:rsidRPr="001E6F82">
        <w:tab/>
      </w:r>
      <w:r w:rsidRPr="001E6F82">
        <w:tab/>
        <w:t>70</w:t>
      </w:r>
    </w:p>
    <w:p w14:paraId="0395E53D" w14:textId="77777777" w:rsidR="002E6C09" w:rsidRPr="001E6F82" w:rsidRDefault="002E6C09" w:rsidP="002E6C09">
      <w:pPr>
        <w:pStyle w:val="NormalBold"/>
      </w:pPr>
      <w:r w:rsidRPr="001E6F82">
        <w:t>Wniosek dotyczący rozporządzenia</w:t>
      </w:r>
    </w:p>
    <w:p w14:paraId="28880EEE" w14:textId="77777777" w:rsidR="002E6C09" w:rsidRPr="001E6F82" w:rsidRDefault="002E6C09" w:rsidP="002E6C09">
      <w:pPr>
        <w:pStyle w:val="NormalBold"/>
      </w:pPr>
      <w:r w:rsidRPr="001E6F82">
        <w:t>Artykuł 3 – akapit 1 – punkt 4 – litera c</w:t>
      </w:r>
    </w:p>
    <w:p w14:paraId="06B19C07" w14:textId="77777777" w:rsidR="002E6C09" w:rsidRPr="001E6F82" w:rsidRDefault="002E6C09" w:rsidP="002E6C09">
      <w:r w:rsidRPr="001E6F82">
        <w:t>Rozporządzenie (UE) nr 2019/1009</w:t>
      </w:r>
    </w:p>
    <w:p w14:paraId="66BB6AAB" w14:textId="77777777" w:rsidR="002E6C09" w:rsidRPr="001E6F82" w:rsidRDefault="002E6C09" w:rsidP="002E6C09">
      <w:r w:rsidRPr="001E6F82">
        <w:t>Artykuł 8 – ustęp 8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D839BC4" w14:textId="77777777" w:rsidTr="00844FF8">
        <w:trPr>
          <w:trHeight w:val="240"/>
          <w:jc w:val="center"/>
        </w:trPr>
        <w:tc>
          <w:tcPr>
            <w:tcW w:w="9752" w:type="dxa"/>
            <w:gridSpan w:val="2"/>
            <w:tcBorders>
              <w:top w:val="nil"/>
              <w:left w:val="nil"/>
              <w:bottom w:val="nil"/>
              <w:right w:val="nil"/>
            </w:tcBorders>
          </w:tcPr>
          <w:p w14:paraId="3EF80FD1" w14:textId="77777777" w:rsidR="002E6C09" w:rsidRPr="001E6F82" w:rsidRDefault="002E6C09" w:rsidP="00844FF8"/>
        </w:tc>
      </w:tr>
      <w:tr w:rsidR="002E6C09" w:rsidRPr="001E6F82" w14:paraId="3567ED52" w14:textId="77777777" w:rsidTr="00844FF8">
        <w:trPr>
          <w:trHeight w:val="240"/>
          <w:jc w:val="center"/>
        </w:trPr>
        <w:tc>
          <w:tcPr>
            <w:tcW w:w="4876" w:type="dxa"/>
            <w:tcBorders>
              <w:top w:val="nil"/>
              <w:left w:val="nil"/>
              <w:bottom w:val="nil"/>
              <w:right w:val="nil"/>
            </w:tcBorders>
            <w:hideMark/>
          </w:tcPr>
          <w:p w14:paraId="4CFB9C0C"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6B9E5D23" w14:textId="77777777" w:rsidR="002E6C09" w:rsidRPr="001E6F82" w:rsidRDefault="002E6C09" w:rsidP="00844FF8">
            <w:pPr>
              <w:pStyle w:val="AmColumnHeading"/>
            </w:pPr>
            <w:r w:rsidRPr="001E6F82">
              <w:t>Poprawka</w:t>
            </w:r>
          </w:p>
        </w:tc>
      </w:tr>
      <w:tr w:rsidR="002E6C09" w:rsidRPr="001E6F82" w14:paraId="1F42C35C" w14:textId="77777777" w:rsidTr="00844FF8">
        <w:trPr>
          <w:jc w:val="center"/>
        </w:trPr>
        <w:tc>
          <w:tcPr>
            <w:tcW w:w="4876" w:type="dxa"/>
            <w:tcBorders>
              <w:top w:val="nil"/>
              <w:left w:val="nil"/>
              <w:bottom w:val="nil"/>
              <w:right w:val="nil"/>
            </w:tcBorders>
            <w:hideMark/>
          </w:tcPr>
          <w:p w14:paraId="6F0821F3" w14:textId="77777777" w:rsidR="002E6C09" w:rsidRPr="001E6F82" w:rsidRDefault="002E6C09" w:rsidP="00844FF8">
            <w:pPr>
              <w:pStyle w:val="Normal6a"/>
            </w:pPr>
            <w:r w:rsidRPr="001E6F82">
              <w:t>Na żądanie importerzy udostępniają deklarację zgodności UE w formie elektronicznej innym podmiotom gospodarczym.”</w:t>
            </w:r>
          </w:p>
        </w:tc>
        <w:tc>
          <w:tcPr>
            <w:tcW w:w="4876" w:type="dxa"/>
            <w:tcBorders>
              <w:top w:val="nil"/>
              <w:left w:val="nil"/>
              <w:bottom w:val="nil"/>
              <w:right w:val="nil"/>
            </w:tcBorders>
            <w:hideMark/>
          </w:tcPr>
          <w:p w14:paraId="260B6C34" w14:textId="77777777" w:rsidR="002E6C09" w:rsidRPr="001E6F82" w:rsidRDefault="002E6C09" w:rsidP="00844FF8">
            <w:pPr>
              <w:pStyle w:val="Normal6a"/>
            </w:pPr>
            <w:r w:rsidRPr="001E6F82">
              <w:t xml:space="preserve">Na żądanie importerzy </w:t>
            </w:r>
            <w:r w:rsidRPr="001E6F82">
              <w:rPr>
                <w:b/>
                <w:i/>
              </w:rPr>
              <w:t>szybko</w:t>
            </w:r>
            <w:r w:rsidRPr="001E6F82">
              <w:t xml:space="preserve"> udostępniają deklarację zgodności UE w formie elektronicznej innym podmiotom gospodarczym.</w:t>
            </w:r>
          </w:p>
        </w:tc>
      </w:tr>
    </w:tbl>
    <w:p w14:paraId="5F4D6A4D" w14:textId="77777777" w:rsidR="002E6C09" w:rsidRPr="001E6F82" w:rsidRDefault="002E6C09" w:rsidP="002E6C09"/>
    <w:p w14:paraId="37F3E98F" w14:textId="77777777" w:rsidR="002E6C09" w:rsidRPr="001E6F82" w:rsidRDefault="002E6C09" w:rsidP="002E6C09">
      <w:pPr>
        <w:pStyle w:val="AmNumberTabs"/>
      </w:pPr>
      <w:r w:rsidRPr="001E6F82">
        <w:t>Poprawka</w:t>
      </w:r>
      <w:r w:rsidRPr="001E6F82">
        <w:tab/>
      </w:r>
      <w:r w:rsidRPr="001E6F82">
        <w:tab/>
        <w:t>71</w:t>
      </w:r>
    </w:p>
    <w:p w14:paraId="2353E7C5" w14:textId="77777777" w:rsidR="002E6C09" w:rsidRPr="001E6F82" w:rsidRDefault="002E6C09" w:rsidP="002E6C09">
      <w:pPr>
        <w:pStyle w:val="NormalBold"/>
      </w:pPr>
      <w:r w:rsidRPr="001E6F82">
        <w:t>Wniosek dotyczący rozporządzenia</w:t>
      </w:r>
    </w:p>
    <w:p w14:paraId="64EF3BB8" w14:textId="77777777" w:rsidR="002E6C09" w:rsidRPr="001E6F82" w:rsidRDefault="002E6C09" w:rsidP="002E6C09">
      <w:pPr>
        <w:pStyle w:val="NormalBold"/>
      </w:pPr>
      <w:r w:rsidRPr="001E6F82">
        <w:t>Artykuł 3 – akapit 1 – punkt 5 – litera a</w:t>
      </w:r>
    </w:p>
    <w:p w14:paraId="48D2E2CD" w14:textId="77777777" w:rsidR="002E6C09" w:rsidRPr="001E6F82" w:rsidRDefault="002E6C09" w:rsidP="002E6C09">
      <w:r w:rsidRPr="001E6F82">
        <w:t>Rozporządzenie (UE) nr 2019/1009</w:t>
      </w:r>
    </w:p>
    <w:p w14:paraId="5D53ADF5" w14:textId="77777777" w:rsidR="002E6C09" w:rsidRPr="001E6F82" w:rsidRDefault="002E6C09" w:rsidP="002E6C09">
      <w:r w:rsidRPr="001E6F82">
        <w:t>Artykuł 9 – ustęp 2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C7B0147" w14:textId="77777777" w:rsidTr="00844FF8">
        <w:trPr>
          <w:trHeight w:val="240"/>
          <w:jc w:val="center"/>
        </w:trPr>
        <w:tc>
          <w:tcPr>
            <w:tcW w:w="9752" w:type="dxa"/>
            <w:gridSpan w:val="2"/>
            <w:tcBorders>
              <w:top w:val="nil"/>
              <w:left w:val="nil"/>
              <w:bottom w:val="nil"/>
              <w:right w:val="nil"/>
            </w:tcBorders>
          </w:tcPr>
          <w:p w14:paraId="6E4587E3" w14:textId="77777777" w:rsidR="002E6C09" w:rsidRPr="001E6F82" w:rsidRDefault="002E6C09" w:rsidP="00844FF8"/>
        </w:tc>
      </w:tr>
      <w:tr w:rsidR="002E6C09" w:rsidRPr="001E6F82" w14:paraId="4BD044C5" w14:textId="77777777" w:rsidTr="00844FF8">
        <w:trPr>
          <w:trHeight w:val="240"/>
          <w:jc w:val="center"/>
        </w:trPr>
        <w:tc>
          <w:tcPr>
            <w:tcW w:w="4876" w:type="dxa"/>
            <w:tcBorders>
              <w:top w:val="nil"/>
              <w:left w:val="nil"/>
              <w:bottom w:val="nil"/>
              <w:right w:val="nil"/>
            </w:tcBorders>
            <w:hideMark/>
          </w:tcPr>
          <w:p w14:paraId="15ECFDB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FCD8E13" w14:textId="77777777" w:rsidR="002E6C09" w:rsidRPr="001E6F82" w:rsidRDefault="002E6C09" w:rsidP="00844FF8">
            <w:pPr>
              <w:pStyle w:val="AmColumnHeading"/>
            </w:pPr>
            <w:r w:rsidRPr="001E6F82">
              <w:t>Poprawka</w:t>
            </w:r>
          </w:p>
        </w:tc>
      </w:tr>
      <w:tr w:rsidR="002E6C09" w:rsidRPr="001E6F82" w14:paraId="37E07C91" w14:textId="77777777" w:rsidTr="00844FF8">
        <w:trPr>
          <w:jc w:val="center"/>
        </w:trPr>
        <w:tc>
          <w:tcPr>
            <w:tcW w:w="4876" w:type="dxa"/>
            <w:tcBorders>
              <w:top w:val="nil"/>
              <w:left w:val="nil"/>
              <w:bottom w:val="nil"/>
              <w:right w:val="nil"/>
            </w:tcBorders>
            <w:hideMark/>
          </w:tcPr>
          <w:p w14:paraId="0FEB198E" w14:textId="77777777" w:rsidR="002E6C09" w:rsidRPr="001E6F82" w:rsidRDefault="002E6C09" w:rsidP="00844FF8">
            <w:pPr>
              <w:pStyle w:val="Normal6a"/>
            </w:pPr>
            <w:r w:rsidRPr="001E6F82">
              <w:t>„Przed udostępnieniem na rynku produktu nawozowego UE dystrybutorzy sprawdzają, czy dołączono do niego adres internetowy lub nośnik danych, za pośrednictwem których można uzyskać dostęp do deklaracji zgodności UE oraz, w stosownych przypadkach, wymagane dokumenty, w tym informacje, o których mowa w art. 6 ust. 7 lub art. 8 ust. 4, przekazywane w sposób określony w tych przepisach, w języku łatwo zrozumiałym dla użytkowników końcowych w państwie członkowskim, w którym produkt nawozowy UE ma być udostępniany na rynku, a także czy producent i importer spełnili wymogi określone, odpowiednio, w art. 6 ust. 5 i 6 oraz w art. 8 ust. 3.”</w:t>
            </w:r>
          </w:p>
        </w:tc>
        <w:tc>
          <w:tcPr>
            <w:tcW w:w="4876" w:type="dxa"/>
            <w:tcBorders>
              <w:top w:val="nil"/>
              <w:left w:val="nil"/>
              <w:bottom w:val="nil"/>
              <w:right w:val="nil"/>
            </w:tcBorders>
            <w:hideMark/>
          </w:tcPr>
          <w:p w14:paraId="494003D9" w14:textId="77777777" w:rsidR="002E6C09" w:rsidRPr="001E6F82" w:rsidRDefault="002E6C09" w:rsidP="00844FF8">
            <w:pPr>
              <w:pStyle w:val="Normal6a"/>
            </w:pPr>
            <w:r w:rsidRPr="001E6F82">
              <w:t xml:space="preserve">„Przed udostępnieniem na rynku produktu nawozowego UE dystrybutorzy sprawdzają, czy dołączono do niego adres internetowy lub nośnik danych, za pośrednictwem których można </w:t>
            </w:r>
            <w:r w:rsidRPr="001E6F82">
              <w:rPr>
                <w:b/>
                <w:i/>
              </w:rPr>
              <w:t>bezpośrednio</w:t>
            </w:r>
            <w:r w:rsidRPr="001E6F82">
              <w:t xml:space="preserve"> uzyskać dostęp do deklaracji zgodności UE oraz, w stosownych przypadkach, wymagane dokumenty, w tym informacje, o których mowa w art. 6 ust. 7 lub art. 8 ust. 4, przekazywane w sposób określony w tych przepisach, w języku łatwo zrozumiałym dla użytkowników końcowych w państwie członkowskim, w którym produkt nawozowy UE ma być udostępniany na rynku, a także czy producent i importer spełnili wymogi określone, odpowiednio, </w:t>
            </w:r>
            <w:r w:rsidRPr="001E6F82">
              <w:lastRenderedPageBreak/>
              <w:t>w art. 6 ust. 5 i 6 oraz w art. 8 ust. 3.”</w:t>
            </w:r>
          </w:p>
        </w:tc>
      </w:tr>
    </w:tbl>
    <w:p w14:paraId="3A178D42" w14:textId="77777777" w:rsidR="002E6C09" w:rsidRPr="001E6F82" w:rsidRDefault="002E6C09" w:rsidP="002E6C09"/>
    <w:p w14:paraId="3492FADD" w14:textId="77777777" w:rsidR="002E6C09" w:rsidRPr="001E6F82" w:rsidRDefault="002E6C09" w:rsidP="002E6C09">
      <w:pPr>
        <w:pStyle w:val="AmNumberTabs"/>
      </w:pPr>
      <w:r w:rsidRPr="001E6F82">
        <w:t>Poprawka</w:t>
      </w:r>
      <w:r w:rsidRPr="001E6F82">
        <w:tab/>
      </w:r>
      <w:r w:rsidRPr="001E6F82">
        <w:tab/>
        <w:t>72</w:t>
      </w:r>
    </w:p>
    <w:p w14:paraId="05AEBA9E" w14:textId="77777777" w:rsidR="002E6C09" w:rsidRPr="001E6F82" w:rsidRDefault="002E6C09" w:rsidP="002E6C09">
      <w:pPr>
        <w:pStyle w:val="NormalBold"/>
      </w:pPr>
      <w:r w:rsidRPr="001E6F82">
        <w:t>Wniosek dotyczący rozporządzenia</w:t>
      </w:r>
    </w:p>
    <w:p w14:paraId="1B39FA12" w14:textId="77777777" w:rsidR="002E6C09" w:rsidRPr="001E6F82" w:rsidRDefault="002E6C09" w:rsidP="002E6C09">
      <w:pPr>
        <w:pStyle w:val="NormalBold"/>
      </w:pPr>
      <w:r w:rsidRPr="001E6F82">
        <w:t>Artykuł 3 – akapit 1 – punkt 7</w:t>
      </w:r>
    </w:p>
    <w:p w14:paraId="1A3B40A2" w14:textId="77777777" w:rsidR="002E6C09" w:rsidRPr="001E6F82" w:rsidRDefault="002E6C09" w:rsidP="002E6C09">
      <w:r w:rsidRPr="001E6F82">
        <w:t>Rozporządzenie (UE) nr 2019/1009</w:t>
      </w:r>
    </w:p>
    <w:p w14:paraId="6E2B5440" w14:textId="77777777" w:rsidR="002E6C09" w:rsidRPr="001E6F82" w:rsidRDefault="002E6C09" w:rsidP="002E6C09">
      <w:r w:rsidRPr="001E6F82">
        <w:t>Artykuł 16 – ustęp 5 – akapit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3AC7AFE" w14:textId="77777777" w:rsidTr="00844FF8">
        <w:trPr>
          <w:trHeight w:val="240"/>
          <w:jc w:val="center"/>
        </w:trPr>
        <w:tc>
          <w:tcPr>
            <w:tcW w:w="9752" w:type="dxa"/>
            <w:gridSpan w:val="2"/>
            <w:tcBorders>
              <w:top w:val="nil"/>
              <w:left w:val="nil"/>
              <w:bottom w:val="nil"/>
              <w:right w:val="nil"/>
            </w:tcBorders>
          </w:tcPr>
          <w:p w14:paraId="0F4C0D72" w14:textId="77777777" w:rsidR="002E6C09" w:rsidRPr="001E6F82" w:rsidRDefault="002E6C09" w:rsidP="00844FF8"/>
        </w:tc>
      </w:tr>
      <w:tr w:rsidR="002E6C09" w:rsidRPr="001E6F82" w14:paraId="6D8AD223" w14:textId="77777777" w:rsidTr="00844FF8">
        <w:trPr>
          <w:trHeight w:val="240"/>
          <w:jc w:val="center"/>
        </w:trPr>
        <w:tc>
          <w:tcPr>
            <w:tcW w:w="4876" w:type="dxa"/>
            <w:tcBorders>
              <w:top w:val="nil"/>
              <w:left w:val="nil"/>
              <w:bottom w:val="nil"/>
              <w:right w:val="nil"/>
            </w:tcBorders>
            <w:hideMark/>
          </w:tcPr>
          <w:p w14:paraId="3AF76566"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FF9CF19" w14:textId="77777777" w:rsidR="002E6C09" w:rsidRPr="001E6F82" w:rsidRDefault="002E6C09" w:rsidP="00844FF8">
            <w:pPr>
              <w:pStyle w:val="AmColumnHeading"/>
            </w:pPr>
            <w:r w:rsidRPr="001E6F82">
              <w:t>Poprawka</w:t>
            </w:r>
          </w:p>
        </w:tc>
      </w:tr>
      <w:tr w:rsidR="002E6C09" w:rsidRPr="001E6F82" w14:paraId="1E7877EA" w14:textId="77777777" w:rsidTr="00844FF8">
        <w:trPr>
          <w:jc w:val="center"/>
        </w:trPr>
        <w:tc>
          <w:tcPr>
            <w:tcW w:w="4876" w:type="dxa"/>
            <w:tcBorders>
              <w:top w:val="nil"/>
              <w:left w:val="nil"/>
              <w:bottom w:val="nil"/>
              <w:right w:val="nil"/>
            </w:tcBorders>
            <w:hideMark/>
          </w:tcPr>
          <w:p w14:paraId="01AC83AD" w14:textId="77777777" w:rsidR="002E6C09" w:rsidRPr="001E6F82" w:rsidRDefault="002E6C09" w:rsidP="00844FF8">
            <w:pPr>
              <w:pStyle w:val="Normal6a"/>
            </w:pPr>
            <w:r w:rsidRPr="001E6F82">
              <w:t xml:space="preserve">Deklarację zgodności UE udostępnia się w formacie nadającym się do odczytu maszynowego i </w:t>
            </w:r>
            <w:r w:rsidRPr="001E6F82">
              <w:rPr>
                <w:b/>
                <w:i/>
              </w:rPr>
              <w:t>otwartym zgodnie z art. 2 pkt 13 i 14 dyrektywy Parlamentu Europejskiego i Rady (UE) 2019/1024* oraz spełniającym wymogi dotyczące etykiet cyfrowych określone w art. 11b ust. 4 lit. a)–d)</w:t>
            </w:r>
            <w:r w:rsidRPr="001E6F82">
              <w:t>.</w:t>
            </w:r>
          </w:p>
        </w:tc>
        <w:tc>
          <w:tcPr>
            <w:tcW w:w="4876" w:type="dxa"/>
            <w:tcBorders>
              <w:top w:val="nil"/>
              <w:left w:val="nil"/>
              <w:bottom w:val="nil"/>
              <w:right w:val="nil"/>
            </w:tcBorders>
            <w:hideMark/>
          </w:tcPr>
          <w:p w14:paraId="52443A2B" w14:textId="77777777" w:rsidR="002E6C09" w:rsidRPr="001E6F82" w:rsidRDefault="002E6C09" w:rsidP="00844FF8">
            <w:pPr>
              <w:pStyle w:val="Normal6a"/>
            </w:pPr>
            <w:r w:rsidRPr="001E6F82">
              <w:t xml:space="preserve">Deklarację zgodności UE udostępnia się w formacie nadającym się do odczytu maszynowego i </w:t>
            </w:r>
            <w:r w:rsidRPr="001E6F82">
              <w:rPr>
                <w:b/>
                <w:i/>
              </w:rPr>
              <w:t>umożliwiającym bezpośredni dostęp</w:t>
            </w:r>
            <w:r w:rsidRPr="001E6F82">
              <w:t>.</w:t>
            </w:r>
          </w:p>
        </w:tc>
      </w:tr>
    </w:tbl>
    <w:p w14:paraId="0E9D12E5" w14:textId="77777777" w:rsidR="002E6C09" w:rsidRPr="001E6F82" w:rsidRDefault="002E6C09" w:rsidP="002E6C09"/>
    <w:p w14:paraId="3AEA8839" w14:textId="77777777" w:rsidR="002E6C09" w:rsidRPr="001E6F82" w:rsidRDefault="002E6C09" w:rsidP="002E6C09">
      <w:pPr>
        <w:pStyle w:val="AmNumberTabs"/>
      </w:pPr>
      <w:r w:rsidRPr="001E6F82">
        <w:t>Poprawka</w:t>
      </w:r>
      <w:r w:rsidRPr="001E6F82">
        <w:tab/>
      </w:r>
      <w:r w:rsidRPr="001E6F82">
        <w:tab/>
        <w:t>73</w:t>
      </w:r>
    </w:p>
    <w:p w14:paraId="5278D2EA" w14:textId="77777777" w:rsidR="002E6C09" w:rsidRPr="001E6F82" w:rsidRDefault="002E6C09" w:rsidP="002E6C09">
      <w:pPr>
        <w:pStyle w:val="NormalBold"/>
      </w:pPr>
      <w:r w:rsidRPr="001E6F82">
        <w:t>Wniosek dotyczący rozporządzenia</w:t>
      </w:r>
    </w:p>
    <w:p w14:paraId="00403D8B" w14:textId="77777777" w:rsidR="002E6C09" w:rsidRPr="001E6F82" w:rsidRDefault="002E6C09" w:rsidP="002E6C09">
      <w:pPr>
        <w:pStyle w:val="NormalBold"/>
      </w:pPr>
      <w:r w:rsidRPr="001E6F82">
        <w:t>Artykuł 3 – akapit 1 – punkt 9 – litera b</w:t>
      </w:r>
    </w:p>
    <w:p w14:paraId="3B85AB81" w14:textId="77777777" w:rsidR="002E6C09" w:rsidRPr="001E6F82" w:rsidRDefault="002E6C09" w:rsidP="002E6C09">
      <w:r w:rsidRPr="001E6F82">
        <w:t>Rozporządzenie (UE) nr 2019/1009</w:t>
      </w:r>
    </w:p>
    <w:p w14:paraId="12113B93" w14:textId="77777777" w:rsidR="002E6C09" w:rsidRPr="001E6F82" w:rsidRDefault="002E6C09" w:rsidP="002E6C09">
      <w:r w:rsidRPr="001E6F82">
        <w:t>Artykuł 42 – ustęp 4a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CAC40D6" w14:textId="77777777" w:rsidTr="00844FF8">
        <w:trPr>
          <w:trHeight w:val="240"/>
          <w:jc w:val="center"/>
        </w:trPr>
        <w:tc>
          <w:tcPr>
            <w:tcW w:w="9752" w:type="dxa"/>
            <w:gridSpan w:val="2"/>
            <w:tcBorders>
              <w:top w:val="nil"/>
              <w:left w:val="nil"/>
              <w:bottom w:val="nil"/>
              <w:right w:val="nil"/>
            </w:tcBorders>
          </w:tcPr>
          <w:p w14:paraId="3A2731BF" w14:textId="77777777" w:rsidR="002E6C09" w:rsidRPr="001E6F82" w:rsidRDefault="002E6C09" w:rsidP="00844FF8"/>
        </w:tc>
      </w:tr>
      <w:tr w:rsidR="002E6C09" w:rsidRPr="001E6F82" w14:paraId="58BF5C22" w14:textId="77777777" w:rsidTr="00844FF8">
        <w:trPr>
          <w:trHeight w:val="240"/>
          <w:jc w:val="center"/>
        </w:trPr>
        <w:tc>
          <w:tcPr>
            <w:tcW w:w="4876" w:type="dxa"/>
            <w:tcBorders>
              <w:top w:val="nil"/>
              <w:left w:val="nil"/>
              <w:bottom w:val="nil"/>
              <w:right w:val="nil"/>
            </w:tcBorders>
            <w:hideMark/>
          </w:tcPr>
          <w:p w14:paraId="473FFA0E"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C68BA48" w14:textId="77777777" w:rsidR="002E6C09" w:rsidRPr="001E6F82" w:rsidRDefault="002E6C09" w:rsidP="00844FF8">
            <w:pPr>
              <w:pStyle w:val="AmColumnHeading"/>
            </w:pPr>
            <w:r w:rsidRPr="001E6F82">
              <w:t>Poprawka</w:t>
            </w:r>
          </w:p>
        </w:tc>
      </w:tr>
      <w:tr w:rsidR="002E6C09" w:rsidRPr="001E6F82" w14:paraId="7800F8C9" w14:textId="77777777" w:rsidTr="00844FF8">
        <w:trPr>
          <w:jc w:val="center"/>
        </w:trPr>
        <w:tc>
          <w:tcPr>
            <w:tcW w:w="4876" w:type="dxa"/>
            <w:tcBorders>
              <w:top w:val="nil"/>
              <w:left w:val="nil"/>
              <w:bottom w:val="nil"/>
              <w:right w:val="nil"/>
            </w:tcBorders>
            <w:hideMark/>
          </w:tcPr>
          <w:p w14:paraId="403E677B" w14:textId="77777777" w:rsidR="002E6C09" w:rsidRPr="001E6F82" w:rsidRDefault="002E6C09" w:rsidP="00844FF8">
            <w:pPr>
              <w:pStyle w:val="Normal6a"/>
            </w:pPr>
            <w:r w:rsidRPr="001E6F82">
              <w:t xml:space="preserve">Komisja może również przyjmować akty delegowane na podstawie ust. 1 zmieniające załącznik II w celu określenia kryteriów i metodyki oceny mikroorganizmów innych niż wymienione w załączniku II, które – jeżeli </w:t>
            </w:r>
            <w:r w:rsidRPr="001E6F82">
              <w:rPr>
                <w:b/>
                <w:i/>
              </w:rPr>
              <w:t>wykazano</w:t>
            </w:r>
            <w:r w:rsidRPr="001E6F82">
              <w:t xml:space="preserve"> zgodność z tymi kryteriami w ocenie zgodności produktu nawozowego UE zgodnie z taką metodyką – mogą być stosowane jako materiał składowy w produktach nawozowych UE. Kryteria i metody umożliwiają </w:t>
            </w:r>
            <w:proofErr w:type="gramStart"/>
            <w:r w:rsidRPr="001E6F82">
              <w:t>weryfikację,</w:t>
            </w:r>
            <w:proofErr w:type="gramEnd"/>
            <w:r w:rsidRPr="001E6F82">
              <w:t xml:space="preserve"> czy mikroorganizmy spełniają kryteria określone w ust. 1 lit. b), oraz przewidują co najmniej rozważenie następujących elementów:</w:t>
            </w:r>
          </w:p>
        </w:tc>
        <w:tc>
          <w:tcPr>
            <w:tcW w:w="4876" w:type="dxa"/>
            <w:tcBorders>
              <w:top w:val="nil"/>
              <w:left w:val="nil"/>
              <w:bottom w:val="nil"/>
              <w:right w:val="nil"/>
            </w:tcBorders>
            <w:hideMark/>
          </w:tcPr>
          <w:p w14:paraId="3514BF70" w14:textId="77777777" w:rsidR="002E6C09" w:rsidRPr="001E6F82" w:rsidRDefault="002E6C09" w:rsidP="00844FF8">
            <w:pPr>
              <w:pStyle w:val="Normal6a"/>
            </w:pPr>
            <w:r w:rsidRPr="001E6F82">
              <w:t xml:space="preserve">Komisja może również przyjmować akty delegowane na podstawie ust. 1 zmieniające załącznik II w celu określenia kryteriów i metodyki oceny mikroorganizmów innych niż wymienione w załączniku II, które – jeżeli </w:t>
            </w:r>
            <w:r w:rsidRPr="001E6F82">
              <w:rPr>
                <w:b/>
                <w:i/>
              </w:rPr>
              <w:t>producent udowodni, a jednostki notyfikowane zweryfikują</w:t>
            </w:r>
            <w:r w:rsidRPr="001E6F82">
              <w:t xml:space="preserve"> zgodność z tymi kryteriami w ocenie zgodności produktu nawozowego UE zgodnie z taką metodyką – mogą być stosowane jako materiał składowy w produktach nawozowych UE. Kryteria i metody umożliwiają </w:t>
            </w:r>
            <w:r w:rsidRPr="001E6F82">
              <w:rPr>
                <w:b/>
                <w:i/>
              </w:rPr>
              <w:t>jednostce notyfikowanej</w:t>
            </w:r>
            <w:r w:rsidRPr="001E6F82">
              <w:t xml:space="preserve"> </w:t>
            </w:r>
            <w:proofErr w:type="gramStart"/>
            <w:r w:rsidRPr="001E6F82">
              <w:t>weryfikację,</w:t>
            </w:r>
            <w:proofErr w:type="gramEnd"/>
            <w:r w:rsidRPr="001E6F82">
              <w:t xml:space="preserve"> czy mikroorganizmy spełniają kryteria określone w ust. 1 lit. b), oraz przewidują co najmniej rozważenie następujących elementów:</w:t>
            </w:r>
          </w:p>
        </w:tc>
      </w:tr>
    </w:tbl>
    <w:p w14:paraId="585533B3" w14:textId="77777777" w:rsidR="002E6C09" w:rsidRPr="001E6F82" w:rsidRDefault="002E6C09" w:rsidP="002E6C09"/>
    <w:p w14:paraId="57AD3D75" w14:textId="77777777" w:rsidR="002E6C09" w:rsidRPr="001E6F82" w:rsidRDefault="002E6C09" w:rsidP="002E6C09">
      <w:pPr>
        <w:pStyle w:val="AmNumberTabs"/>
      </w:pPr>
      <w:r w:rsidRPr="001E6F82">
        <w:t>Poprawka</w:t>
      </w:r>
      <w:r w:rsidRPr="001E6F82">
        <w:tab/>
      </w:r>
      <w:r w:rsidRPr="001E6F82">
        <w:tab/>
        <w:t>74</w:t>
      </w:r>
    </w:p>
    <w:p w14:paraId="2C1B8CC5" w14:textId="77777777" w:rsidR="002E6C09" w:rsidRPr="001E6F82" w:rsidRDefault="002E6C09" w:rsidP="002E6C09">
      <w:pPr>
        <w:pStyle w:val="NormalBold"/>
      </w:pPr>
      <w:r w:rsidRPr="001E6F82">
        <w:lastRenderedPageBreak/>
        <w:t>Wniosek dotyczący rozporządzenia</w:t>
      </w:r>
    </w:p>
    <w:p w14:paraId="37F41E2F" w14:textId="77777777" w:rsidR="002E6C09" w:rsidRPr="001E6F82" w:rsidRDefault="002E6C09" w:rsidP="002E6C09">
      <w:pPr>
        <w:pStyle w:val="NormalBold"/>
      </w:pPr>
      <w:r w:rsidRPr="001E6F82">
        <w:t>Artykuł 3 – akapit 1 – punkt 9 – litera b</w:t>
      </w:r>
    </w:p>
    <w:p w14:paraId="2B36C8E4" w14:textId="77777777" w:rsidR="002E6C09" w:rsidRPr="001E6F82" w:rsidRDefault="002E6C09" w:rsidP="002E6C09">
      <w:r w:rsidRPr="001E6F82">
        <w:t>Rozporządzenie (UE) nr 2019/1009</w:t>
      </w:r>
    </w:p>
    <w:p w14:paraId="6FC5A82B" w14:textId="77777777" w:rsidR="002E6C09" w:rsidRPr="001E6F82" w:rsidRDefault="002E6C09" w:rsidP="002E6C09">
      <w:r w:rsidRPr="001E6F82">
        <w:t xml:space="preserve">Artykuł 42 – ustęp 4 a </w:t>
      </w:r>
      <w:proofErr w:type="spellStart"/>
      <w:r w:rsidRPr="001E6F82">
        <w:t>a</w:t>
      </w:r>
      <w:proofErr w:type="spellEnd"/>
      <w:r w:rsidRPr="001E6F82">
        <w:t xml:space="preserve">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5A978CD8" w14:textId="77777777" w:rsidTr="00844FF8">
        <w:trPr>
          <w:trHeight w:val="240"/>
          <w:jc w:val="center"/>
        </w:trPr>
        <w:tc>
          <w:tcPr>
            <w:tcW w:w="9752" w:type="dxa"/>
            <w:gridSpan w:val="2"/>
            <w:tcBorders>
              <w:top w:val="nil"/>
              <w:left w:val="nil"/>
              <w:bottom w:val="nil"/>
              <w:right w:val="nil"/>
            </w:tcBorders>
          </w:tcPr>
          <w:p w14:paraId="0CD1758E" w14:textId="77777777" w:rsidR="002E6C09" w:rsidRPr="001E6F82" w:rsidRDefault="002E6C09" w:rsidP="00844FF8"/>
        </w:tc>
      </w:tr>
      <w:tr w:rsidR="002E6C09" w:rsidRPr="001E6F82" w14:paraId="58055555" w14:textId="77777777" w:rsidTr="00844FF8">
        <w:trPr>
          <w:trHeight w:val="240"/>
          <w:jc w:val="center"/>
        </w:trPr>
        <w:tc>
          <w:tcPr>
            <w:tcW w:w="4876" w:type="dxa"/>
            <w:tcBorders>
              <w:top w:val="nil"/>
              <w:left w:val="nil"/>
              <w:bottom w:val="nil"/>
              <w:right w:val="nil"/>
            </w:tcBorders>
            <w:hideMark/>
          </w:tcPr>
          <w:p w14:paraId="0303268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AE96CF2" w14:textId="77777777" w:rsidR="002E6C09" w:rsidRPr="001E6F82" w:rsidRDefault="002E6C09" w:rsidP="00844FF8">
            <w:pPr>
              <w:pStyle w:val="AmColumnHeading"/>
            </w:pPr>
            <w:r w:rsidRPr="001E6F82">
              <w:t>Poprawka</w:t>
            </w:r>
          </w:p>
        </w:tc>
      </w:tr>
      <w:tr w:rsidR="002E6C09" w:rsidRPr="001E6F82" w14:paraId="3E5444D7" w14:textId="77777777" w:rsidTr="00844FF8">
        <w:trPr>
          <w:jc w:val="center"/>
        </w:trPr>
        <w:tc>
          <w:tcPr>
            <w:tcW w:w="4876" w:type="dxa"/>
            <w:tcBorders>
              <w:top w:val="nil"/>
              <w:left w:val="nil"/>
              <w:bottom w:val="nil"/>
              <w:right w:val="nil"/>
            </w:tcBorders>
          </w:tcPr>
          <w:p w14:paraId="5FA7916B" w14:textId="77777777" w:rsidR="002E6C09" w:rsidRPr="001E6F82" w:rsidRDefault="002E6C09" w:rsidP="00844FF8">
            <w:pPr>
              <w:pStyle w:val="Normal6a"/>
            </w:pPr>
          </w:p>
        </w:tc>
        <w:tc>
          <w:tcPr>
            <w:tcW w:w="4876" w:type="dxa"/>
            <w:tcBorders>
              <w:top w:val="nil"/>
              <w:left w:val="nil"/>
              <w:bottom w:val="nil"/>
              <w:right w:val="nil"/>
            </w:tcBorders>
            <w:hideMark/>
          </w:tcPr>
          <w:p w14:paraId="3A829328" w14:textId="77777777" w:rsidR="002E6C09" w:rsidRPr="001E6F82" w:rsidRDefault="002E6C09" w:rsidP="00844FF8">
            <w:pPr>
              <w:pStyle w:val="Normal6a"/>
            </w:pPr>
            <w:r w:rsidRPr="001E6F82">
              <w:rPr>
                <w:b/>
                <w:i/>
              </w:rPr>
              <w:t>Dodaje się ust. 4aa w brzmieniu:</w:t>
            </w:r>
          </w:p>
        </w:tc>
      </w:tr>
      <w:tr w:rsidR="002E6C09" w:rsidRPr="001E6F82" w14:paraId="7F648F41" w14:textId="77777777" w:rsidTr="00844FF8">
        <w:trPr>
          <w:jc w:val="center"/>
        </w:trPr>
        <w:tc>
          <w:tcPr>
            <w:tcW w:w="4876" w:type="dxa"/>
            <w:tcBorders>
              <w:top w:val="nil"/>
              <w:left w:val="nil"/>
              <w:bottom w:val="nil"/>
              <w:right w:val="nil"/>
            </w:tcBorders>
          </w:tcPr>
          <w:p w14:paraId="41E1C7BE" w14:textId="77777777" w:rsidR="002E6C09" w:rsidRPr="001E6F82" w:rsidRDefault="002E6C09" w:rsidP="00844FF8">
            <w:pPr>
              <w:pStyle w:val="Normal6a"/>
            </w:pPr>
          </w:p>
        </w:tc>
        <w:tc>
          <w:tcPr>
            <w:tcW w:w="4876" w:type="dxa"/>
            <w:tcBorders>
              <w:top w:val="nil"/>
              <w:left w:val="nil"/>
              <w:bottom w:val="nil"/>
              <w:right w:val="nil"/>
            </w:tcBorders>
            <w:hideMark/>
          </w:tcPr>
          <w:p w14:paraId="0DB8A37C" w14:textId="77777777" w:rsidR="002E6C09" w:rsidRPr="001E6F82" w:rsidRDefault="002E6C09" w:rsidP="00844FF8">
            <w:pPr>
              <w:pStyle w:val="Normal6a"/>
            </w:pPr>
            <w:r w:rsidRPr="001E6F82">
              <w:rPr>
                <w:b/>
                <w:i/>
              </w:rPr>
              <w:t>„4aa. Komisja może również przyjmować akty delegowane na podstawie ust. 1 zmieniające załącznik II w celu ustanowienia ogólnych kryteriów i metodyki oceny materiałów i metod przetwarzania innych niż wymienione już w załączniku II (z wyłączeniem mikroorganizmów), które mogą być stosowane jako materiały składowe w produktach nawozowych UE, jeżeli w ocenie zgodności wykazano zgodność z tymi kryteriami. Kryteria i metodyka przewidują co najmniej uwzględnienie informacji naukowych lub technicznych wspierających bezpieczne pozyskiwanie, przetwarzanie i wykorzystywanie materiału.”;</w:t>
            </w:r>
          </w:p>
        </w:tc>
      </w:tr>
    </w:tbl>
    <w:p w14:paraId="4FD8AE31" w14:textId="77777777" w:rsidR="002E6C09" w:rsidRPr="001E6F82" w:rsidRDefault="002E6C09" w:rsidP="002E6C09"/>
    <w:p w14:paraId="469F7820" w14:textId="77777777" w:rsidR="002E6C09" w:rsidRPr="001E6F82" w:rsidRDefault="002E6C09" w:rsidP="002E6C09">
      <w:pPr>
        <w:pStyle w:val="AmNumberTabs"/>
      </w:pPr>
      <w:r w:rsidRPr="001E6F82">
        <w:t>Poprawka</w:t>
      </w:r>
      <w:r w:rsidRPr="001E6F82">
        <w:tab/>
      </w:r>
      <w:r w:rsidRPr="001E6F82">
        <w:tab/>
        <w:t>75</w:t>
      </w:r>
    </w:p>
    <w:p w14:paraId="6ED033CC" w14:textId="77777777" w:rsidR="002E6C09" w:rsidRPr="001E6F82" w:rsidRDefault="002E6C09" w:rsidP="002E6C09">
      <w:pPr>
        <w:pStyle w:val="NormalBold"/>
      </w:pPr>
      <w:r w:rsidRPr="001E6F82">
        <w:t>Wniosek dotyczący rozporządzenia</w:t>
      </w:r>
    </w:p>
    <w:p w14:paraId="44600096" w14:textId="77777777" w:rsidR="002E6C09" w:rsidRPr="001E6F82" w:rsidRDefault="002E6C09" w:rsidP="002E6C09">
      <w:pPr>
        <w:pStyle w:val="NormalBold"/>
      </w:pPr>
      <w:r w:rsidRPr="001E6F82">
        <w:t>Artykuł 3 – akapit 1 – punkt 9 – litera b</w:t>
      </w:r>
    </w:p>
    <w:p w14:paraId="32034E7D" w14:textId="77777777" w:rsidR="002E6C09" w:rsidRPr="001E6F82" w:rsidRDefault="002E6C09" w:rsidP="002E6C09">
      <w:r w:rsidRPr="001E6F82">
        <w:t>Rozporządzenie (UE) nr 2019/1009</w:t>
      </w:r>
    </w:p>
    <w:p w14:paraId="43E6DCA3" w14:textId="77777777" w:rsidR="002E6C09" w:rsidRPr="001E6F82" w:rsidRDefault="002E6C09" w:rsidP="002E6C09">
      <w:r w:rsidRPr="001E6F82">
        <w:t>Artykuł 42 – ustęp 4 a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6EED971" w14:textId="77777777" w:rsidTr="00844FF8">
        <w:trPr>
          <w:trHeight w:val="240"/>
          <w:jc w:val="center"/>
        </w:trPr>
        <w:tc>
          <w:tcPr>
            <w:tcW w:w="9752" w:type="dxa"/>
            <w:gridSpan w:val="2"/>
            <w:tcBorders>
              <w:top w:val="nil"/>
              <w:left w:val="nil"/>
              <w:bottom w:val="nil"/>
              <w:right w:val="nil"/>
            </w:tcBorders>
          </w:tcPr>
          <w:p w14:paraId="0AAB4125" w14:textId="77777777" w:rsidR="002E6C09" w:rsidRPr="001E6F82" w:rsidRDefault="002E6C09" w:rsidP="00844FF8"/>
        </w:tc>
      </w:tr>
      <w:tr w:rsidR="002E6C09" w:rsidRPr="001E6F82" w14:paraId="4E81C880" w14:textId="77777777" w:rsidTr="00844FF8">
        <w:trPr>
          <w:trHeight w:val="240"/>
          <w:jc w:val="center"/>
        </w:trPr>
        <w:tc>
          <w:tcPr>
            <w:tcW w:w="4876" w:type="dxa"/>
            <w:tcBorders>
              <w:top w:val="nil"/>
              <w:left w:val="nil"/>
              <w:bottom w:val="nil"/>
              <w:right w:val="nil"/>
            </w:tcBorders>
            <w:hideMark/>
          </w:tcPr>
          <w:p w14:paraId="7418BC4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3FD10FE" w14:textId="77777777" w:rsidR="002E6C09" w:rsidRPr="001E6F82" w:rsidRDefault="002E6C09" w:rsidP="00844FF8">
            <w:pPr>
              <w:pStyle w:val="AmColumnHeading"/>
            </w:pPr>
            <w:r w:rsidRPr="001E6F82">
              <w:t>Poprawka</w:t>
            </w:r>
          </w:p>
        </w:tc>
      </w:tr>
      <w:tr w:rsidR="002E6C09" w:rsidRPr="001E6F82" w14:paraId="618616FD" w14:textId="77777777" w:rsidTr="00844FF8">
        <w:trPr>
          <w:jc w:val="center"/>
        </w:trPr>
        <w:tc>
          <w:tcPr>
            <w:tcW w:w="4876" w:type="dxa"/>
            <w:tcBorders>
              <w:top w:val="nil"/>
              <w:left w:val="nil"/>
              <w:bottom w:val="nil"/>
              <w:right w:val="nil"/>
            </w:tcBorders>
          </w:tcPr>
          <w:p w14:paraId="63F5A373" w14:textId="77777777" w:rsidR="002E6C09" w:rsidRPr="001E6F82" w:rsidRDefault="002E6C09" w:rsidP="00844FF8">
            <w:pPr>
              <w:pStyle w:val="Normal6a"/>
            </w:pPr>
          </w:p>
        </w:tc>
        <w:tc>
          <w:tcPr>
            <w:tcW w:w="4876" w:type="dxa"/>
            <w:tcBorders>
              <w:top w:val="nil"/>
              <w:left w:val="nil"/>
              <w:bottom w:val="nil"/>
              <w:right w:val="nil"/>
            </w:tcBorders>
            <w:hideMark/>
          </w:tcPr>
          <w:p w14:paraId="618C6185" w14:textId="77777777" w:rsidR="002E6C09" w:rsidRPr="001E6F82" w:rsidRDefault="002E6C09" w:rsidP="00844FF8">
            <w:pPr>
              <w:pStyle w:val="Normal6a"/>
            </w:pPr>
            <w:r w:rsidRPr="001E6F82">
              <w:rPr>
                <w:b/>
                <w:i/>
              </w:rPr>
              <w:t>dodaje się ust. 4ab w brzmieniu:</w:t>
            </w:r>
          </w:p>
        </w:tc>
      </w:tr>
      <w:tr w:rsidR="002E6C09" w:rsidRPr="001E6F82" w14:paraId="22BD25B8" w14:textId="77777777" w:rsidTr="00844FF8">
        <w:trPr>
          <w:jc w:val="center"/>
        </w:trPr>
        <w:tc>
          <w:tcPr>
            <w:tcW w:w="4876" w:type="dxa"/>
            <w:tcBorders>
              <w:top w:val="nil"/>
              <w:left w:val="nil"/>
              <w:bottom w:val="nil"/>
              <w:right w:val="nil"/>
            </w:tcBorders>
          </w:tcPr>
          <w:p w14:paraId="702CC26C" w14:textId="77777777" w:rsidR="002E6C09" w:rsidRPr="001E6F82" w:rsidRDefault="002E6C09" w:rsidP="00844FF8">
            <w:pPr>
              <w:pStyle w:val="Normal6a"/>
            </w:pPr>
          </w:p>
        </w:tc>
        <w:tc>
          <w:tcPr>
            <w:tcW w:w="4876" w:type="dxa"/>
            <w:tcBorders>
              <w:top w:val="nil"/>
              <w:left w:val="nil"/>
              <w:bottom w:val="nil"/>
              <w:right w:val="nil"/>
            </w:tcBorders>
            <w:hideMark/>
          </w:tcPr>
          <w:p w14:paraId="002B9343" w14:textId="77777777" w:rsidR="002E6C09" w:rsidRPr="001E6F82" w:rsidRDefault="002E6C09" w:rsidP="00844FF8">
            <w:pPr>
              <w:pStyle w:val="Normal6a"/>
            </w:pPr>
            <w:r w:rsidRPr="001E6F82">
              <w:rPr>
                <w:b/>
                <w:i/>
              </w:rPr>
              <w:t xml:space="preserve">„4ab. Do [12 miesięcy po dacie wejścia w życie niniejszego rozporządzenia zmieniającego] r. Komisja przyjmuje akt delegowany w celu ustanowienia kryteriów i utworzenia, po dokonaniu oceny, odpowiedniej nowej kategorii materiałów i metod przetwarzania innych niż wymienione już w załączniku II (z wyłączeniem mikroorganizmów), które mogą być stosowane jako materiały składowe w produktach nawozowych UE, jeżeli w ocenie zgodności wykazano zgodność z tymi kryteriami. Kryteria i </w:t>
            </w:r>
            <w:r w:rsidRPr="001E6F82">
              <w:rPr>
                <w:b/>
                <w:i/>
              </w:rPr>
              <w:lastRenderedPageBreak/>
              <w:t>metodyka mają na celu dbałość o bezpieczne pozyskiwanie, przetwarzanie i wykorzystywanie materiału. Nowa kategoria powstaje bez uszczerbku dla stosowania innych kategorii materiałów składowych określonych w załączniku II.”;</w:t>
            </w:r>
          </w:p>
        </w:tc>
      </w:tr>
    </w:tbl>
    <w:p w14:paraId="4D5CB60C" w14:textId="77777777" w:rsidR="002E6C09" w:rsidRPr="001E6F82" w:rsidRDefault="002E6C09" w:rsidP="002E6C09"/>
    <w:p w14:paraId="78C0C70B" w14:textId="77777777" w:rsidR="002E6C09" w:rsidRPr="001E6F82" w:rsidRDefault="002E6C09" w:rsidP="002E6C09">
      <w:pPr>
        <w:pStyle w:val="AmNumberTabs"/>
      </w:pPr>
      <w:r w:rsidRPr="001E6F82">
        <w:t>Poprawka</w:t>
      </w:r>
      <w:r w:rsidRPr="001E6F82">
        <w:tab/>
      </w:r>
      <w:r w:rsidRPr="001E6F82">
        <w:tab/>
        <w:t>76</w:t>
      </w:r>
    </w:p>
    <w:p w14:paraId="16A0E54A" w14:textId="77777777" w:rsidR="002E6C09" w:rsidRPr="001E6F82" w:rsidRDefault="002E6C09" w:rsidP="002E6C09">
      <w:pPr>
        <w:pStyle w:val="NormalBold"/>
      </w:pPr>
      <w:r w:rsidRPr="001E6F82">
        <w:t>Wniosek dotyczący rozporządzenia</w:t>
      </w:r>
    </w:p>
    <w:p w14:paraId="3588F7C3" w14:textId="77777777" w:rsidR="002E6C09" w:rsidRPr="001E6F82" w:rsidRDefault="002E6C09" w:rsidP="002E6C09">
      <w:pPr>
        <w:pStyle w:val="NormalBold"/>
      </w:pPr>
      <w:r w:rsidRPr="001E6F82">
        <w:t>Artykuł 3 – akapit 1 – punkt 9 – litera b a (nowa)</w:t>
      </w:r>
    </w:p>
    <w:p w14:paraId="6295D04D" w14:textId="77777777" w:rsidR="002E6C09" w:rsidRPr="001E6F82" w:rsidRDefault="002E6C09" w:rsidP="002E6C09">
      <w:r w:rsidRPr="001E6F82">
        <w:t>Rozporządzenie (UE) nr 2019/1009</w:t>
      </w:r>
    </w:p>
    <w:p w14:paraId="2864F95C" w14:textId="77777777" w:rsidR="002E6C09" w:rsidRPr="001E6F82" w:rsidRDefault="002E6C09" w:rsidP="002E6C09">
      <w:r w:rsidRPr="001E6F82">
        <w:t>Artykuł 42 – ustęp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DA32718" w14:textId="77777777" w:rsidTr="00844FF8">
        <w:trPr>
          <w:trHeight w:val="240"/>
          <w:jc w:val="center"/>
        </w:trPr>
        <w:tc>
          <w:tcPr>
            <w:tcW w:w="9752" w:type="dxa"/>
            <w:gridSpan w:val="2"/>
            <w:tcBorders>
              <w:top w:val="nil"/>
              <w:left w:val="nil"/>
              <w:bottom w:val="nil"/>
              <w:right w:val="nil"/>
            </w:tcBorders>
          </w:tcPr>
          <w:p w14:paraId="44BEFAAA" w14:textId="77777777" w:rsidR="002E6C09" w:rsidRPr="001E6F82" w:rsidRDefault="002E6C09" w:rsidP="00844FF8"/>
        </w:tc>
      </w:tr>
      <w:tr w:rsidR="002E6C09" w:rsidRPr="001E6F82" w14:paraId="5AD38362" w14:textId="77777777" w:rsidTr="00844FF8">
        <w:trPr>
          <w:trHeight w:val="240"/>
          <w:jc w:val="center"/>
        </w:trPr>
        <w:tc>
          <w:tcPr>
            <w:tcW w:w="4876" w:type="dxa"/>
            <w:tcBorders>
              <w:top w:val="nil"/>
              <w:left w:val="nil"/>
              <w:bottom w:val="nil"/>
              <w:right w:val="nil"/>
            </w:tcBorders>
            <w:hideMark/>
          </w:tcPr>
          <w:p w14:paraId="271FADA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05564CF8" w14:textId="77777777" w:rsidR="002E6C09" w:rsidRPr="001E6F82" w:rsidRDefault="002E6C09" w:rsidP="00844FF8">
            <w:pPr>
              <w:pStyle w:val="AmColumnHeading"/>
            </w:pPr>
            <w:r w:rsidRPr="001E6F82">
              <w:t>Poprawka</w:t>
            </w:r>
          </w:p>
        </w:tc>
      </w:tr>
      <w:tr w:rsidR="002E6C09" w:rsidRPr="001E6F82" w14:paraId="0EABB604" w14:textId="77777777" w:rsidTr="00844FF8">
        <w:trPr>
          <w:jc w:val="center"/>
        </w:trPr>
        <w:tc>
          <w:tcPr>
            <w:tcW w:w="4876" w:type="dxa"/>
            <w:tcBorders>
              <w:top w:val="nil"/>
              <w:left w:val="nil"/>
              <w:bottom w:val="nil"/>
              <w:right w:val="nil"/>
            </w:tcBorders>
          </w:tcPr>
          <w:p w14:paraId="7F6436C4" w14:textId="77777777" w:rsidR="002E6C09" w:rsidRPr="001E6F82" w:rsidRDefault="002E6C09" w:rsidP="00844FF8">
            <w:pPr>
              <w:pStyle w:val="Normal6a"/>
            </w:pPr>
          </w:p>
        </w:tc>
        <w:tc>
          <w:tcPr>
            <w:tcW w:w="4876" w:type="dxa"/>
            <w:tcBorders>
              <w:top w:val="nil"/>
              <w:left w:val="nil"/>
              <w:bottom w:val="nil"/>
              <w:right w:val="nil"/>
            </w:tcBorders>
            <w:hideMark/>
          </w:tcPr>
          <w:p w14:paraId="4295FA2F" w14:textId="77777777" w:rsidR="002E6C09" w:rsidRPr="001E6F82" w:rsidRDefault="002E6C09" w:rsidP="00844FF8">
            <w:pPr>
              <w:pStyle w:val="Normal6a"/>
            </w:pPr>
            <w:r w:rsidRPr="001E6F82">
              <w:rPr>
                <w:b/>
                <w:i/>
              </w:rPr>
              <w:t>ba)</w:t>
            </w:r>
            <w:r w:rsidRPr="001E6F82">
              <w:tab/>
            </w:r>
            <w:r w:rsidRPr="001E6F82">
              <w:rPr>
                <w:b/>
                <w:i/>
              </w:rPr>
              <w:t>dodaje się ustęp w brzmieniu:</w:t>
            </w:r>
          </w:p>
        </w:tc>
      </w:tr>
      <w:tr w:rsidR="002E6C09" w:rsidRPr="001E6F82" w14:paraId="59B8DBD0" w14:textId="77777777" w:rsidTr="00844FF8">
        <w:trPr>
          <w:jc w:val="center"/>
        </w:trPr>
        <w:tc>
          <w:tcPr>
            <w:tcW w:w="4876" w:type="dxa"/>
            <w:tcBorders>
              <w:top w:val="nil"/>
              <w:left w:val="nil"/>
              <w:bottom w:val="nil"/>
              <w:right w:val="nil"/>
            </w:tcBorders>
          </w:tcPr>
          <w:p w14:paraId="6C72823B" w14:textId="77777777" w:rsidR="002E6C09" w:rsidRPr="001E6F82" w:rsidRDefault="002E6C09" w:rsidP="00844FF8">
            <w:pPr>
              <w:pStyle w:val="Normal6a"/>
            </w:pPr>
          </w:p>
        </w:tc>
        <w:tc>
          <w:tcPr>
            <w:tcW w:w="4876" w:type="dxa"/>
            <w:tcBorders>
              <w:top w:val="nil"/>
              <w:left w:val="nil"/>
              <w:bottom w:val="nil"/>
              <w:right w:val="nil"/>
            </w:tcBorders>
            <w:hideMark/>
          </w:tcPr>
          <w:p w14:paraId="7FFAF5E9" w14:textId="77777777" w:rsidR="002E6C09" w:rsidRPr="001E6F82" w:rsidRDefault="002E6C09" w:rsidP="00844FF8">
            <w:pPr>
              <w:pStyle w:val="Normal6a"/>
            </w:pPr>
            <w:r w:rsidRPr="001E6F82">
              <w:rPr>
                <w:b/>
                <w:i/>
              </w:rPr>
              <w:t xml:space="preserve">„5a. Do celów niniejszego rozporządzenia produkty uzyskane z produktów ubocznych pochodzenia zwierzęcego używane wyłącznie jako materiały składowe w produktach nawozowych UE mogą być udostępniane na rynku wyłącznie wtedy, gdy pochodzą z produktów ubocznych pochodzenia zwierzęcego lub produktów pochodnych, które osiągnęły punkt końcowy w łańcuchu produkcyjnym zgodnie z art. 5 ust. 2 rozporządzenia (WE) nr 1069/2009. Przy ustalaniu takich punktów końcowych w odniesieniu do produktów pochodnych przeznaczonych do użycia w produktach nawozowych UE Komisja dopilnowuje, aby: a) kryteria przetwarzania i bezpieczeństwa, a także niezbędne środki ograniczania ryzyka, były proporcjonalne i dostateczne, zapewniały wysoki poziom ochrony zdrowia ludzkiego i środowiska i były adekwatne w przypadku zastosowań nawozowych; b) wspomniane kryteria i środki były adekwatne do zagrożeń wynikających ze stosowania produktów nawozowych w glebie i wodzie; oraz c) kryteria i środki były zgodne z wymogami określonymi w art. 42 ust. 5 rozporządzenia. Jeżeli istniejące akty delegowane lub wykonawcze przyjęte na podstawie rozporządzenia (WE) nr 1069/2009 nie przewidują spełnienia tych </w:t>
            </w:r>
            <w:r w:rsidRPr="001E6F82">
              <w:rPr>
                <w:b/>
                <w:i/>
              </w:rPr>
              <w:lastRenderedPageBreak/>
              <w:t>warunków, Komisja przeprowadza przegląd tych aktów i w stosownych przypadkach zmienia je zgodnie z procedurami określonymi w rozporządzeniu, aby zapewnić ich odpowiednie dostosowanie. W tym celu Komisja w stosownych przypadkach zwraca się do Europejskiego Urzędu ds. Bezpieczeństwa Żywności o opinię naukową w celu oceny ryzyka specyficznego dla zastosowań nawozowych, z uwzględnieniem dróg narażenia, które różnią się od dróg narażenia związanych z paszą lub innymi zastosowaniami.”;</w:t>
            </w:r>
          </w:p>
        </w:tc>
      </w:tr>
    </w:tbl>
    <w:p w14:paraId="23D59142" w14:textId="77777777" w:rsidR="002E6C09" w:rsidRPr="001E6F82" w:rsidRDefault="002E6C09" w:rsidP="002E6C09"/>
    <w:p w14:paraId="53324A85" w14:textId="77777777" w:rsidR="002E6C09" w:rsidRPr="001E6F82" w:rsidRDefault="002E6C09" w:rsidP="002E6C09">
      <w:pPr>
        <w:pStyle w:val="AmNumberTabs"/>
      </w:pPr>
      <w:r w:rsidRPr="001E6F82">
        <w:t>Poprawka</w:t>
      </w:r>
      <w:r w:rsidRPr="001E6F82">
        <w:tab/>
      </w:r>
      <w:r w:rsidRPr="001E6F82">
        <w:tab/>
        <w:t>77</w:t>
      </w:r>
    </w:p>
    <w:p w14:paraId="4B61BD56" w14:textId="77777777" w:rsidR="002E6C09" w:rsidRPr="001E6F82" w:rsidRDefault="002E6C09" w:rsidP="002E6C09">
      <w:pPr>
        <w:pStyle w:val="NormalBold"/>
      </w:pPr>
      <w:r w:rsidRPr="001E6F82">
        <w:t>Wniosek dotyczący rozporządzenia</w:t>
      </w:r>
    </w:p>
    <w:p w14:paraId="7FA97118" w14:textId="77777777" w:rsidR="002E6C09" w:rsidRPr="001E6F82" w:rsidRDefault="002E6C09" w:rsidP="002E6C09">
      <w:pPr>
        <w:pStyle w:val="NormalBold"/>
      </w:pPr>
      <w:r w:rsidRPr="001E6F82">
        <w:t xml:space="preserve">Artykuł 3 – akapit 1 – punkt 9 – litera b </w:t>
      </w:r>
      <w:proofErr w:type="spellStart"/>
      <w:r w:rsidRPr="001E6F82">
        <w:t>b</w:t>
      </w:r>
      <w:proofErr w:type="spellEnd"/>
      <w:r w:rsidRPr="001E6F82">
        <w:t xml:space="preserve"> (nowa)</w:t>
      </w:r>
    </w:p>
    <w:p w14:paraId="2264924B" w14:textId="77777777" w:rsidR="002E6C09" w:rsidRPr="001E6F82" w:rsidRDefault="002E6C09" w:rsidP="002E6C09">
      <w:r w:rsidRPr="001E6F82">
        <w:t>Rozporządzenie (UE) nr 2019/1009</w:t>
      </w:r>
    </w:p>
    <w:p w14:paraId="074D025E" w14:textId="77777777" w:rsidR="002E6C09" w:rsidRPr="001E6F82" w:rsidRDefault="002E6C09" w:rsidP="002E6C09">
      <w:r w:rsidRPr="001E6F82">
        <w:t>Artykuł 42 – ustęp 8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3752DFB" w14:textId="77777777" w:rsidTr="00844FF8">
        <w:trPr>
          <w:trHeight w:val="240"/>
          <w:jc w:val="center"/>
        </w:trPr>
        <w:tc>
          <w:tcPr>
            <w:tcW w:w="9752" w:type="dxa"/>
            <w:gridSpan w:val="2"/>
            <w:tcBorders>
              <w:top w:val="nil"/>
              <w:left w:val="nil"/>
              <w:bottom w:val="nil"/>
              <w:right w:val="nil"/>
            </w:tcBorders>
          </w:tcPr>
          <w:p w14:paraId="30608FB0" w14:textId="77777777" w:rsidR="002E6C09" w:rsidRPr="001E6F82" w:rsidRDefault="002E6C09" w:rsidP="00844FF8"/>
        </w:tc>
      </w:tr>
      <w:tr w:rsidR="002E6C09" w:rsidRPr="001E6F82" w14:paraId="633C96BB" w14:textId="77777777" w:rsidTr="00844FF8">
        <w:trPr>
          <w:trHeight w:val="240"/>
          <w:jc w:val="center"/>
        </w:trPr>
        <w:tc>
          <w:tcPr>
            <w:tcW w:w="4876" w:type="dxa"/>
            <w:tcBorders>
              <w:top w:val="nil"/>
              <w:left w:val="nil"/>
              <w:bottom w:val="nil"/>
              <w:right w:val="nil"/>
            </w:tcBorders>
            <w:hideMark/>
          </w:tcPr>
          <w:p w14:paraId="41719DE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EC33E5F" w14:textId="77777777" w:rsidR="002E6C09" w:rsidRPr="001E6F82" w:rsidRDefault="002E6C09" w:rsidP="00844FF8">
            <w:pPr>
              <w:pStyle w:val="AmColumnHeading"/>
            </w:pPr>
            <w:r w:rsidRPr="001E6F82">
              <w:t>Poprawka</w:t>
            </w:r>
          </w:p>
        </w:tc>
      </w:tr>
      <w:tr w:rsidR="002E6C09" w:rsidRPr="001E6F82" w14:paraId="3F551A27" w14:textId="77777777" w:rsidTr="00844FF8">
        <w:trPr>
          <w:jc w:val="center"/>
        </w:trPr>
        <w:tc>
          <w:tcPr>
            <w:tcW w:w="4876" w:type="dxa"/>
            <w:tcBorders>
              <w:top w:val="nil"/>
              <w:left w:val="nil"/>
              <w:bottom w:val="nil"/>
              <w:right w:val="nil"/>
            </w:tcBorders>
          </w:tcPr>
          <w:p w14:paraId="266F6412" w14:textId="77777777" w:rsidR="002E6C09" w:rsidRPr="001E6F82" w:rsidRDefault="002E6C09" w:rsidP="00844FF8">
            <w:pPr>
              <w:pStyle w:val="Normal6a"/>
            </w:pPr>
          </w:p>
        </w:tc>
        <w:tc>
          <w:tcPr>
            <w:tcW w:w="4876" w:type="dxa"/>
            <w:tcBorders>
              <w:top w:val="nil"/>
              <w:left w:val="nil"/>
              <w:bottom w:val="nil"/>
              <w:right w:val="nil"/>
            </w:tcBorders>
            <w:hideMark/>
          </w:tcPr>
          <w:p w14:paraId="1A5EBBBE" w14:textId="77777777" w:rsidR="002E6C09" w:rsidRPr="001E6F82" w:rsidRDefault="002E6C09" w:rsidP="00844FF8">
            <w:pPr>
              <w:pStyle w:val="Normal6a"/>
            </w:pPr>
            <w:proofErr w:type="spellStart"/>
            <w:r w:rsidRPr="001E6F82">
              <w:rPr>
                <w:b/>
                <w:i/>
              </w:rPr>
              <w:t>bb</w:t>
            </w:r>
            <w:proofErr w:type="spellEnd"/>
            <w:r w:rsidRPr="001E6F82">
              <w:rPr>
                <w:b/>
                <w:i/>
              </w:rPr>
              <w:t>)</w:t>
            </w:r>
            <w:r w:rsidRPr="001E6F82">
              <w:tab/>
            </w:r>
            <w:r w:rsidRPr="001E6F82">
              <w:rPr>
                <w:b/>
                <w:i/>
              </w:rPr>
              <w:t>dodaje się ustęp w brzmieniu: „8a. Komisja przyjmuje pierwszy akt delegowany na podstawie ust. 4a do ... [18 miesięcy od daty wejścia w życie rozporządzenia] r.”;</w:t>
            </w:r>
          </w:p>
        </w:tc>
      </w:tr>
    </w:tbl>
    <w:p w14:paraId="3ED91180" w14:textId="77777777" w:rsidR="002E6C09" w:rsidRPr="001E6F82" w:rsidRDefault="002E6C09" w:rsidP="002E6C09"/>
    <w:p w14:paraId="28813258" w14:textId="77777777" w:rsidR="002E6C09" w:rsidRPr="001E6F82" w:rsidRDefault="002E6C09" w:rsidP="002E6C09">
      <w:pPr>
        <w:pStyle w:val="AmNumberTabs"/>
      </w:pPr>
      <w:r w:rsidRPr="001E6F82">
        <w:t>Poprawka</w:t>
      </w:r>
      <w:r w:rsidRPr="001E6F82">
        <w:tab/>
      </w:r>
      <w:r w:rsidRPr="001E6F82">
        <w:tab/>
        <w:t>78</w:t>
      </w:r>
    </w:p>
    <w:p w14:paraId="7F752172" w14:textId="77777777" w:rsidR="002E6C09" w:rsidRPr="001E6F82" w:rsidRDefault="002E6C09" w:rsidP="002E6C09">
      <w:pPr>
        <w:pStyle w:val="NormalBold"/>
      </w:pPr>
      <w:r w:rsidRPr="001E6F82">
        <w:t>Wniosek dotyczący rozporządzenia</w:t>
      </w:r>
    </w:p>
    <w:p w14:paraId="4B911D8E" w14:textId="77777777" w:rsidR="002E6C09" w:rsidRPr="001E6F82" w:rsidRDefault="002E6C09" w:rsidP="002E6C09">
      <w:pPr>
        <w:pStyle w:val="NormalBold"/>
      </w:pPr>
      <w:r w:rsidRPr="001E6F82">
        <w:t>Artykuł 3 – akapit 1 – punkt 9 – litera b c (nowa)</w:t>
      </w:r>
    </w:p>
    <w:p w14:paraId="1927B644" w14:textId="77777777" w:rsidR="002E6C09" w:rsidRPr="001E6F82" w:rsidRDefault="002E6C09" w:rsidP="002E6C09">
      <w:r w:rsidRPr="001E6F82">
        <w:t>Rozporządzenie (UE) nr 2019/1009</w:t>
      </w:r>
    </w:p>
    <w:p w14:paraId="238814D7" w14:textId="77777777" w:rsidR="002E6C09" w:rsidRPr="001E6F82" w:rsidRDefault="002E6C09" w:rsidP="002E6C09">
      <w:r w:rsidRPr="001E6F82">
        <w:t>Artykuł 49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E0937C3" w14:textId="77777777" w:rsidTr="00844FF8">
        <w:trPr>
          <w:trHeight w:val="240"/>
          <w:jc w:val="center"/>
        </w:trPr>
        <w:tc>
          <w:tcPr>
            <w:tcW w:w="9752" w:type="dxa"/>
            <w:gridSpan w:val="2"/>
            <w:tcBorders>
              <w:top w:val="nil"/>
              <w:left w:val="nil"/>
              <w:bottom w:val="nil"/>
              <w:right w:val="nil"/>
            </w:tcBorders>
          </w:tcPr>
          <w:p w14:paraId="3694302E" w14:textId="77777777" w:rsidR="002E6C09" w:rsidRPr="001E6F82" w:rsidRDefault="002E6C09" w:rsidP="00844FF8"/>
        </w:tc>
      </w:tr>
      <w:tr w:rsidR="002E6C09" w:rsidRPr="001E6F82" w14:paraId="389DB53E" w14:textId="77777777" w:rsidTr="00844FF8">
        <w:trPr>
          <w:trHeight w:val="240"/>
          <w:jc w:val="center"/>
        </w:trPr>
        <w:tc>
          <w:tcPr>
            <w:tcW w:w="4876" w:type="dxa"/>
            <w:tcBorders>
              <w:top w:val="nil"/>
              <w:left w:val="nil"/>
              <w:bottom w:val="nil"/>
              <w:right w:val="nil"/>
            </w:tcBorders>
            <w:hideMark/>
          </w:tcPr>
          <w:p w14:paraId="72AD38FC"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A701334" w14:textId="77777777" w:rsidR="002E6C09" w:rsidRPr="001E6F82" w:rsidRDefault="002E6C09" w:rsidP="00844FF8">
            <w:pPr>
              <w:pStyle w:val="AmColumnHeading"/>
            </w:pPr>
            <w:r w:rsidRPr="001E6F82">
              <w:t>Poprawka</w:t>
            </w:r>
          </w:p>
        </w:tc>
      </w:tr>
      <w:tr w:rsidR="002E6C09" w:rsidRPr="001E6F82" w14:paraId="06F8087B" w14:textId="77777777" w:rsidTr="00844FF8">
        <w:trPr>
          <w:jc w:val="center"/>
        </w:trPr>
        <w:tc>
          <w:tcPr>
            <w:tcW w:w="4876" w:type="dxa"/>
            <w:tcBorders>
              <w:top w:val="nil"/>
              <w:left w:val="nil"/>
              <w:bottom w:val="nil"/>
              <w:right w:val="nil"/>
            </w:tcBorders>
          </w:tcPr>
          <w:p w14:paraId="153ECF09" w14:textId="77777777" w:rsidR="002E6C09" w:rsidRPr="001E6F82" w:rsidRDefault="002E6C09" w:rsidP="00844FF8">
            <w:pPr>
              <w:pStyle w:val="Normal6a"/>
            </w:pPr>
          </w:p>
        </w:tc>
        <w:tc>
          <w:tcPr>
            <w:tcW w:w="4876" w:type="dxa"/>
            <w:tcBorders>
              <w:top w:val="nil"/>
              <w:left w:val="nil"/>
              <w:bottom w:val="nil"/>
              <w:right w:val="nil"/>
            </w:tcBorders>
            <w:hideMark/>
          </w:tcPr>
          <w:p w14:paraId="259958FF" w14:textId="77777777" w:rsidR="002E6C09" w:rsidRPr="001E6F82" w:rsidRDefault="002E6C09" w:rsidP="00844FF8">
            <w:pPr>
              <w:pStyle w:val="Normal6a"/>
            </w:pPr>
            <w:proofErr w:type="spellStart"/>
            <w:r w:rsidRPr="001E6F82">
              <w:rPr>
                <w:b/>
                <w:i/>
              </w:rPr>
              <w:t>bc</w:t>
            </w:r>
            <w:proofErr w:type="spellEnd"/>
            <w:r w:rsidRPr="001E6F82">
              <w:rPr>
                <w:b/>
                <w:i/>
              </w:rPr>
              <w:t>)</w:t>
            </w:r>
            <w:r w:rsidRPr="001E6F82">
              <w:tab/>
            </w:r>
            <w:r w:rsidRPr="001E6F82">
              <w:rPr>
                <w:b/>
                <w:i/>
              </w:rPr>
              <w:t>„Artykuł 49a</w:t>
            </w:r>
          </w:p>
        </w:tc>
      </w:tr>
      <w:tr w:rsidR="002E6C09" w:rsidRPr="001E6F82" w14:paraId="7432B60E" w14:textId="77777777" w:rsidTr="00844FF8">
        <w:trPr>
          <w:jc w:val="center"/>
        </w:trPr>
        <w:tc>
          <w:tcPr>
            <w:tcW w:w="4876" w:type="dxa"/>
            <w:tcBorders>
              <w:top w:val="nil"/>
              <w:left w:val="nil"/>
              <w:bottom w:val="nil"/>
              <w:right w:val="nil"/>
            </w:tcBorders>
          </w:tcPr>
          <w:p w14:paraId="746A01FD" w14:textId="77777777" w:rsidR="002E6C09" w:rsidRPr="001E6F82" w:rsidRDefault="002E6C09" w:rsidP="00844FF8">
            <w:pPr>
              <w:pStyle w:val="Normal6a"/>
            </w:pPr>
          </w:p>
        </w:tc>
        <w:tc>
          <w:tcPr>
            <w:tcW w:w="4876" w:type="dxa"/>
            <w:tcBorders>
              <w:top w:val="nil"/>
              <w:left w:val="nil"/>
              <w:bottom w:val="nil"/>
              <w:right w:val="nil"/>
            </w:tcBorders>
            <w:hideMark/>
          </w:tcPr>
          <w:p w14:paraId="21DB46AA" w14:textId="77777777" w:rsidR="002E6C09" w:rsidRPr="001E6F82" w:rsidRDefault="002E6C09" w:rsidP="00844FF8">
            <w:pPr>
              <w:pStyle w:val="Normal6a"/>
            </w:pPr>
            <w:r w:rsidRPr="001E6F82">
              <w:rPr>
                <w:b/>
                <w:i/>
              </w:rPr>
              <w:t>Przegląd</w:t>
            </w:r>
          </w:p>
        </w:tc>
      </w:tr>
      <w:tr w:rsidR="002E6C09" w:rsidRPr="001E6F82" w14:paraId="039D4C5E" w14:textId="77777777" w:rsidTr="00844FF8">
        <w:trPr>
          <w:jc w:val="center"/>
        </w:trPr>
        <w:tc>
          <w:tcPr>
            <w:tcW w:w="4876" w:type="dxa"/>
            <w:tcBorders>
              <w:top w:val="nil"/>
              <w:left w:val="nil"/>
              <w:bottom w:val="nil"/>
              <w:right w:val="nil"/>
            </w:tcBorders>
          </w:tcPr>
          <w:p w14:paraId="587F302B" w14:textId="77777777" w:rsidR="002E6C09" w:rsidRPr="001E6F82" w:rsidRDefault="002E6C09" w:rsidP="00844FF8">
            <w:pPr>
              <w:pStyle w:val="Normal6a"/>
            </w:pPr>
          </w:p>
        </w:tc>
        <w:tc>
          <w:tcPr>
            <w:tcW w:w="4876" w:type="dxa"/>
            <w:tcBorders>
              <w:top w:val="nil"/>
              <w:left w:val="nil"/>
              <w:bottom w:val="nil"/>
              <w:right w:val="nil"/>
            </w:tcBorders>
            <w:hideMark/>
          </w:tcPr>
          <w:p w14:paraId="2267CFD8" w14:textId="77777777" w:rsidR="002E6C09" w:rsidRPr="001E6F82" w:rsidRDefault="002E6C09" w:rsidP="00844FF8">
            <w:pPr>
              <w:pStyle w:val="Normal6a"/>
            </w:pPr>
            <w:r w:rsidRPr="001E6F82">
              <w:rPr>
                <w:b/>
                <w:i/>
              </w:rPr>
              <w:t xml:space="preserve">Komisja okresowo ocenia, czy wymogi dotyczące obróbki materiałów przeznaczonych do stosowania w produktach nawozowych są nadal </w:t>
            </w:r>
            <w:proofErr w:type="gramStart"/>
            <w:r w:rsidRPr="001E6F82">
              <w:rPr>
                <w:b/>
                <w:i/>
              </w:rPr>
              <w:t>odpowiednie,</w:t>
            </w:r>
            <w:proofErr w:type="gramEnd"/>
            <w:r w:rsidRPr="001E6F82">
              <w:rPr>
                <w:b/>
                <w:i/>
              </w:rPr>
              <w:t xml:space="preserve"> i w razie potrzeby dostosowuje je w świetle postępu naukowego i technicznego, z </w:t>
            </w:r>
            <w:r w:rsidRPr="001E6F82">
              <w:rPr>
                <w:b/>
                <w:i/>
              </w:rPr>
              <w:lastRenderedPageBreak/>
              <w:t>uwzględnieniem praktyk krajowych oraz celów rozporządzenia (UE) 2019/1009. Przegląd odbywa się po raz pierwszy nie później niż dwa lata po rozpoczęciu stosowania niniejszego rozporządzenia zmieniającego.”;</w:t>
            </w:r>
          </w:p>
        </w:tc>
      </w:tr>
    </w:tbl>
    <w:p w14:paraId="44875CC8" w14:textId="77777777" w:rsidR="002E6C09" w:rsidRPr="001E6F82" w:rsidRDefault="002E6C09" w:rsidP="002E6C09"/>
    <w:p w14:paraId="17FF4C0F" w14:textId="77777777" w:rsidR="002E6C09" w:rsidRPr="001E6F82" w:rsidRDefault="002E6C09" w:rsidP="002E6C09">
      <w:pPr>
        <w:pStyle w:val="AmNumberTabs"/>
      </w:pPr>
      <w:r w:rsidRPr="001E6F82">
        <w:t>Poprawka</w:t>
      </w:r>
      <w:r w:rsidRPr="001E6F82">
        <w:tab/>
      </w:r>
      <w:r w:rsidRPr="001E6F82">
        <w:tab/>
        <w:t>79</w:t>
      </w:r>
    </w:p>
    <w:p w14:paraId="3815A867" w14:textId="77777777" w:rsidR="002E6C09" w:rsidRPr="001E6F82" w:rsidRDefault="002E6C09" w:rsidP="002E6C09">
      <w:pPr>
        <w:pStyle w:val="NormalBold"/>
      </w:pPr>
      <w:r w:rsidRPr="001E6F82">
        <w:t>Wniosek dotyczący rozporządzenia</w:t>
      </w:r>
    </w:p>
    <w:p w14:paraId="31EA3FCD" w14:textId="77777777" w:rsidR="002E6C09" w:rsidRPr="001E6F82" w:rsidRDefault="002E6C09" w:rsidP="002E6C09">
      <w:pPr>
        <w:pStyle w:val="NormalBold"/>
      </w:pPr>
      <w:r w:rsidRPr="001E6F82">
        <w:t>Artykuł 3 – akapit 1 – punkt 9 – litera b d (nowa)</w:t>
      </w:r>
    </w:p>
    <w:p w14:paraId="029E60C9" w14:textId="77777777" w:rsidR="002E6C09" w:rsidRPr="001E6F82" w:rsidRDefault="002E6C09" w:rsidP="002E6C09">
      <w:r w:rsidRPr="001E6F82">
        <w:t>Rozporządzenie (UE) nr 2019/1009</w:t>
      </w:r>
    </w:p>
    <w:p w14:paraId="10F3B32C" w14:textId="77777777" w:rsidR="002E6C09" w:rsidRPr="001E6F82" w:rsidRDefault="002E6C09" w:rsidP="002E6C09">
      <w:r w:rsidRPr="001E6F82">
        <w:t xml:space="preserve">Artykuł 49 a </w:t>
      </w:r>
      <w:proofErr w:type="spellStart"/>
      <w:r w:rsidRPr="001E6F82">
        <w:t>a</w:t>
      </w:r>
      <w:proofErr w:type="spellEnd"/>
      <w:r w:rsidRPr="001E6F82">
        <w:t xml:space="preserve">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82E459C" w14:textId="77777777" w:rsidTr="00844FF8">
        <w:trPr>
          <w:trHeight w:val="240"/>
          <w:jc w:val="center"/>
        </w:trPr>
        <w:tc>
          <w:tcPr>
            <w:tcW w:w="9752" w:type="dxa"/>
            <w:gridSpan w:val="2"/>
            <w:tcBorders>
              <w:top w:val="nil"/>
              <w:left w:val="nil"/>
              <w:bottom w:val="nil"/>
              <w:right w:val="nil"/>
            </w:tcBorders>
          </w:tcPr>
          <w:p w14:paraId="702D62A5" w14:textId="77777777" w:rsidR="002E6C09" w:rsidRPr="001E6F82" w:rsidRDefault="002E6C09" w:rsidP="00844FF8"/>
        </w:tc>
      </w:tr>
      <w:tr w:rsidR="002E6C09" w:rsidRPr="001E6F82" w14:paraId="05C26AE1" w14:textId="77777777" w:rsidTr="00844FF8">
        <w:trPr>
          <w:trHeight w:val="240"/>
          <w:jc w:val="center"/>
        </w:trPr>
        <w:tc>
          <w:tcPr>
            <w:tcW w:w="4876" w:type="dxa"/>
            <w:tcBorders>
              <w:top w:val="nil"/>
              <w:left w:val="nil"/>
              <w:bottom w:val="nil"/>
              <w:right w:val="nil"/>
            </w:tcBorders>
            <w:hideMark/>
          </w:tcPr>
          <w:p w14:paraId="42313A47"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5959001" w14:textId="77777777" w:rsidR="002E6C09" w:rsidRPr="001E6F82" w:rsidRDefault="002E6C09" w:rsidP="00844FF8">
            <w:pPr>
              <w:pStyle w:val="AmColumnHeading"/>
            </w:pPr>
            <w:r w:rsidRPr="001E6F82">
              <w:t>Poprawka</w:t>
            </w:r>
          </w:p>
        </w:tc>
      </w:tr>
      <w:tr w:rsidR="002E6C09" w:rsidRPr="001E6F82" w14:paraId="50E35EB1" w14:textId="77777777" w:rsidTr="00844FF8">
        <w:trPr>
          <w:jc w:val="center"/>
        </w:trPr>
        <w:tc>
          <w:tcPr>
            <w:tcW w:w="4876" w:type="dxa"/>
            <w:tcBorders>
              <w:top w:val="nil"/>
              <w:left w:val="nil"/>
              <w:bottom w:val="nil"/>
              <w:right w:val="nil"/>
            </w:tcBorders>
          </w:tcPr>
          <w:p w14:paraId="0E8AFE9A" w14:textId="77777777" w:rsidR="002E6C09" w:rsidRPr="001E6F82" w:rsidRDefault="002E6C09" w:rsidP="00844FF8">
            <w:pPr>
              <w:pStyle w:val="Normal6a"/>
            </w:pPr>
          </w:p>
        </w:tc>
        <w:tc>
          <w:tcPr>
            <w:tcW w:w="4876" w:type="dxa"/>
            <w:tcBorders>
              <w:top w:val="nil"/>
              <w:left w:val="nil"/>
              <w:bottom w:val="nil"/>
              <w:right w:val="nil"/>
            </w:tcBorders>
            <w:hideMark/>
          </w:tcPr>
          <w:p w14:paraId="05560AA7" w14:textId="77777777" w:rsidR="002E6C09" w:rsidRPr="001E6F82" w:rsidRDefault="002E6C09" w:rsidP="00844FF8">
            <w:pPr>
              <w:pStyle w:val="Normal6a"/>
            </w:pPr>
            <w:proofErr w:type="spellStart"/>
            <w:r w:rsidRPr="001E6F82">
              <w:rPr>
                <w:b/>
                <w:i/>
              </w:rPr>
              <w:t>bd</w:t>
            </w:r>
            <w:proofErr w:type="spellEnd"/>
            <w:r w:rsidRPr="001E6F82">
              <w:rPr>
                <w:b/>
                <w:i/>
              </w:rPr>
              <w:t>)</w:t>
            </w:r>
            <w:r w:rsidRPr="001E6F82">
              <w:tab/>
            </w:r>
            <w:r w:rsidRPr="001E6F82">
              <w:rPr>
                <w:b/>
                <w:i/>
              </w:rPr>
              <w:t>Do [wstawić datę: 12 miesięcy po wejściu w życie] r. Komisja przedkłada Parlamentowi Europejskiemu i Radzie sprawozdanie oceniające wymogi dotyczące produktów nawozowych mieszanych, w których głównym składnikiem jest co najmniej jedno podłoże uprawowe sklasyfikowane jako PFC 4.</w:t>
            </w:r>
          </w:p>
        </w:tc>
      </w:tr>
      <w:tr w:rsidR="002E6C09" w:rsidRPr="001E6F82" w14:paraId="293C9738" w14:textId="77777777" w:rsidTr="00844FF8">
        <w:trPr>
          <w:jc w:val="center"/>
        </w:trPr>
        <w:tc>
          <w:tcPr>
            <w:tcW w:w="4876" w:type="dxa"/>
            <w:tcBorders>
              <w:top w:val="nil"/>
              <w:left w:val="nil"/>
              <w:bottom w:val="nil"/>
              <w:right w:val="nil"/>
            </w:tcBorders>
          </w:tcPr>
          <w:p w14:paraId="3DB484B7" w14:textId="77777777" w:rsidR="002E6C09" w:rsidRPr="001E6F82" w:rsidRDefault="002E6C09" w:rsidP="00844FF8">
            <w:pPr>
              <w:pStyle w:val="Normal6a"/>
            </w:pPr>
          </w:p>
        </w:tc>
        <w:tc>
          <w:tcPr>
            <w:tcW w:w="4876" w:type="dxa"/>
            <w:tcBorders>
              <w:top w:val="nil"/>
              <w:left w:val="nil"/>
              <w:bottom w:val="nil"/>
              <w:right w:val="nil"/>
            </w:tcBorders>
            <w:hideMark/>
          </w:tcPr>
          <w:p w14:paraId="51544735" w14:textId="77777777" w:rsidR="002E6C09" w:rsidRPr="001E6F82" w:rsidRDefault="002E6C09" w:rsidP="00844FF8">
            <w:pPr>
              <w:pStyle w:val="Normal6a"/>
            </w:pPr>
            <w:r w:rsidRPr="001E6F82">
              <w:rPr>
                <w:b/>
                <w:i/>
              </w:rPr>
              <w:t xml:space="preserve">Sprawozdanie zawiera w szczególności ocenę warunków dostosowania zawartości składników odżywczych, wartości </w:t>
            </w:r>
            <w:proofErr w:type="spellStart"/>
            <w:r w:rsidRPr="001E6F82">
              <w:rPr>
                <w:b/>
                <w:i/>
              </w:rPr>
              <w:t>pH</w:t>
            </w:r>
            <w:proofErr w:type="spellEnd"/>
            <w:r w:rsidRPr="001E6F82">
              <w:rPr>
                <w:b/>
                <w:i/>
              </w:rPr>
              <w:t xml:space="preserve"> lub aktywności biologicznej, zaktualizowanych wymogów dotyczących etykietowania oraz odpowiednich procedur oceny zgodności takich mieszanin i może w stosownych przypadkach towarzyszyć zmianom do niniejszego rozporządzenia.</w:t>
            </w:r>
          </w:p>
        </w:tc>
      </w:tr>
    </w:tbl>
    <w:p w14:paraId="14820674" w14:textId="77777777" w:rsidR="002E6C09" w:rsidRPr="001E6F82" w:rsidRDefault="002E6C09" w:rsidP="002E6C09"/>
    <w:p w14:paraId="5B3E5214" w14:textId="77777777" w:rsidR="002E6C09" w:rsidRPr="001E6F82" w:rsidRDefault="002E6C09" w:rsidP="002E6C09">
      <w:pPr>
        <w:pStyle w:val="AmNumberTabs"/>
      </w:pPr>
      <w:r w:rsidRPr="001E6F82">
        <w:t>Poprawka</w:t>
      </w:r>
      <w:r w:rsidRPr="001E6F82">
        <w:tab/>
      </w:r>
      <w:r w:rsidRPr="001E6F82">
        <w:tab/>
        <w:t>80</w:t>
      </w:r>
    </w:p>
    <w:p w14:paraId="00DF9D1D" w14:textId="77777777" w:rsidR="002E6C09" w:rsidRPr="001E6F82" w:rsidRDefault="002E6C09" w:rsidP="002E6C09">
      <w:pPr>
        <w:pStyle w:val="NormalBold"/>
      </w:pPr>
      <w:r w:rsidRPr="001E6F82">
        <w:t>Wniosek dotyczący rozporządzenia</w:t>
      </w:r>
    </w:p>
    <w:p w14:paraId="1D9B1ED4" w14:textId="77777777" w:rsidR="002E6C09" w:rsidRPr="001E6F82" w:rsidRDefault="002E6C09" w:rsidP="002E6C09">
      <w:pPr>
        <w:pStyle w:val="NormalBold"/>
      </w:pPr>
      <w:r w:rsidRPr="001E6F82">
        <w:t>Załącznik I – akapit 1 – punkt 2</w:t>
      </w:r>
    </w:p>
    <w:p w14:paraId="62FA74D2" w14:textId="77777777" w:rsidR="002E6C09" w:rsidRPr="001E6F82" w:rsidRDefault="002E6C09" w:rsidP="002E6C09">
      <w:r w:rsidRPr="001E6F82">
        <w:t>Rozporządzenie (WE) nr 1272/2008</w:t>
      </w:r>
    </w:p>
    <w:p w14:paraId="3D607E68" w14:textId="77777777" w:rsidR="002E6C09" w:rsidRPr="001E6F82" w:rsidRDefault="002E6C09" w:rsidP="002E6C09">
      <w:r w:rsidRPr="001E6F82">
        <w:t>Załącznik I – sekcja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EC9EEC5" w14:textId="77777777" w:rsidTr="00844FF8">
        <w:trPr>
          <w:trHeight w:val="240"/>
          <w:jc w:val="center"/>
        </w:trPr>
        <w:tc>
          <w:tcPr>
            <w:tcW w:w="9752" w:type="dxa"/>
            <w:gridSpan w:val="2"/>
            <w:tcBorders>
              <w:top w:val="nil"/>
              <w:left w:val="nil"/>
              <w:bottom w:val="nil"/>
              <w:right w:val="nil"/>
            </w:tcBorders>
          </w:tcPr>
          <w:p w14:paraId="39DE4355" w14:textId="77777777" w:rsidR="002E6C09" w:rsidRPr="001E6F82" w:rsidRDefault="002E6C09" w:rsidP="00844FF8"/>
        </w:tc>
      </w:tr>
      <w:tr w:rsidR="002E6C09" w:rsidRPr="001E6F82" w14:paraId="6EAB0308" w14:textId="77777777" w:rsidTr="00844FF8">
        <w:trPr>
          <w:trHeight w:val="240"/>
          <w:jc w:val="center"/>
        </w:trPr>
        <w:tc>
          <w:tcPr>
            <w:tcW w:w="4876" w:type="dxa"/>
            <w:tcBorders>
              <w:top w:val="nil"/>
              <w:left w:val="nil"/>
              <w:bottom w:val="nil"/>
              <w:right w:val="nil"/>
            </w:tcBorders>
            <w:hideMark/>
          </w:tcPr>
          <w:p w14:paraId="43D9BBB5"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302D4D1" w14:textId="77777777" w:rsidR="002E6C09" w:rsidRPr="001E6F82" w:rsidRDefault="002E6C09" w:rsidP="00844FF8">
            <w:pPr>
              <w:pStyle w:val="AmColumnHeading"/>
            </w:pPr>
            <w:r w:rsidRPr="001E6F82">
              <w:t>Poprawka</w:t>
            </w:r>
          </w:p>
        </w:tc>
      </w:tr>
      <w:tr w:rsidR="002E6C09" w:rsidRPr="001E6F82" w14:paraId="1A6E2140" w14:textId="77777777" w:rsidTr="00844FF8">
        <w:trPr>
          <w:jc w:val="center"/>
        </w:trPr>
        <w:tc>
          <w:tcPr>
            <w:tcW w:w="4876" w:type="dxa"/>
            <w:tcBorders>
              <w:top w:val="nil"/>
              <w:left w:val="nil"/>
              <w:bottom w:val="nil"/>
              <w:right w:val="nil"/>
            </w:tcBorders>
            <w:hideMark/>
          </w:tcPr>
          <w:p w14:paraId="31A03115" w14:textId="77777777" w:rsidR="002E6C09" w:rsidRPr="001E6F82" w:rsidRDefault="002E6C09" w:rsidP="00844FF8">
            <w:pPr>
              <w:pStyle w:val="Normal6a"/>
            </w:pPr>
            <w:r w:rsidRPr="001E6F82">
              <w:t>2)</w:t>
            </w:r>
            <w:r w:rsidRPr="001E6F82">
              <w:tab/>
              <w:t>w załączniku I </w:t>
            </w:r>
            <w:r w:rsidRPr="001E6F82">
              <w:rPr>
                <w:b/>
                <w:i/>
              </w:rPr>
              <w:t>uchyla się sekcję</w:t>
            </w:r>
            <w:r w:rsidRPr="001E6F82">
              <w:t xml:space="preserve"> 1.2.1.5;</w:t>
            </w:r>
          </w:p>
        </w:tc>
        <w:tc>
          <w:tcPr>
            <w:tcW w:w="4876" w:type="dxa"/>
            <w:tcBorders>
              <w:top w:val="nil"/>
              <w:left w:val="nil"/>
              <w:bottom w:val="nil"/>
              <w:right w:val="nil"/>
            </w:tcBorders>
            <w:hideMark/>
          </w:tcPr>
          <w:p w14:paraId="6987D11C" w14:textId="77777777" w:rsidR="002E6C09" w:rsidRPr="001E6F82" w:rsidRDefault="002E6C09" w:rsidP="00844FF8">
            <w:pPr>
              <w:pStyle w:val="Normal6a"/>
            </w:pPr>
            <w:r w:rsidRPr="001E6F82">
              <w:t>2)</w:t>
            </w:r>
            <w:r w:rsidRPr="001E6F82">
              <w:tab/>
              <w:t xml:space="preserve">w załączniku I </w:t>
            </w:r>
            <w:r w:rsidRPr="001E6F82">
              <w:rPr>
                <w:b/>
                <w:i/>
              </w:rPr>
              <w:t>sekcja</w:t>
            </w:r>
            <w:r w:rsidRPr="001E6F82">
              <w:t xml:space="preserve"> 1.2.1.5 </w:t>
            </w:r>
            <w:r w:rsidRPr="001E6F82">
              <w:rPr>
                <w:b/>
                <w:i/>
              </w:rPr>
              <w:t xml:space="preserve">otrzymuje brzmienie: Tekst na etykiecie musi być czytelny. Na potrzeby tej sekcji o czytelności etykiety decyduje fizyczny </w:t>
            </w:r>
            <w:r w:rsidRPr="001E6F82">
              <w:rPr>
                <w:b/>
                <w:i/>
              </w:rPr>
              <w:lastRenderedPageBreak/>
              <w:t>wygląd, dzięki któremu informacja jest wizualnie dostępna, a zatem takie elementy jak m.in. rozmiar czcionki, odstępy między literami, odstępy między wierszami, grubość linii pisma, barwa czcionki, rodzaj czcionki, stosunek szerokości liter do ich wysokości, powierzchnia materiału oraz znaczny kontrast między literami a tłem. Posiada co najmniej następującą charakterystykę: a) druk w kolorze kontrastującym z tłem</w:t>
            </w:r>
            <w:r w:rsidRPr="001E6F82">
              <w:t xml:space="preserve">; </w:t>
            </w:r>
            <w:r w:rsidRPr="001E6F82">
              <w:rPr>
                <w:b/>
                <w:i/>
              </w:rPr>
              <w:t xml:space="preserve">b) jeden łatwo czytelny </w:t>
            </w:r>
            <w:proofErr w:type="spellStart"/>
            <w:r w:rsidRPr="001E6F82">
              <w:rPr>
                <w:b/>
                <w:i/>
              </w:rPr>
              <w:t>bezszeryfowy</w:t>
            </w:r>
            <w:proofErr w:type="spellEnd"/>
            <w:r w:rsidRPr="001E6F82">
              <w:rPr>
                <w:b/>
                <w:i/>
              </w:rPr>
              <w:t xml:space="preserve"> krój pisma; c) odpowiednie odstępy między literami, aby wybrany krój pisma był łatwo czytelny; d) odpowiednie odstępy między wierszami, aby wybrany krój pisma był łatwo czytelny i aby wiersze tekstu na siebie nie nachodziły; e) rozmiar czcionki jest adekwatny do wielkości etykiety i wymaganych elementów etykiety oraz potrzeb docelowego użytkownika. W przypadku substancji lub mieszanin powszechnie dostępnych na rynku elementy etykiety, o których mowa w art. 17 ust. 1, mają rozmiar czcionki, której wysokość x wynosi co najmniej 1,2 mm. Jeżeli jednak zawartość opakowania nie przekracza 125 ml, elementy etykiety, o których mowa w art. 17 ust. 1, mogą mieć rozmiar czcionki o wysokości x, która wynosi co najmniej 0,9 mm. Wspomniane charakterystyki zostaną doprecyzowane w wytycznych ECHA dotyczących czytelności i wyglądu etykiety, które mają zostać przygotowane na podstawie rozporządzenia. Zgodność z niniejszą sekcją ocenia się na podstawie ogólnej czytelności etykiety i stosuje w sposób zgodny z właściwościami fizycznymi i ograniczeniami technicznymi opakowania, w tym jego wielkością, oraz biorąc pod uwagę docelowego użytkownika.</w:t>
            </w:r>
          </w:p>
        </w:tc>
      </w:tr>
    </w:tbl>
    <w:p w14:paraId="0DFE5451" w14:textId="77777777" w:rsidR="002E6C09" w:rsidRPr="001E6F82" w:rsidRDefault="002E6C09" w:rsidP="002E6C09"/>
    <w:p w14:paraId="70F56683" w14:textId="77777777" w:rsidR="002E6C09" w:rsidRPr="001E6F82" w:rsidRDefault="002E6C09" w:rsidP="002E6C09">
      <w:pPr>
        <w:pStyle w:val="AmNumberTabs"/>
      </w:pPr>
      <w:r w:rsidRPr="001E6F82">
        <w:t>Poprawka</w:t>
      </w:r>
      <w:r w:rsidRPr="001E6F82">
        <w:tab/>
      </w:r>
      <w:r w:rsidRPr="001E6F82">
        <w:tab/>
        <w:t>81</w:t>
      </w:r>
    </w:p>
    <w:p w14:paraId="116AAD8C" w14:textId="77777777" w:rsidR="002E6C09" w:rsidRPr="001E6F82" w:rsidRDefault="002E6C09" w:rsidP="002E6C09">
      <w:pPr>
        <w:pStyle w:val="NormalBold"/>
      </w:pPr>
      <w:r w:rsidRPr="001E6F82">
        <w:t>Wniosek dotyczący rozporządzenia</w:t>
      </w:r>
    </w:p>
    <w:p w14:paraId="4490945F" w14:textId="77777777" w:rsidR="002E6C09" w:rsidRPr="001E6F82" w:rsidRDefault="002E6C09" w:rsidP="002E6C09">
      <w:pPr>
        <w:pStyle w:val="NormalBold"/>
      </w:pPr>
      <w:r w:rsidRPr="001E6F82">
        <w:t>Załącznik I – akapit 1 – punkt 3</w:t>
      </w:r>
    </w:p>
    <w:p w14:paraId="7998E968" w14:textId="77777777" w:rsidR="002E6C09" w:rsidRPr="001E6F82" w:rsidRDefault="002E6C09" w:rsidP="002E6C09">
      <w:r w:rsidRPr="001E6F82">
        <w:t>Rozporządzenie (WE) nr 1272/2008</w:t>
      </w:r>
    </w:p>
    <w:p w14:paraId="7A3F465F" w14:textId="77777777" w:rsidR="002E6C09" w:rsidRPr="001E6F82" w:rsidRDefault="002E6C09" w:rsidP="002E6C09">
      <w:r w:rsidRPr="001E6F82">
        <w:t>Załącznik I – sekcja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67DBA80F" w14:textId="77777777" w:rsidTr="00844FF8">
        <w:trPr>
          <w:trHeight w:val="240"/>
          <w:jc w:val="center"/>
        </w:trPr>
        <w:tc>
          <w:tcPr>
            <w:tcW w:w="9752" w:type="dxa"/>
            <w:gridSpan w:val="2"/>
            <w:tcBorders>
              <w:top w:val="nil"/>
              <w:left w:val="nil"/>
              <w:bottom w:val="nil"/>
              <w:right w:val="nil"/>
            </w:tcBorders>
          </w:tcPr>
          <w:p w14:paraId="687B93A2" w14:textId="77777777" w:rsidR="002E6C09" w:rsidRPr="001E6F82" w:rsidRDefault="002E6C09" w:rsidP="00844FF8"/>
        </w:tc>
      </w:tr>
      <w:tr w:rsidR="002E6C09" w:rsidRPr="001E6F82" w14:paraId="132381BB" w14:textId="77777777" w:rsidTr="00844FF8">
        <w:trPr>
          <w:trHeight w:val="240"/>
          <w:jc w:val="center"/>
        </w:trPr>
        <w:tc>
          <w:tcPr>
            <w:tcW w:w="4876" w:type="dxa"/>
            <w:tcBorders>
              <w:top w:val="nil"/>
              <w:left w:val="nil"/>
              <w:bottom w:val="nil"/>
              <w:right w:val="nil"/>
            </w:tcBorders>
            <w:hideMark/>
          </w:tcPr>
          <w:p w14:paraId="70CB2B1A"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3D41749D" w14:textId="77777777" w:rsidR="002E6C09" w:rsidRPr="001E6F82" w:rsidRDefault="002E6C09" w:rsidP="00844FF8">
            <w:pPr>
              <w:pStyle w:val="AmColumnHeading"/>
            </w:pPr>
            <w:r w:rsidRPr="001E6F82">
              <w:t>Poprawka</w:t>
            </w:r>
          </w:p>
        </w:tc>
      </w:tr>
      <w:tr w:rsidR="002E6C09" w:rsidRPr="001E6F82" w14:paraId="6FC8AB75" w14:textId="77777777" w:rsidTr="00844FF8">
        <w:trPr>
          <w:jc w:val="center"/>
        </w:trPr>
        <w:tc>
          <w:tcPr>
            <w:tcW w:w="4876" w:type="dxa"/>
            <w:tcBorders>
              <w:top w:val="nil"/>
              <w:left w:val="nil"/>
              <w:bottom w:val="nil"/>
              <w:right w:val="nil"/>
            </w:tcBorders>
            <w:hideMark/>
          </w:tcPr>
          <w:p w14:paraId="54349C7A" w14:textId="77777777" w:rsidR="002E6C09" w:rsidRPr="001E6F82" w:rsidRDefault="002E6C09" w:rsidP="00844FF8">
            <w:pPr>
              <w:pStyle w:val="Normal6a"/>
            </w:pPr>
            <w:r w:rsidRPr="001E6F82">
              <w:t>1.5.1.2.</w:t>
            </w:r>
            <w:r w:rsidRPr="001E6F82">
              <w:tab/>
              <w:t xml:space="preserve">W przypadkach, w których zastosowanie ma sekcja 1.5.1.1, etykieta na opakowaniu wewnętrznym zawiera przynajmniej piktogramy określające rodzaj zagrożenia, hasła ostrzegawcze, identyfikator produktu, o którym mowa w art. 18 ust. 2, w przypadku substancji bądź nazwę handlową lub oznaczenie, o których mowa w art. 18 ust. 3 lit. a), w przypadku mieszanin oraz nazwisko i </w:t>
            </w:r>
            <w:r w:rsidRPr="001E6F82">
              <w:rPr>
                <w:b/>
                <w:i/>
              </w:rPr>
              <w:t>kontakt elektroniczny</w:t>
            </w:r>
            <w:r w:rsidRPr="001E6F82">
              <w:t xml:space="preserve"> dostawcy danej substancji lub mieszaniny.”;</w:t>
            </w:r>
          </w:p>
        </w:tc>
        <w:tc>
          <w:tcPr>
            <w:tcW w:w="4876" w:type="dxa"/>
            <w:tcBorders>
              <w:top w:val="nil"/>
              <w:left w:val="nil"/>
              <w:bottom w:val="nil"/>
              <w:right w:val="nil"/>
            </w:tcBorders>
            <w:hideMark/>
          </w:tcPr>
          <w:p w14:paraId="0163E158" w14:textId="77777777" w:rsidR="002E6C09" w:rsidRPr="001E6F82" w:rsidRDefault="002E6C09" w:rsidP="00844FF8">
            <w:pPr>
              <w:pStyle w:val="Normal6a"/>
            </w:pPr>
            <w:r w:rsidRPr="001E6F82">
              <w:t>1.5.1.2.</w:t>
            </w:r>
            <w:r w:rsidRPr="001E6F82">
              <w:tab/>
              <w:t>W przypadkach, w których zastosowanie ma sekcja 1.5.1.1, etykieta na opakowaniu wewnętrznym zawiera przynajmniej piktogramy określające rodzaj zagrożenia, hasła ostrzegawcze, identyfikator produktu, o którym mowa w art. 18 ust. 2, w przypadku substancji bądź nazwę handlową lub oznaczenie, o których mowa w art. 18 ust. 3 lit. a), w przypadku mieszanin</w:t>
            </w:r>
            <w:r w:rsidRPr="001E6F82">
              <w:rPr>
                <w:b/>
                <w:i/>
              </w:rPr>
              <w:t>,</w:t>
            </w:r>
            <w:r w:rsidRPr="001E6F82">
              <w:t xml:space="preserve"> oraz nazwisko</w:t>
            </w:r>
            <w:r w:rsidRPr="001E6F82">
              <w:rPr>
                <w:b/>
                <w:i/>
              </w:rPr>
              <w:t>, kontakt elektroniczny</w:t>
            </w:r>
            <w:r w:rsidRPr="001E6F82">
              <w:t xml:space="preserve"> i </w:t>
            </w:r>
            <w:r w:rsidRPr="001E6F82">
              <w:rPr>
                <w:b/>
                <w:i/>
              </w:rPr>
              <w:t>numer telefonu</w:t>
            </w:r>
            <w:r w:rsidRPr="001E6F82">
              <w:t xml:space="preserve"> dostawcy danej substancji lub mieszaniny, </w:t>
            </w:r>
            <w:r w:rsidRPr="001E6F82">
              <w:rPr>
                <w:b/>
                <w:i/>
              </w:rPr>
              <w:t>chyba że numer telefonu jest już bezpośrednio dostępny za pośrednictwem kontaktu elektronicznego</w:t>
            </w:r>
            <w:r w:rsidRPr="001E6F82">
              <w:t>.”;</w:t>
            </w:r>
          </w:p>
        </w:tc>
      </w:tr>
    </w:tbl>
    <w:p w14:paraId="00669415" w14:textId="77777777" w:rsidR="002E6C09" w:rsidRPr="001E6F82" w:rsidRDefault="002E6C09" w:rsidP="002E6C09"/>
    <w:p w14:paraId="7A4B89EB" w14:textId="77777777" w:rsidR="002E6C09" w:rsidRPr="001E6F82" w:rsidRDefault="002E6C09" w:rsidP="002E6C09">
      <w:pPr>
        <w:pStyle w:val="AmNumberTabs"/>
      </w:pPr>
      <w:r w:rsidRPr="001E6F82">
        <w:t>Poprawka</w:t>
      </w:r>
      <w:r w:rsidRPr="001E6F82">
        <w:tab/>
      </w:r>
      <w:r w:rsidRPr="001E6F82">
        <w:tab/>
        <w:t>82</w:t>
      </w:r>
    </w:p>
    <w:p w14:paraId="3EF70797" w14:textId="77777777" w:rsidR="002E6C09" w:rsidRPr="001E6F82" w:rsidRDefault="002E6C09" w:rsidP="002E6C09">
      <w:pPr>
        <w:pStyle w:val="NormalBold"/>
      </w:pPr>
      <w:r w:rsidRPr="001E6F82">
        <w:t>Wniosek dotyczący rozporządzenia</w:t>
      </w:r>
    </w:p>
    <w:p w14:paraId="25EB0074" w14:textId="77777777" w:rsidR="002E6C09" w:rsidRPr="001E6F82" w:rsidRDefault="002E6C09" w:rsidP="002E6C09">
      <w:pPr>
        <w:pStyle w:val="NormalBold"/>
      </w:pPr>
      <w:r w:rsidRPr="001E6F82">
        <w:t>Załącznik I – akapit 1 – punkt 5</w:t>
      </w:r>
    </w:p>
    <w:p w14:paraId="437D1864" w14:textId="77777777" w:rsidR="002E6C09" w:rsidRPr="001E6F82" w:rsidRDefault="002E6C09" w:rsidP="002E6C09">
      <w:r w:rsidRPr="001E6F82">
        <w:t>Rozporządzenie (WE) nr 1272/2008</w:t>
      </w:r>
    </w:p>
    <w:p w14:paraId="311D7B49" w14:textId="77777777" w:rsidR="002E6C09" w:rsidRPr="001E6F82" w:rsidRDefault="002E6C09" w:rsidP="002E6C09">
      <w:r w:rsidRPr="001E6F82">
        <w:t>Załącznik I – sekcja 1.5.2.4.1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3C3AF31" w14:textId="77777777" w:rsidTr="00844FF8">
        <w:trPr>
          <w:trHeight w:val="240"/>
          <w:jc w:val="center"/>
        </w:trPr>
        <w:tc>
          <w:tcPr>
            <w:tcW w:w="9752" w:type="dxa"/>
            <w:gridSpan w:val="2"/>
            <w:tcBorders>
              <w:top w:val="nil"/>
              <w:left w:val="nil"/>
              <w:bottom w:val="nil"/>
              <w:right w:val="nil"/>
            </w:tcBorders>
          </w:tcPr>
          <w:p w14:paraId="530F79E2" w14:textId="77777777" w:rsidR="002E6C09" w:rsidRPr="001E6F82" w:rsidRDefault="002E6C09" w:rsidP="00844FF8"/>
        </w:tc>
      </w:tr>
      <w:tr w:rsidR="002E6C09" w:rsidRPr="001E6F82" w14:paraId="51B04A64" w14:textId="77777777" w:rsidTr="00844FF8">
        <w:trPr>
          <w:trHeight w:val="240"/>
          <w:jc w:val="center"/>
        </w:trPr>
        <w:tc>
          <w:tcPr>
            <w:tcW w:w="4876" w:type="dxa"/>
            <w:tcBorders>
              <w:top w:val="nil"/>
              <w:left w:val="nil"/>
              <w:bottom w:val="nil"/>
              <w:right w:val="nil"/>
            </w:tcBorders>
            <w:hideMark/>
          </w:tcPr>
          <w:p w14:paraId="5524A758"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A34ABD0" w14:textId="77777777" w:rsidR="002E6C09" w:rsidRPr="001E6F82" w:rsidRDefault="002E6C09" w:rsidP="00844FF8">
            <w:pPr>
              <w:pStyle w:val="AmColumnHeading"/>
            </w:pPr>
            <w:r w:rsidRPr="001E6F82">
              <w:t>Poprawka</w:t>
            </w:r>
          </w:p>
        </w:tc>
      </w:tr>
      <w:tr w:rsidR="002E6C09" w:rsidRPr="001E6F82" w14:paraId="44A31458" w14:textId="77777777" w:rsidTr="00844FF8">
        <w:trPr>
          <w:jc w:val="center"/>
        </w:trPr>
        <w:tc>
          <w:tcPr>
            <w:tcW w:w="4876" w:type="dxa"/>
            <w:tcBorders>
              <w:top w:val="nil"/>
              <w:left w:val="nil"/>
              <w:bottom w:val="nil"/>
              <w:right w:val="nil"/>
            </w:tcBorders>
            <w:hideMark/>
          </w:tcPr>
          <w:p w14:paraId="7322B3AB" w14:textId="77777777" w:rsidR="002E6C09" w:rsidRPr="001E6F82" w:rsidRDefault="002E6C09" w:rsidP="00844FF8">
            <w:pPr>
              <w:pStyle w:val="Normal6a"/>
            </w:pPr>
            <w:r w:rsidRPr="001E6F82">
              <w:t>b)</w:t>
            </w:r>
            <w:r w:rsidRPr="001E6F82">
              <w:tab/>
              <w:t xml:space="preserve">substancja lub mieszanina wymaga oznakowania zgodnie z </w:t>
            </w:r>
            <w:r w:rsidRPr="001E6F82">
              <w:rPr>
                <w:b/>
                <w:i/>
              </w:rPr>
              <w:t>załącznikiem II część</w:t>
            </w:r>
            <w:r w:rsidRPr="001E6F82">
              <w:t xml:space="preserve"> 1 lub 2</w:t>
            </w:r>
            <w:r w:rsidRPr="001E6F82">
              <w:rPr>
                <w:b/>
                <w:i/>
              </w:rPr>
              <w:t>, z wyjątkiem</w:t>
            </w:r>
            <w:r w:rsidRPr="001E6F82">
              <w:t xml:space="preserve"> załącznika II </w:t>
            </w:r>
            <w:r w:rsidRPr="001E6F82">
              <w:rPr>
                <w:b/>
                <w:i/>
              </w:rPr>
              <w:t>część 2 sekcja 2.8,</w:t>
            </w:r>
            <w:r w:rsidRPr="001E6F82">
              <w:t xml:space="preserve"> i nie została sklasyfikowana w żadnej z następujących klas i kategorii zagrożenia:</w:t>
            </w:r>
          </w:p>
        </w:tc>
        <w:tc>
          <w:tcPr>
            <w:tcW w:w="4876" w:type="dxa"/>
            <w:tcBorders>
              <w:top w:val="nil"/>
              <w:left w:val="nil"/>
              <w:bottom w:val="nil"/>
              <w:right w:val="nil"/>
            </w:tcBorders>
            <w:hideMark/>
          </w:tcPr>
          <w:p w14:paraId="1553A30E" w14:textId="77777777" w:rsidR="002E6C09" w:rsidRPr="001E6F82" w:rsidRDefault="002E6C09" w:rsidP="00844FF8">
            <w:pPr>
              <w:pStyle w:val="Normal6a"/>
            </w:pPr>
            <w:r w:rsidRPr="001E6F82">
              <w:t>b)</w:t>
            </w:r>
            <w:r w:rsidRPr="001E6F82">
              <w:tab/>
              <w:t>substancja lub mieszanina wymaga oznakowania zgodnie z </w:t>
            </w:r>
            <w:r w:rsidRPr="001E6F82">
              <w:rPr>
                <w:b/>
                <w:i/>
              </w:rPr>
              <w:t>częścią</w:t>
            </w:r>
            <w:r w:rsidRPr="001E6F82">
              <w:t xml:space="preserve"> 1 lub 2 załącznika II i nie została sklasyfikowana w żadnej z następujących klas i kategorii zagrożenia:</w:t>
            </w:r>
          </w:p>
        </w:tc>
      </w:tr>
    </w:tbl>
    <w:p w14:paraId="3F506004" w14:textId="77777777" w:rsidR="002E6C09" w:rsidRPr="001E6F82" w:rsidRDefault="002E6C09" w:rsidP="002E6C09"/>
    <w:p w14:paraId="09805073" w14:textId="77777777" w:rsidR="002E6C09" w:rsidRPr="001E6F82" w:rsidRDefault="002E6C09" w:rsidP="002E6C09">
      <w:pPr>
        <w:pStyle w:val="AmNumberTabs"/>
      </w:pPr>
      <w:r w:rsidRPr="001E6F82">
        <w:t>Poprawka</w:t>
      </w:r>
      <w:r w:rsidRPr="001E6F82">
        <w:tab/>
      </w:r>
      <w:r w:rsidRPr="001E6F82">
        <w:tab/>
        <w:t>83</w:t>
      </w:r>
    </w:p>
    <w:p w14:paraId="1A9AFAD6" w14:textId="77777777" w:rsidR="002E6C09" w:rsidRPr="001E6F82" w:rsidRDefault="002E6C09" w:rsidP="002E6C09">
      <w:pPr>
        <w:pStyle w:val="NormalBold"/>
      </w:pPr>
      <w:r w:rsidRPr="001E6F82">
        <w:t>Wniosek dotyczący rozporządzenia</w:t>
      </w:r>
    </w:p>
    <w:p w14:paraId="469599EA" w14:textId="77777777" w:rsidR="002E6C09" w:rsidRPr="001E6F82" w:rsidRDefault="002E6C09" w:rsidP="002E6C09">
      <w:pPr>
        <w:pStyle w:val="NormalBold"/>
      </w:pPr>
      <w:r w:rsidRPr="001E6F82">
        <w:t>Załącznik I – akapit 1 – punkt 7</w:t>
      </w:r>
    </w:p>
    <w:p w14:paraId="743E8C5B" w14:textId="77777777" w:rsidR="002E6C09" w:rsidRPr="001E6F82" w:rsidRDefault="002E6C09" w:rsidP="002E6C09">
      <w:r w:rsidRPr="001E6F82">
        <w:t>Rozporządzenie (WE) nr 1272/2008</w:t>
      </w:r>
    </w:p>
    <w:p w14:paraId="1E9B83E9" w14:textId="77777777" w:rsidR="002E6C09" w:rsidRPr="001E6F82" w:rsidRDefault="002E6C09" w:rsidP="002E6C09">
      <w:r w:rsidRPr="001E6F82">
        <w:t>Załącznik I – sekcja 1.5.2.4.3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21ED7493" w14:textId="77777777" w:rsidTr="00844FF8">
        <w:trPr>
          <w:trHeight w:val="240"/>
          <w:jc w:val="center"/>
        </w:trPr>
        <w:tc>
          <w:tcPr>
            <w:tcW w:w="9752" w:type="dxa"/>
            <w:gridSpan w:val="2"/>
            <w:tcBorders>
              <w:top w:val="nil"/>
              <w:left w:val="nil"/>
              <w:bottom w:val="nil"/>
              <w:right w:val="nil"/>
            </w:tcBorders>
          </w:tcPr>
          <w:p w14:paraId="4F203711" w14:textId="77777777" w:rsidR="002E6C09" w:rsidRPr="001E6F82" w:rsidRDefault="002E6C09" w:rsidP="00844FF8"/>
        </w:tc>
      </w:tr>
      <w:tr w:rsidR="002E6C09" w:rsidRPr="001E6F82" w14:paraId="76B50599" w14:textId="77777777" w:rsidTr="00844FF8">
        <w:trPr>
          <w:trHeight w:val="240"/>
          <w:jc w:val="center"/>
        </w:trPr>
        <w:tc>
          <w:tcPr>
            <w:tcW w:w="4876" w:type="dxa"/>
            <w:tcBorders>
              <w:top w:val="nil"/>
              <w:left w:val="nil"/>
              <w:bottom w:val="nil"/>
              <w:right w:val="nil"/>
            </w:tcBorders>
            <w:hideMark/>
          </w:tcPr>
          <w:p w14:paraId="2D9DE65F"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D9BA27B" w14:textId="77777777" w:rsidR="002E6C09" w:rsidRPr="001E6F82" w:rsidRDefault="002E6C09" w:rsidP="00844FF8">
            <w:pPr>
              <w:pStyle w:val="AmColumnHeading"/>
            </w:pPr>
            <w:r w:rsidRPr="001E6F82">
              <w:t>Poprawka</w:t>
            </w:r>
          </w:p>
        </w:tc>
      </w:tr>
      <w:tr w:rsidR="002E6C09" w:rsidRPr="001E6F82" w14:paraId="6E10A9F2" w14:textId="77777777" w:rsidTr="00844FF8">
        <w:trPr>
          <w:jc w:val="center"/>
        </w:trPr>
        <w:tc>
          <w:tcPr>
            <w:tcW w:w="4876" w:type="dxa"/>
            <w:tcBorders>
              <w:top w:val="nil"/>
              <w:left w:val="nil"/>
              <w:bottom w:val="nil"/>
              <w:right w:val="nil"/>
            </w:tcBorders>
            <w:hideMark/>
          </w:tcPr>
          <w:p w14:paraId="19A4B246" w14:textId="77777777" w:rsidR="002E6C09" w:rsidRPr="001E6F82" w:rsidRDefault="002E6C09" w:rsidP="00844FF8">
            <w:pPr>
              <w:pStyle w:val="Normal6a"/>
            </w:pPr>
            <w:r w:rsidRPr="001E6F82">
              <w:t>b)</w:t>
            </w:r>
            <w:r w:rsidRPr="001E6F82">
              <w:tab/>
              <w:t>substancja lub mieszanina nie wymaga oznakowania zgodnie z załącznikiem II część 1 lub 2</w:t>
            </w:r>
            <w:r w:rsidRPr="001E6F82">
              <w:rPr>
                <w:b/>
                <w:i/>
              </w:rPr>
              <w:t>, z wyjątkiem załącznika II część 2 sekcja 2.8</w:t>
            </w:r>
            <w:r w:rsidRPr="001E6F82">
              <w:t>;</w:t>
            </w:r>
          </w:p>
        </w:tc>
        <w:tc>
          <w:tcPr>
            <w:tcW w:w="4876" w:type="dxa"/>
            <w:tcBorders>
              <w:top w:val="nil"/>
              <w:left w:val="nil"/>
              <w:bottom w:val="nil"/>
              <w:right w:val="nil"/>
            </w:tcBorders>
            <w:hideMark/>
          </w:tcPr>
          <w:p w14:paraId="5E57EC4A" w14:textId="77777777" w:rsidR="002E6C09" w:rsidRPr="001E6F82" w:rsidRDefault="002E6C09" w:rsidP="00844FF8">
            <w:pPr>
              <w:pStyle w:val="Normal6a"/>
            </w:pPr>
            <w:r w:rsidRPr="001E6F82">
              <w:t>b)</w:t>
            </w:r>
            <w:r w:rsidRPr="001E6F82">
              <w:tab/>
              <w:t>substancja lub mieszanina nie wymaga oznakowania zgodnie z częścią 1 lub 2 załącznika II;</w:t>
            </w:r>
          </w:p>
        </w:tc>
      </w:tr>
    </w:tbl>
    <w:p w14:paraId="1054ABAB" w14:textId="77777777" w:rsidR="002E6C09" w:rsidRPr="001E6F82" w:rsidRDefault="002E6C09" w:rsidP="002E6C09"/>
    <w:p w14:paraId="1B4A7140" w14:textId="77777777" w:rsidR="002E6C09" w:rsidRPr="001E6F82" w:rsidRDefault="002E6C09" w:rsidP="002E6C09">
      <w:pPr>
        <w:pStyle w:val="AmNumberTabs"/>
      </w:pPr>
      <w:r w:rsidRPr="001E6F82">
        <w:lastRenderedPageBreak/>
        <w:t>Poprawka</w:t>
      </w:r>
      <w:r w:rsidRPr="001E6F82">
        <w:tab/>
      </w:r>
      <w:r w:rsidRPr="001E6F82">
        <w:tab/>
        <w:t>84</w:t>
      </w:r>
    </w:p>
    <w:p w14:paraId="11E76B96" w14:textId="77777777" w:rsidR="002E6C09" w:rsidRPr="001E6F82" w:rsidRDefault="002E6C09" w:rsidP="002E6C09">
      <w:pPr>
        <w:pStyle w:val="NormalBold"/>
      </w:pPr>
      <w:r w:rsidRPr="001E6F82">
        <w:t>Wniosek dotyczący rozporządzenia</w:t>
      </w:r>
    </w:p>
    <w:p w14:paraId="761709F8" w14:textId="77777777" w:rsidR="002E6C09" w:rsidRPr="001E6F82" w:rsidRDefault="002E6C09" w:rsidP="002E6C09">
      <w:pPr>
        <w:pStyle w:val="NormalBold"/>
      </w:pPr>
      <w:r w:rsidRPr="001E6F82">
        <w:t>Załącznik I – sekcja 1 – punkt 7a (nowy)</w:t>
      </w:r>
    </w:p>
    <w:p w14:paraId="6CE65CF0" w14:textId="77777777" w:rsidR="002E6C09" w:rsidRPr="001E6F82" w:rsidRDefault="002E6C09" w:rsidP="002E6C09">
      <w:r w:rsidRPr="001E6F82">
        <w:t>Rozporządzenie (WE) nr 1272/2008</w:t>
      </w:r>
    </w:p>
    <w:p w14:paraId="5C88481D" w14:textId="77777777" w:rsidR="002E6C09" w:rsidRPr="001E6F82" w:rsidRDefault="002E6C09" w:rsidP="002E6C09">
      <w:r w:rsidRPr="001E6F82">
        <w:t>Załącznik I – sekcja 1.5.2.4.3a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7DCBBA0E" w14:textId="77777777" w:rsidTr="00844FF8">
        <w:trPr>
          <w:trHeight w:val="240"/>
          <w:jc w:val="center"/>
        </w:trPr>
        <w:tc>
          <w:tcPr>
            <w:tcW w:w="9752" w:type="dxa"/>
            <w:gridSpan w:val="2"/>
            <w:tcBorders>
              <w:top w:val="nil"/>
              <w:left w:val="nil"/>
              <w:bottom w:val="nil"/>
              <w:right w:val="nil"/>
            </w:tcBorders>
          </w:tcPr>
          <w:p w14:paraId="73437426" w14:textId="77777777" w:rsidR="002E6C09" w:rsidRPr="001E6F82" w:rsidRDefault="002E6C09" w:rsidP="00844FF8"/>
        </w:tc>
      </w:tr>
      <w:tr w:rsidR="002E6C09" w:rsidRPr="001E6F82" w14:paraId="145ED1AA" w14:textId="77777777" w:rsidTr="00844FF8">
        <w:trPr>
          <w:trHeight w:val="240"/>
          <w:jc w:val="center"/>
        </w:trPr>
        <w:tc>
          <w:tcPr>
            <w:tcW w:w="4876" w:type="dxa"/>
            <w:tcBorders>
              <w:top w:val="nil"/>
              <w:left w:val="nil"/>
              <w:bottom w:val="nil"/>
              <w:right w:val="nil"/>
            </w:tcBorders>
            <w:hideMark/>
          </w:tcPr>
          <w:p w14:paraId="0BADACCA"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0CA850C" w14:textId="77777777" w:rsidR="002E6C09" w:rsidRPr="001E6F82" w:rsidRDefault="002E6C09" w:rsidP="00844FF8">
            <w:pPr>
              <w:pStyle w:val="AmColumnHeading"/>
            </w:pPr>
            <w:r w:rsidRPr="001E6F82">
              <w:t>Poprawka</w:t>
            </w:r>
          </w:p>
        </w:tc>
      </w:tr>
      <w:tr w:rsidR="002E6C09" w:rsidRPr="001E6F82" w14:paraId="1BD7F203" w14:textId="77777777" w:rsidTr="00844FF8">
        <w:trPr>
          <w:jc w:val="center"/>
        </w:trPr>
        <w:tc>
          <w:tcPr>
            <w:tcW w:w="4876" w:type="dxa"/>
            <w:tcBorders>
              <w:top w:val="nil"/>
              <w:left w:val="nil"/>
              <w:bottom w:val="nil"/>
              <w:right w:val="nil"/>
            </w:tcBorders>
          </w:tcPr>
          <w:p w14:paraId="149E11FF" w14:textId="77777777" w:rsidR="002E6C09" w:rsidRPr="001E6F82" w:rsidRDefault="002E6C09" w:rsidP="00844FF8">
            <w:pPr>
              <w:pStyle w:val="Normal6a"/>
            </w:pPr>
          </w:p>
        </w:tc>
        <w:tc>
          <w:tcPr>
            <w:tcW w:w="4876" w:type="dxa"/>
            <w:tcBorders>
              <w:top w:val="nil"/>
              <w:left w:val="nil"/>
              <w:bottom w:val="nil"/>
              <w:right w:val="nil"/>
            </w:tcBorders>
            <w:hideMark/>
          </w:tcPr>
          <w:p w14:paraId="0F250FB3" w14:textId="77777777" w:rsidR="002E6C09" w:rsidRPr="001E6F82" w:rsidRDefault="002E6C09" w:rsidP="00844FF8">
            <w:pPr>
              <w:pStyle w:val="Normal6a"/>
            </w:pPr>
            <w:r w:rsidRPr="001E6F82">
              <w:rPr>
                <w:b/>
                <w:i/>
              </w:rPr>
              <w:t>7a)</w:t>
            </w:r>
            <w:r w:rsidRPr="001E6F82">
              <w:tab/>
            </w:r>
            <w:r w:rsidRPr="001E6F82">
              <w:rPr>
                <w:b/>
                <w:i/>
              </w:rPr>
              <w:t>w załączniku I dodaje się sekcję 1.5.2.4.3a w brzmieniu: „Jeżeli zastosowanie ma sekcja 1.5.2.4.3, etykieta na opakowaniu wewnętrznym zawiera identyfikator produktu, o którym mowa w art. 18 ust. 2, w przypadku substancji, bądź nazwę handlową lub oznaczenie, o których mowa w art. 18 ust. 3 lit. a), w przypadku mieszanin, oraz w stosownych przypadkach piktogramy określające rodzaj zagrożenia »GHS01« lub »GHS05«.”;</w:t>
            </w:r>
          </w:p>
        </w:tc>
      </w:tr>
    </w:tbl>
    <w:p w14:paraId="466C2878" w14:textId="77777777" w:rsidR="002E6C09" w:rsidRPr="001E6F82" w:rsidRDefault="002E6C09" w:rsidP="002E6C09"/>
    <w:p w14:paraId="3E595318" w14:textId="77777777" w:rsidR="002E6C09" w:rsidRPr="001E6F82" w:rsidRDefault="002E6C09" w:rsidP="002E6C09">
      <w:pPr>
        <w:pStyle w:val="AmNumberTabs"/>
      </w:pPr>
      <w:r w:rsidRPr="001E6F82">
        <w:t>Poprawka</w:t>
      </w:r>
      <w:r w:rsidRPr="001E6F82">
        <w:tab/>
      </w:r>
      <w:r w:rsidRPr="001E6F82">
        <w:tab/>
        <w:t>85</w:t>
      </w:r>
    </w:p>
    <w:p w14:paraId="03D58ED9" w14:textId="77777777" w:rsidR="002E6C09" w:rsidRPr="001E6F82" w:rsidRDefault="002E6C09" w:rsidP="002E6C09">
      <w:pPr>
        <w:pStyle w:val="NormalBold"/>
      </w:pPr>
      <w:r w:rsidRPr="001E6F82">
        <w:t>Wniosek dotyczący rozporządzenia</w:t>
      </w:r>
    </w:p>
    <w:p w14:paraId="32D5C71E" w14:textId="77777777" w:rsidR="002E6C09" w:rsidRPr="001E6F82" w:rsidRDefault="002E6C09" w:rsidP="002E6C09">
      <w:pPr>
        <w:pStyle w:val="NormalBold"/>
      </w:pPr>
      <w:r w:rsidRPr="001E6F82">
        <w:t>Załącznik I – akapit 1 – punkt 7 b (nowy)</w:t>
      </w:r>
    </w:p>
    <w:p w14:paraId="4E448AC9" w14:textId="77777777" w:rsidR="002E6C09" w:rsidRPr="001E6F82" w:rsidRDefault="002E6C09" w:rsidP="002E6C09">
      <w:r w:rsidRPr="001E6F82">
        <w:t>Rozporządzenie (WE) nr 1272/2008</w:t>
      </w:r>
    </w:p>
    <w:p w14:paraId="368D2666" w14:textId="77777777" w:rsidR="002E6C09" w:rsidRPr="001E6F82" w:rsidRDefault="002E6C09" w:rsidP="002E6C09">
      <w:r w:rsidRPr="001E6F82">
        <w:t>Załącznik I – sekcja 1.5.2.5.a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3F2C2C6" w14:textId="77777777" w:rsidTr="00844FF8">
        <w:trPr>
          <w:trHeight w:val="240"/>
          <w:jc w:val="center"/>
        </w:trPr>
        <w:tc>
          <w:tcPr>
            <w:tcW w:w="9752" w:type="dxa"/>
            <w:gridSpan w:val="2"/>
            <w:tcBorders>
              <w:top w:val="nil"/>
              <w:left w:val="nil"/>
              <w:bottom w:val="nil"/>
              <w:right w:val="nil"/>
            </w:tcBorders>
          </w:tcPr>
          <w:p w14:paraId="6006E7AD" w14:textId="77777777" w:rsidR="002E6C09" w:rsidRPr="001E6F82" w:rsidRDefault="002E6C09" w:rsidP="00844FF8"/>
        </w:tc>
      </w:tr>
      <w:tr w:rsidR="002E6C09" w:rsidRPr="001E6F82" w14:paraId="28C3A245" w14:textId="77777777" w:rsidTr="00844FF8">
        <w:trPr>
          <w:trHeight w:val="240"/>
          <w:jc w:val="center"/>
        </w:trPr>
        <w:tc>
          <w:tcPr>
            <w:tcW w:w="4876" w:type="dxa"/>
            <w:tcBorders>
              <w:top w:val="nil"/>
              <w:left w:val="nil"/>
              <w:bottom w:val="nil"/>
              <w:right w:val="nil"/>
            </w:tcBorders>
            <w:hideMark/>
          </w:tcPr>
          <w:p w14:paraId="1326E120"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55974F22" w14:textId="77777777" w:rsidR="002E6C09" w:rsidRPr="001E6F82" w:rsidRDefault="002E6C09" w:rsidP="00844FF8">
            <w:pPr>
              <w:pStyle w:val="AmColumnHeading"/>
            </w:pPr>
            <w:r w:rsidRPr="001E6F82">
              <w:t>Poprawka</w:t>
            </w:r>
          </w:p>
        </w:tc>
      </w:tr>
      <w:tr w:rsidR="002E6C09" w:rsidRPr="001E6F82" w14:paraId="6DD085CC" w14:textId="77777777" w:rsidTr="00844FF8">
        <w:trPr>
          <w:jc w:val="center"/>
        </w:trPr>
        <w:tc>
          <w:tcPr>
            <w:tcW w:w="4876" w:type="dxa"/>
            <w:tcBorders>
              <w:top w:val="nil"/>
              <w:left w:val="nil"/>
              <w:bottom w:val="nil"/>
              <w:right w:val="nil"/>
            </w:tcBorders>
          </w:tcPr>
          <w:p w14:paraId="7434FF83" w14:textId="77777777" w:rsidR="002E6C09" w:rsidRPr="001E6F82" w:rsidRDefault="002E6C09" w:rsidP="00844FF8">
            <w:pPr>
              <w:pStyle w:val="Normal6a"/>
            </w:pPr>
          </w:p>
        </w:tc>
        <w:tc>
          <w:tcPr>
            <w:tcW w:w="4876" w:type="dxa"/>
            <w:tcBorders>
              <w:top w:val="nil"/>
              <w:left w:val="nil"/>
              <w:bottom w:val="nil"/>
              <w:right w:val="nil"/>
            </w:tcBorders>
            <w:hideMark/>
          </w:tcPr>
          <w:p w14:paraId="303B4B9D" w14:textId="77777777" w:rsidR="002E6C09" w:rsidRPr="001E6F82" w:rsidRDefault="002E6C09" w:rsidP="00844FF8">
            <w:pPr>
              <w:pStyle w:val="Normal6a"/>
            </w:pPr>
            <w:r w:rsidRPr="001E6F82">
              <w:rPr>
                <w:b/>
                <w:i/>
              </w:rPr>
              <w:t>7b)</w:t>
            </w:r>
            <w:r w:rsidRPr="001E6F82">
              <w:tab/>
            </w:r>
            <w:r w:rsidRPr="001E6F82">
              <w:rPr>
                <w:b/>
                <w:i/>
              </w:rPr>
              <w:t>w załączniku I dodaje się sekcję 1.5.2.5a w brzmieniu: Oznakowanie wkładów atramentowych, których zawartość nie przekracza 150 ml.</w:t>
            </w:r>
          </w:p>
        </w:tc>
      </w:tr>
      <w:tr w:rsidR="002E6C09" w:rsidRPr="001E6F82" w14:paraId="4210143B" w14:textId="77777777" w:rsidTr="00844FF8">
        <w:trPr>
          <w:jc w:val="center"/>
        </w:trPr>
        <w:tc>
          <w:tcPr>
            <w:tcW w:w="4876" w:type="dxa"/>
            <w:tcBorders>
              <w:top w:val="nil"/>
              <w:left w:val="nil"/>
              <w:bottom w:val="nil"/>
              <w:right w:val="nil"/>
            </w:tcBorders>
          </w:tcPr>
          <w:p w14:paraId="73A9D30D" w14:textId="77777777" w:rsidR="002E6C09" w:rsidRPr="001E6F82" w:rsidRDefault="002E6C09" w:rsidP="00844FF8">
            <w:pPr>
              <w:pStyle w:val="Normal6a"/>
            </w:pPr>
          </w:p>
        </w:tc>
        <w:tc>
          <w:tcPr>
            <w:tcW w:w="4876" w:type="dxa"/>
            <w:tcBorders>
              <w:top w:val="nil"/>
              <w:left w:val="nil"/>
              <w:bottom w:val="nil"/>
              <w:right w:val="nil"/>
            </w:tcBorders>
            <w:hideMark/>
          </w:tcPr>
          <w:p w14:paraId="551281F2" w14:textId="77777777" w:rsidR="002E6C09" w:rsidRPr="001E6F82" w:rsidRDefault="002E6C09" w:rsidP="00844FF8">
            <w:pPr>
              <w:pStyle w:val="Normal6a"/>
            </w:pPr>
            <w:r w:rsidRPr="001E6F82">
              <w:rPr>
                <w:b/>
                <w:i/>
              </w:rPr>
              <w:t>1.5.2.5a1: Elementy etykiety wymagane w art. 17 można zredukować zgodnie z sekcją 1.5.2.5a.2 i 1.5.2.5a.</w:t>
            </w:r>
            <w:proofErr w:type="gramStart"/>
            <w:r w:rsidRPr="001E6F82">
              <w:rPr>
                <w:b/>
                <w:i/>
              </w:rPr>
              <w:t>3</w:t>
            </w:r>
            <w:proofErr w:type="gramEnd"/>
            <w:r w:rsidRPr="001E6F82">
              <w:rPr>
                <w:b/>
                <w:i/>
              </w:rPr>
              <w:t xml:space="preserve"> jeżeli:</w:t>
            </w:r>
          </w:p>
        </w:tc>
      </w:tr>
      <w:tr w:rsidR="002E6C09" w:rsidRPr="001E6F82" w14:paraId="36D16E63" w14:textId="77777777" w:rsidTr="00844FF8">
        <w:trPr>
          <w:jc w:val="center"/>
        </w:trPr>
        <w:tc>
          <w:tcPr>
            <w:tcW w:w="4876" w:type="dxa"/>
            <w:tcBorders>
              <w:top w:val="nil"/>
              <w:left w:val="nil"/>
              <w:bottom w:val="nil"/>
              <w:right w:val="nil"/>
            </w:tcBorders>
          </w:tcPr>
          <w:p w14:paraId="7DE4E3D0" w14:textId="77777777" w:rsidR="002E6C09" w:rsidRPr="001E6F82" w:rsidRDefault="002E6C09" w:rsidP="00844FF8">
            <w:pPr>
              <w:pStyle w:val="Normal6a"/>
            </w:pPr>
          </w:p>
        </w:tc>
        <w:tc>
          <w:tcPr>
            <w:tcW w:w="4876" w:type="dxa"/>
            <w:tcBorders>
              <w:top w:val="nil"/>
              <w:left w:val="nil"/>
              <w:bottom w:val="nil"/>
              <w:right w:val="nil"/>
            </w:tcBorders>
            <w:hideMark/>
          </w:tcPr>
          <w:p w14:paraId="51048E3C" w14:textId="77777777" w:rsidR="002E6C09" w:rsidRPr="001E6F82" w:rsidRDefault="002E6C09" w:rsidP="00844FF8">
            <w:pPr>
              <w:pStyle w:val="Normal6a"/>
            </w:pPr>
            <w:r w:rsidRPr="001E6F82">
              <w:rPr>
                <w:b/>
                <w:i/>
              </w:rPr>
              <w:t>a) zawartość wkładu atramentowego nie przekracza objętości 150 ml</w:t>
            </w:r>
          </w:p>
        </w:tc>
      </w:tr>
      <w:tr w:rsidR="002E6C09" w:rsidRPr="001E6F82" w14:paraId="283FD9D0" w14:textId="77777777" w:rsidTr="00844FF8">
        <w:trPr>
          <w:jc w:val="center"/>
        </w:trPr>
        <w:tc>
          <w:tcPr>
            <w:tcW w:w="4876" w:type="dxa"/>
            <w:tcBorders>
              <w:top w:val="nil"/>
              <w:left w:val="nil"/>
              <w:bottom w:val="nil"/>
              <w:right w:val="nil"/>
            </w:tcBorders>
          </w:tcPr>
          <w:p w14:paraId="1B849699" w14:textId="77777777" w:rsidR="002E6C09" w:rsidRPr="001E6F82" w:rsidRDefault="002E6C09" w:rsidP="00844FF8">
            <w:pPr>
              <w:pStyle w:val="Normal6a"/>
            </w:pPr>
          </w:p>
        </w:tc>
        <w:tc>
          <w:tcPr>
            <w:tcW w:w="4876" w:type="dxa"/>
            <w:tcBorders>
              <w:top w:val="nil"/>
              <w:left w:val="nil"/>
              <w:bottom w:val="nil"/>
              <w:right w:val="nil"/>
            </w:tcBorders>
            <w:hideMark/>
          </w:tcPr>
          <w:p w14:paraId="48921BC3" w14:textId="77777777" w:rsidR="002E6C09" w:rsidRPr="001E6F82" w:rsidRDefault="002E6C09" w:rsidP="00844FF8">
            <w:pPr>
              <w:pStyle w:val="Normal6a"/>
            </w:pPr>
            <w:r w:rsidRPr="001E6F82">
              <w:rPr>
                <w:b/>
                <w:i/>
              </w:rPr>
              <w:t>b) opakowanie zewnętrzne spełnia wymogi wymienione w art. 17 oraz</w:t>
            </w:r>
          </w:p>
        </w:tc>
      </w:tr>
      <w:tr w:rsidR="002E6C09" w:rsidRPr="001E6F82" w14:paraId="57D9AEB5" w14:textId="77777777" w:rsidTr="00844FF8">
        <w:trPr>
          <w:jc w:val="center"/>
        </w:trPr>
        <w:tc>
          <w:tcPr>
            <w:tcW w:w="4876" w:type="dxa"/>
            <w:tcBorders>
              <w:top w:val="nil"/>
              <w:left w:val="nil"/>
              <w:bottom w:val="nil"/>
              <w:right w:val="nil"/>
            </w:tcBorders>
          </w:tcPr>
          <w:p w14:paraId="3493CF77" w14:textId="77777777" w:rsidR="002E6C09" w:rsidRPr="001E6F82" w:rsidRDefault="002E6C09" w:rsidP="00844FF8">
            <w:pPr>
              <w:pStyle w:val="Normal6a"/>
            </w:pPr>
          </w:p>
        </w:tc>
        <w:tc>
          <w:tcPr>
            <w:tcW w:w="4876" w:type="dxa"/>
            <w:tcBorders>
              <w:top w:val="nil"/>
              <w:left w:val="nil"/>
              <w:bottom w:val="nil"/>
              <w:right w:val="nil"/>
            </w:tcBorders>
            <w:hideMark/>
          </w:tcPr>
          <w:p w14:paraId="258AC5F9" w14:textId="77777777" w:rsidR="002E6C09" w:rsidRPr="001E6F82" w:rsidRDefault="002E6C09" w:rsidP="00844FF8">
            <w:pPr>
              <w:pStyle w:val="Normal6a"/>
            </w:pPr>
            <w:r w:rsidRPr="001E6F82">
              <w:rPr>
                <w:b/>
                <w:i/>
              </w:rPr>
              <w:t>c) informacje o zagrożeniach na opakowaniu zewnętrznym znajdują się na drukarce</w:t>
            </w:r>
          </w:p>
        </w:tc>
      </w:tr>
      <w:tr w:rsidR="002E6C09" w:rsidRPr="001E6F82" w14:paraId="6D50A204" w14:textId="77777777" w:rsidTr="00844FF8">
        <w:trPr>
          <w:jc w:val="center"/>
        </w:trPr>
        <w:tc>
          <w:tcPr>
            <w:tcW w:w="4876" w:type="dxa"/>
            <w:tcBorders>
              <w:top w:val="nil"/>
              <w:left w:val="nil"/>
              <w:bottom w:val="nil"/>
              <w:right w:val="nil"/>
            </w:tcBorders>
          </w:tcPr>
          <w:p w14:paraId="55103A02" w14:textId="77777777" w:rsidR="002E6C09" w:rsidRPr="001E6F82" w:rsidRDefault="002E6C09" w:rsidP="00844FF8">
            <w:pPr>
              <w:pStyle w:val="Normal6a"/>
            </w:pPr>
          </w:p>
        </w:tc>
        <w:tc>
          <w:tcPr>
            <w:tcW w:w="4876" w:type="dxa"/>
            <w:tcBorders>
              <w:top w:val="nil"/>
              <w:left w:val="nil"/>
              <w:bottom w:val="nil"/>
              <w:right w:val="nil"/>
            </w:tcBorders>
            <w:hideMark/>
          </w:tcPr>
          <w:p w14:paraId="6A8E39E9" w14:textId="77777777" w:rsidR="002E6C09" w:rsidRPr="001E6F82" w:rsidRDefault="002E6C09" w:rsidP="00844FF8">
            <w:pPr>
              <w:pStyle w:val="Normal6a"/>
            </w:pPr>
            <w:r w:rsidRPr="001E6F82">
              <w:rPr>
                <w:b/>
                <w:i/>
              </w:rPr>
              <w:t>1.5.2.5a.2: Jeżeli zastosowanie ma sekcja 1.5.2.5a.1, etykieta na wkładzie atramentowym i opakowaniu pośrednim zawiera co najmniej:</w:t>
            </w:r>
          </w:p>
        </w:tc>
      </w:tr>
      <w:tr w:rsidR="002E6C09" w:rsidRPr="001E6F82" w14:paraId="4124D897" w14:textId="77777777" w:rsidTr="00844FF8">
        <w:trPr>
          <w:jc w:val="center"/>
        </w:trPr>
        <w:tc>
          <w:tcPr>
            <w:tcW w:w="4876" w:type="dxa"/>
            <w:tcBorders>
              <w:top w:val="nil"/>
              <w:left w:val="nil"/>
              <w:bottom w:val="nil"/>
              <w:right w:val="nil"/>
            </w:tcBorders>
          </w:tcPr>
          <w:p w14:paraId="496475C1" w14:textId="77777777" w:rsidR="002E6C09" w:rsidRPr="001E6F82" w:rsidRDefault="002E6C09" w:rsidP="00844FF8">
            <w:pPr>
              <w:pStyle w:val="Normal6a"/>
            </w:pPr>
          </w:p>
        </w:tc>
        <w:tc>
          <w:tcPr>
            <w:tcW w:w="4876" w:type="dxa"/>
            <w:tcBorders>
              <w:top w:val="nil"/>
              <w:left w:val="nil"/>
              <w:bottom w:val="nil"/>
              <w:right w:val="nil"/>
            </w:tcBorders>
            <w:hideMark/>
          </w:tcPr>
          <w:p w14:paraId="2E064229" w14:textId="77777777" w:rsidR="002E6C09" w:rsidRPr="001E6F82" w:rsidRDefault="002E6C09" w:rsidP="00844FF8">
            <w:pPr>
              <w:pStyle w:val="Normal6a"/>
            </w:pPr>
            <w:r w:rsidRPr="001E6F82">
              <w:rPr>
                <w:b/>
                <w:i/>
              </w:rPr>
              <w:t>a) identyfikator produktu zgodnie z art. 18 ust. 2 w przypadku substancji i art. 18 ust. 3 w przypadku mieszanin;</w:t>
            </w:r>
          </w:p>
        </w:tc>
      </w:tr>
      <w:tr w:rsidR="002E6C09" w:rsidRPr="001E6F82" w14:paraId="4A4A9049" w14:textId="77777777" w:rsidTr="00844FF8">
        <w:trPr>
          <w:jc w:val="center"/>
        </w:trPr>
        <w:tc>
          <w:tcPr>
            <w:tcW w:w="4876" w:type="dxa"/>
            <w:tcBorders>
              <w:top w:val="nil"/>
              <w:left w:val="nil"/>
              <w:bottom w:val="nil"/>
              <w:right w:val="nil"/>
            </w:tcBorders>
          </w:tcPr>
          <w:p w14:paraId="3D95ED73" w14:textId="77777777" w:rsidR="002E6C09" w:rsidRPr="001E6F82" w:rsidRDefault="002E6C09" w:rsidP="00844FF8">
            <w:pPr>
              <w:pStyle w:val="Normal6a"/>
            </w:pPr>
          </w:p>
        </w:tc>
        <w:tc>
          <w:tcPr>
            <w:tcW w:w="4876" w:type="dxa"/>
            <w:tcBorders>
              <w:top w:val="nil"/>
              <w:left w:val="nil"/>
              <w:bottom w:val="nil"/>
              <w:right w:val="nil"/>
            </w:tcBorders>
            <w:hideMark/>
          </w:tcPr>
          <w:p w14:paraId="3BC33164" w14:textId="77777777" w:rsidR="002E6C09" w:rsidRPr="001E6F82" w:rsidRDefault="002E6C09" w:rsidP="00844FF8">
            <w:pPr>
              <w:pStyle w:val="Normal6a"/>
            </w:pPr>
            <w:r w:rsidRPr="001E6F82">
              <w:rPr>
                <w:b/>
                <w:i/>
              </w:rPr>
              <w:t>b) w stosownych przypadkach – piktogramy;</w:t>
            </w:r>
          </w:p>
        </w:tc>
      </w:tr>
      <w:tr w:rsidR="002E6C09" w:rsidRPr="001E6F82" w14:paraId="5A6E1057" w14:textId="77777777" w:rsidTr="00844FF8">
        <w:trPr>
          <w:jc w:val="center"/>
        </w:trPr>
        <w:tc>
          <w:tcPr>
            <w:tcW w:w="4876" w:type="dxa"/>
            <w:tcBorders>
              <w:top w:val="nil"/>
              <w:left w:val="nil"/>
              <w:bottom w:val="nil"/>
              <w:right w:val="nil"/>
            </w:tcBorders>
          </w:tcPr>
          <w:p w14:paraId="298E1AE2" w14:textId="77777777" w:rsidR="002E6C09" w:rsidRPr="001E6F82" w:rsidRDefault="002E6C09" w:rsidP="00844FF8">
            <w:pPr>
              <w:pStyle w:val="Normal6a"/>
            </w:pPr>
          </w:p>
        </w:tc>
        <w:tc>
          <w:tcPr>
            <w:tcW w:w="4876" w:type="dxa"/>
            <w:tcBorders>
              <w:top w:val="nil"/>
              <w:left w:val="nil"/>
              <w:bottom w:val="nil"/>
              <w:right w:val="nil"/>
            </w:tcBorders>
            <w:hideMark/>
          </w:tcPr>
          <w:p w14:paraId="4BAA2C30" w14:textId="77777777" w:rsidR="002E6C09" w:rsidRPr="001E6F82" w:rsidRDefault="002E6C09" w:rsidP="00844FF8">
            <w:pPr>
              <w:pStyle w:val="Normal6a"/>
            </w:pPr>
            <w:r w:rsidRPr="001E6F82">
              <w:rPr>
                <w:b/>
                <w:i/>
              </w:rPr>
              <w:t>c) w stosownych przypadkach – niepowtarzalny identyfikator postaci czynnej;</w:t>
            </w:r>
          </w:p>
        </w:tc>
      </w:tr>
      <w:tr w:rsidR="002E6C09" w:rsidRPr="001E6F82" w14:paraId="7299C085" w14:textId="77777777" w:rsidTr="00844FF8">
        <w:trPr>
          <w:jc w:val="center"/>
        </w:trPr>
        <w:tc>
          <w:tcPr>
            <w:tcW w:w="4876" w:type="dxa"/>
            <w:tcBorders>
              <w:top w:val="nil"/>
              <w:left w:val="nil"/>
              <w:bottom w:val="nil"/>
              <w:right w:val="nil"/>
            </w:tcBorders>
          </w:tcPr>
          <w:p w14:paraId="4B75D0D1" w14:textId="77777777" w:rsidR="002E6C09" w:rsidRPr="001E6F82" w:rsidRDefault="002E6C09" w:rsidP="00844FF8">
            <w:pPr>
              <w:pStyle w:val="Normal6a"/>
            </w:pPr>
          </w:p>
        </w:tc>
        <w:tc>
          <w:tcPr>
            <w:tcW w:w="4876" w:type="dxa"/>
            <w:tcBorders>
              <w:top w:val="nil"/>
              <w:left w:val="nil"/>
              <w:bottom w:val="nil"/>
              <w:right w:val="nil"/>
            </w:tcBorders>
            <w:hideMark/>
          </w:tcPr>
          <w:p w14:paraId="01D8BB65" w14:textId="77777777" w:rsidR="002E6C09" w:rsidRPr="001E6F82" w:rsidRDefault="002E6C09" w:rsidP="00844FF8">
            <w:pPr>
              <w:pStyle w:val="Normal6a"/>
            </w:pPr>
            <w:r w:rsidRPr="001E6F82">
              <w:rPr>
                <w:b/>
                <w:i/>
              </w:rPr>
              <w:t>d) nazwę handlową, zarejestrowaną nazwę lub zarejestrowany znak towarowy dostawcy; oraz</w:t>
            </w:r>
          </w:p>
        </w:tc>
      </w:tr>
      <w:tr w:rsidR="002E6C09" w:rsidRPr="001E6F82" w14:paraId="72A29909" w14:textId="77777777" w:rsidTr="00844FF8">
        <w:trPr>
          <w:jc w:val="center"/>
        </w:trPr>
        <w:tc>
          <w:tcPr>
            <w:tcW w:w="4876" w:type="dxa"/>
            <w:tcBorders>
              <w:top w:val="nil"/>
              <w:left w:val="nil"/>
              <w:bottom w:val="nil"/>
              <w:right w:val="nil"/>
            </w:tcBorders>
          </w:tcPr>
          <w:p w14:paraId="0F7B9C51" w14:textId="77777777" w:rsidR="002E6C09" w:rsidRPr="001E6F82" w:rsidRDefault="002E6C09" w:rsidP="00844FF8">
            <w:pPr>
              <w:pStyle w:val="Normal6a"/>
            </w:pPr>
          </w:p>
        </w:tc>
        <w:tc>
          <w:tcPr>
            <w:tcW w:w="4876" w:type="dxa"/>
            <w:tcBorders>
              <w:top w:val="nil"/>
              <w:left w:val="nil"/>
              <w:bottom w:val="nil"/>
              <w:right w:val="nil"/>
            </w:tcBorders>
            <w:hideMark/>
          </w:tcPr>
          <w:p w14:paraId="14288C7F" w14:textId="77777777" w:rsidR="002E6C09" w:rsidRPr="001E6F82" w:rsidRDefault="002E6C09" w:rsidP="00844FF8">
            <w:pPr>
              <w:pStyle w:val="Normal6a"/>
            </w:pPr>
            <w:r w:rsidRPr="001E6F82">
              <w:rPr>
                <w:b/>
                <w:i/>
              </w:rPr>
              <w:t>e) numer telefonu lub kontakt elektroniczny.</w:t>
            </w:r>
          </w:p>
        </w:tc>
      </w:tr>
      <w:tr w:rsidR="002E6C09" w:rsidRPr="001E6F82" w14:paraId="2AE0AD64" w14:textId="77777777" w:rsidTr="00844FF8">
        <w:trPr>
          <w:jc w:val="center"/>
        </w:trPr>
        <w:tc>
          <w:tcPr>
            <w:tcW w:w="4876" w:type="dxa"/>
            <w:tcBorders>
              <w:top w:val="nil"/>
              <w:left w:val="nil"/>
              <w:bottom w:val="nil"/>
              <w:right w:val="nil"/>
            </w:tcBorders>
          </w:tcPr>
          <w:p w14:paraId="62D5D13F" w14:textId="77777777" w:rsidR="002E6C09" w:rsidRPr="001E6F82" w:rsidRDefault="002E6C09" w:rsidP="00844FF8">
            <w:pPr>
              <w:pStyle w:val="Normal6a"/>
            </w:pPr>
          </w:p>
        </w:tc>
        <w:tc>
          <w:tcPr>
            <w:tcW w:w="4876" w:type="dxa"/>
            <w:tcBorders>
              <w:top w:val="nil"/>
              <w:left w:val="nil"/>
              <w:bottom w:val="nil"/>
              <w:right w:val="nil"/>
            </w:tcBorders>
            <w:hideMark/>
          </w:tcPr>
          <w:p w14:paraId="3FC95C24" w14:textId="77777777" w:rsidR="002E6C09" w:rsidRPr="001E6F82" w:rsidRDefault="002E6C09" w:rsidP="00844FF8">
            <w:pPr>
              <w:pStyle w:val="Normal6a"/>
            </w:pPr>
            <w:r w:rsidRPr="001E6F82">
              <w:rPr>
                <w:b/>
                <w:i/>
              </w:rPr>
              <w:t>1.5.2.5a.3: Jeżeli zastosowanie ma sekcja 1.5.2.5a.1, a zawartość wkładu atramentowego nie przekracza objętości 30 ml, informacje wymagane zgodnie z sekcją 1.5.2.5a.1 mogą zostać dodatkowo zredukowane, a etykieta na wkładzie atramentowym zawiera co najmniej:</w:t>
            </w:r>
          </w:p>
        </w:tc>
      </w:tr>
      <w:tr w:rsidR="002E6C09" w:rsidRPr="001E6F82" w14:paraId="029F80E3" w14:textId="77777777" w:rsidTr="00844FF8">
        <w:trPr>
          <w:jc w:val="center"/>
        </w:trPr>
        <w:tc>
          <w:tcPr>
            <w:tcW w:w="4876" w:type="dxa"/>
            <w:tcBorders>
              <w:top w:val="nil"/>
              <w:left w:val="nil"/>
              <w:bottom w:val="nil"/>
              <w:right w:val="nil"/>
            </w:tcBorders>
          </w:tcPr>
          <w:p w14:paraId="0868A6C7" w14:textId="77777777" w:rsidR="002E6C09" w:rsidRPr="001E6F82" w:rsidRDefault="002E6C09" w:rsidP="00844FF8">
            <w:pPr>
              <w:pStyle w:val="Normal6a"/>
            </w:pPr>
          </w:p>
        </w:tc>
        <w:tc>
          <w:tcPr>
            <w:tcW w:w="4876" w:type="dxa"/>
            <w:tcBorders>
              <w:top w:val="nil"/>
              <w:left w:val="nil"/>
              <w:bottom w:val="nil"/>
              <w:right w:val="nil"/>
            </w:tcBorders>
            <w:hideMark/>
          </w:tcPr>
          <w:p w14:paraId="31D2E4C7" w14:textId="77777777" w:rsidR="002E6C09" w:rsidRPr="001E6F82" w:rsidRDefault="002E6C09" w:rsidP="00844FF8">
            <w:pPr>
              <w:pStyle w:val="Normal6a"/>
            </w:pPr>
            <w:r w:rsidRPr="001E6F82">
              <w:rPr>
                <w:b/>
                <w:i/>
              </w:rPr>
              <w:t>a) identyfikator produktu zgodnie z art. 18 ust. 2 w przypadku substancji i art. 18 ust. 3 w przypadku mieszanin; oraz</w:t>
            </w:r>
          </w:p>
        </w:tc>
      </w:tr>
      <w:tr w:rsidR="002E6C09" w:rsidRPr="001E6F82" w14:paraId="5466854B" w14:textId="77777777" w:rsidTr="00844FF8">
        <w:trPr>
          <w:jc w:val="center"/>
        </w:trPr>
        <w:tc>
          <w:tcPr>
            <w:tcW w:w="4876" w:type="dxa"/>
            <w:tcBorders>
              <w:top w:val="nil"/>
              <w:left w:val="nil"/>
              <w:bottom w:val="nil"/>
              <w:right w:val="nil"/>
            </w:tcBorders>
          </w:tcPr>
          <w:p w14:paraId="3C2028BB" w14:textId="77777777" w:rsidR="002E6C09" w:rsidRPr="001E6F82" w:rsidRDefault="002E6C09" w:rsidP="00844FF8">
            <w:pPr>
              <w:pStyle w:val="Normal6a"/>
            </w:pPr>
          </w:p>
        </w:tc>
        <w:tc>
          <w:tcPr>
            <w:tcW w:w="4876" w:type="dxa"/>
            <w:tcBorders>
              <w:top w:val="nil"/>
              <w:left w:val="nil"/>
              <w:bottom w:val="nil"/>
              <w:right w:val="nil"/>
            </w:tcBorders>
            <w:hideMark/>
          </w:tcPr>
          <w:p w14:paraId="38C7647B" w14:textId="77777777" w:rsidR="002E6C09" w:rsidRPr="001E6F82" w:rsidRDefault="002E6C09" w:rsidP="00844FF8">
            <w:pPr>
              <w:pStyle w:val="Normal6a"/>
            </w:pPr>
            <w:r w:rsidRPr="001E6F82">
              <w:rPr>
                <w:b/>
                <w:i/>
              </w:rPr>
              <w:t>b) w stosownych przypadkach następujące piktogramy: GHS01, GHS05, GHS06, GHS08. GHS07, GHS09, a w przypadku przypisanych więcej niż dwóch piktogramów, GHS06 i GHS08 mogą mieć pierwszeństwo przed GHS01 i GHS05.</w:t>
            </w:r>
          </w:p>
        </w:tc>
      </w:tr>
    </w:tbl>
    <w:p w14:paraId="7C147A70" w14:textId="77777777" w:rsidR="002E6C09" w:rsidRPr="001E6F82" w:rsidRDefault="002E6C09" w:rsidP="002E6C09"/>
    <w:p w14:paraId="38AA25FB" w14:textId="77777777" w:rsidR="002E6C09" w:rsidRPr="001E6F82" w:rsidRDefault="002E6C09" w:rsidP="002E6C09">
      <w:pPr>
        <w:pStyle w:val="AmNumberTabs"/>
      </w:pPr>
      <w:r w:rsidRPr="001E6F82">
        <w:t>Poprawka</w:t>
      </w:r>
      <w:r w:rsidRPr="001E6F82">
        <w:tab/>
      </w:r>
      <w:r w:rsidRPr="001E6F82">
        <w:tab/>
        <w:t>86</w:t>
      </w:r>
    </w:p>
    <w:p w14:paraId="727FDB6F" w14:textId="77777777" w:rsidR="002E6C09" w:rsidRPr="001E6F82" w:rsidRDefault="002E6C09" w:rsidP="002E6C09">
      <w:pPr>
        <w:pStyle w:val="NormalBold"/>
      </w:pPr>
      <w:r w:rsidRPr="001E6F82">
        <w:t>Wniosek dotyczący rozporządzenia</w:t>
      </w:r>
    </w:p>
    <w:p w14:paraId="2E121594" w14:textId="77777777" w:rsidR="002E6C09" w:rsidRPr="001E6F82" w:rsidRDefault="002E6C09" w:rsidP="002E6C09">
      <w:pPr>
        <w:pStyle w:val="NormalBold"/>
      </w:pPr>
      <w:r w:rsidRPr="001E6F82">
        <w:t>Załącznik I – akapit 1 – punkt 8</w:t>
      </w:r>
    </w:p>
    <w:p w14:paraId="06D2AA1B" w14:textId="77777777" w:rsidR="002E6C09" w:rsidRPr="001E6F82" w:rsidRDefault="002E6C09" w:rsidP="002E6C09">
      <w:r w:rsidRPr="001E6F82">
        <w:t>Rozporządzenie (WE) nr 1272/2008</w:t>
      </w:r>
    </w:p>
    <w:p w14:paraId="5AD49165" w14:textId="77777777" w:rsidR="002E6C09" w:rsidRPr="001E6F82" w:rsidRDefault="002E6C09" w:rsidP="002E6C09">
      <w:r w:rsidRPr="001E6F82">
        <w:t>Załącznik I – sekcja 1.6 – litera b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09BAE2B0" w14:textId="77777777" w:rsidTr="00844FF8">
        <w:trPr>
          <w:trHeight w:val="240"/>
          <w:jc w:val="center"/>
        </w:trPr>
        <w:tc>
          <w:tcPr>
            <w:tcW w:w="9752" w:type="dxa"/>
            <w:gridSpan w:val="2"/>
            <w:tcBorders>
              <w:top w:val="nil"/>
              <w:left w:val="nil"/>
              <w:bottom w:val="nil"/>
              <w:right w:val="nil"/>
            </w:tcBorders>
          </w:tcPr>
          <w:p w14:paraId="27DAA363" w14:textId="77777777" w:rsidR="002E6C09" w:rsidRPr="001E6F82" w:rsidRDefault="002E6C09" w:rsidP="00844FF8"/>
        </w:tc>
      </w:tr>
      <w:tr w:rsidR="002E6C09" w:rsidRPr="001E6F82" w14:paraId="39897279" w14:textId="77777777" w:rsidTr="00844FF8">
        <w:trPr>
          <w:trHeight w:val="240"/>
          <w:jc w:val="center"/>
        </w:trPr>
        <w:tc>
          <w:tcPr>
            <w:tcW w:w="4876" w:type="dxa"/>
            <w:tcBorders>
              <w:top w:val="nil"/>
              <w:left w:val="nil"/>
              <w:bottom w:val="nil"/>
              <w:right w:val="nil"/>
            </w:tcBorders>
            <w:hideMark/>
          </w:tcPr>
          <w:p w14:paraId="6197259E"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E8B1AA0" w14:textId="77777777" w:rsidR="002E6C09" w:rsidRPr="001E6F82" w:rsidRDefault="002E6C09" w:rsidP="00844FF8">
            <w:pPr>
              <w:pStyle w:val="AmColumnHeading"/>
            </w:pPr>
            <w:r w:rsidRPr="001E6F82">
              <w:t>Poprawka</w:t>
            </w:r>
          </w:p>
        </w:tc>
      </w:tr>
      <w:tr w:rsidR="002E6C09" w:rsidRPr="001E6F82" w14:paraId="087213C3" w14:textId="77777777" w:rsidTr="00844FF8">
        <w:trPr>
          <w:jc w:val="center"/>
        </w:trPr>
        <w:tc>
          <w:tcPr>
            <w:tcW w:w="4876" w:type="dxa"/>
            <w:tcBorders>
              <w:top w:val="nil"/>
              <w:left w:val="nil"/>
              <w:bottom w:val="nil"/>
              <w:right w:val="nil"/>
            </w:tcBorders>
          </w:tcPr>
          <w:p w14:paraId="68F959A8" w14:textId="77777777" w:rsidR="002E6C09" w:rsidRPr="001E6F82" w:rsidRDefault="002E6C09" w:rsidP="00844FF8">
            <w:pPr>
              <w:pStyle w:val="Normal6a"/>
            </w:pPr>
          </w:p>
        </w:tc>
        <w:tc>
          <w:tcPr>
            <w:tcW w:w="4876" w:type="dxa"/>
            <w:tcBorders>
              <w:top w:val="nil"/>
              <w:left w:val="nil"/>
              <w:bottom w:val="nil"/>
              <w:right w:val="nil"/>
            </w:tcBorders>
            <w:hideMark/>
          </w:tcPr>
          <w:p w14:paraId="40F169BB" w14:textId="77777777" w:rsidR="002E6C09" w:rsidRPr="001E6F82" w:rsidRDefault="002E6C09" w:rsidP="00844FF8">
            <w:pPr>
              <w:pStyle w:val="Normal6a"/>
            </w:pPr>
            <w:r w:rsidRPr="001E6F82">
              <w:rPr>
                <w:b/>
                <w:i/>
              </w:rPr>
              <w:t>ba)</w:t>
            </w:r>
            <w:r w:rsidRPr="001E6F82">
              <w:tab/>
            </w:r>
            <w:r w:rsidRPr="001E6F82">
              <w:rPr>
                <w:b/>
                <w:i/>
              </w:rPr>
              <w:t xml:space="preserve">numer telefonu dostawcy (dostawców) wymagany zgodnie z art. 17 ust. 1 lit. a) </w:t>
            </w:r>
            <w:proofErr w:type="gramStart"/>
            <w:r w:rsidRPr="001E6F82">
              <w:rPr>
                <w:b/>
                <w:i/>
              </w:rPr>
              <w:t>oraz,</w:t>
            </w:r>
            <w:proofErr w:type="gramEnd"/>
            <w:r w:rsidRPr="001E6F82">
              <w:rPr>
                <w:b/>
                <w:i/>
              </w:rPr>
              <w:t xml:space="preserve"> w stosownych przypadkach, z art. 25 ust. 6 akapit trzeci i z sekcją 1.5.1.2 załącznika I”;</w:t>
            </w:r>
          </w:p>
        </w:tc>
      </w:tr>
    </w:tbl>
    <w:p w14:paraId="1B6CD7BD" w14:textId="77777777" w:rsidR="002E6C09" w:rsidRPr="001E6F82" w:rsidRDefault="002E6C09" w:rsidP="002E6C09"/>
    <w:p w14:paraId="399D3478" w14:textId="77777777" w:rsidR="002E6C09" w:rsidRPr="001E6F82" w:rsidRDefault="002E6C09" w:rsidP="002E6C09">
      <w:pPr>
        <w:pStyle w:val="AmNumberTabs"/>
      </w:pPr>
      <w:r w:rsidRPr="001E6F82">
        <w:lastRenderedPageBreak/>
        <w:t>Poprawka</w:t>
      </w:r>
      <w:r w:rsidRPr="001E6F82">
        <w:tab/>
      </w:r>
      <w:r w:rsidRPr="001E6F82">
        <w:tab/>
        <w:t>87</w:t>
      </w:r>
    </w:p>
    <w:p w14:paraId="5EF2AC05" w14:textId="77777777" w:rsidR="002E6C09" w:rsidRPr="001E6F82" w:rsidRDefault="002E6C09" w:rsidP="002E6C09">
      <w:pPr>
        <w:pStyle w:val="NormalBold"/>
      </w:pPr>
      <w:r w:rsidRPr="001E6F82">
        <w:t>Wniosek dotyczący rozporządzenia</w:t>
      </w:r>
    </w:p>
    <w:p w14:paraId="1EBE2026" w14:textId="77777777" w:rsidR="002E6C09" w:rsidRPr="001E6F82" w:rsidRDefault="002E6C09" w:rsidP="002E6C09">
      <w:pPr>
        <w:pStyle w:val="NormalBold"/>
      </w:pPr>
      <w:r w:rsidRPr="001E6F82">
        <w:t>Załącznik I – akapit 1 – punkt 9</w:t>
      </w:r>
    </w:p>
    <w:p w14:paraId="7EE40D98" w14:textId="77777777" w:rsidR="002E6C09" w:rsidRPr="001E6F82" w:rsidRDefault="002E6C09" w:rsidP="002E6C09">
      <w:r w:rsidRPr="001E6F82">
        <w:t>Rozporządzenie (WE) nr 1272/2008</w:t>
      </w:r>
    </w:p>
    <w:p w14:paraId="0DEA7E7A" w14:textId="77777777" w:rsidR="002E6C09" w:rsidRPr="001E6F82" w:rsidRDefault="002E6C09" w:rsidP="002E6C09">
      <w:r w:rsidRPr="001E6F82">
        <w:t>Załącznik I – część 5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1D333C63" w14:textId="77777777" w:rsidTr="00844FF8">
        <w:trPr>
          <w:trHeight w:val="240"/>
          <w:jc w:val="center"/>
        </w:trPr>
        <w:tc>
          <w:tcPr>
            <w:tcW w:w="9752" w:type="dxa"/>
            <w:gridSpan w:val="2"/>
            <w:tcBorders>
              <w:top w:val="nil"/>
              <w:left w:val="nil"/>
              <w:bottom w:val="nil"/>
              <w:right w:val="nil"/>
            </w:tcBorders>
          </w:tcPr>
          <w:p w14:paraId="7802C457" w14:textId="77777777" w:rsidR="002E6C09" w:rsidRPr="001E6F82" w:rsidRDefault="002E6C09" w:rsidP="00844FF8"/>
        </w:tc>
      </w:tr>
      <w:tr w:rsidR="002E6C09" w:rsidRPr="001E6F82" w14:paraId="576A34CA" w14:textId="77777777" w:rsidTr="00844FF8">
        <w:trPr>
          <w:trHeight w:val="240"/>
          <w:jc w:val="center"/>
        </w:trPr>
        <w:tc>
          <w:tcPr>
            <w:tcW w:w="4876" w:type="dxa"/>
            <w:tcBorders>
              <w:top w:val="nil"/>
              <w:left w:val="nil"/>
              <w:bottom w:val="nil"/>
              <w:right w:val="nil"/>
            </w:tcBorders>
            <w:hideMark/>
          </w:tcPr>
          <w:p w14:paraId="51A06254"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10E90B7B" w14:textId="77777777" w:rsidR="002E6C09" w:rsidRPr="001E6F82" w:rsidRDefault="002E6C09" w:rsidP="00844FF8">
            <w:pPr>
              <w:pStyle w:val="AmColumnHeading"/>
            </w:pPr>
            <w:r w:rsidRPr="001E6F82">
              <w:t>Poprawka</w:t>
            </w:r>
          </w:p>
        </w:tc>
      </w:tr>
      <w:tr w:rsidR="002E6C09" w:rsidRPr="001E6F82" w14:paraId="160CFE87" w14:textId="77777777" w:rsidTr="00844FF8">
        <w:trPr>
          <w:jc w:val="center"/>
        </w:trPr>
        <w:tc>
          <w:tcPr>
            <w:tcW w:w="4876" w:type="dxa"/>
            <w:tcBorders>
              <w:top w:val="nil"/>
              <w:left w:val="nil"/>
              <w:bottom w:val="nil"/>
              <w:right w:val="nil"/>
            </w:tcBorders>
            <w:hideMark/>
          </w:tcPr>
          <w:p w14:paraId="207811AF" w14:textId="77777777" w:rsidR="002E6C09" w:rsidRPr="001E6F82" w:rsidRDefault="002E6C09" w:rsidP="00844FF8">
            <w:pPr>
              <w:pStyle w:val="Normal6a"/>
            </w:pPr>
            <w:r w:rsidRPr="001E6F82">
              <w:t>b)</w:t>
            </w:r>
            <w:r w:rsidRPr="001E6F82">
              <w:tab/>
              <w:t xml:space="preserve">W przypadku substancji lub mieszaniny dostarczanej na stacji paliw </w:t>
            </w:r>
            <w:r w:rsidRPr="001E6F82">
              <w:rPr>
                <w:b/>
                <w:i/>
              </w:rPr>
              <w:t>i pompowanej bezpośrednio do zbiornika, który stanowi integralną część pojazdu i z którego zwykle nie zamierza się usuwać substancji lub mieszaniny, kopia</w:t>
            </w:r>
            <w:r w:rsidRPr="001E6F82">
              <w:t xml:space="preserve"> elementów etykiety, o których mowa w art. 17 lit. c)–h), </w:t>
            </w:r>
            <w:r w:rsidRPr="001E6F82">
              <w:rPr>
                <w:b/>
                <w:i/>
              </w:rPr>
              <w:t>umieszczana jest w</w:t>
            </w:r>
            <w:r w:rsidRPr="001E6F82">
              <w:t> widocznym miejscu na odpowiedniej pompie. Nie ma potrzeby podawania niepowtarzalnego identyfikatora postaci czynnej, o którym mowa w art. 25 ust. 7.</w:t>
            </w:r>
          </w:p>
        </w:tc>
        <w:tc>
          <w:tcPr>
            <w:tcW w:w="4876" w:type="dxa"/>
            <w:tcBorders>
              <w:top w:val="nil"/>
              <w:left w:val="nil"/>
              <w:bottom w:val="nil"/>
              <w:right w:val="nil"/>
            </w:tcBorders>
            <w:hideMark/>
          </w:tcPr>
          <w:p w14:paraId="394B3A6B" w14:textId="77777777" w:rsidR="002E6C09" w:rsidRPr="001E6F82" w:rsidRDefault="002E6C09" w:rsidP="00844FF8">
            <w:pPr>
              <w:pStyle w:val="Normal6a"/>
            </w:pPr>
            <w:r w:rsidRPr="001E6F82">
              <w:t>b)</w:t>
            </w:r>
            <w:r w:rsidRPr="001E6F82">
              <w:tab/>
              <w:t>W przypadku substancji lub mieszaniny dostarczanej na stacji paliw</w:t>
            </w:r>
            <w:r w:rsidRPr="001E6F82">
              <w:rPr>
                <w:b/>
                <w:i/>
              </w:rPr>
              <w:t xml:space="preserve"> umieszcza się kopię następujących</w:t>
            </w:r>
            <w:r w:rsidRPr="001E6F82">
              <w:t xml:space="preserve"> elementów etykiety, o których mowa w art. 17</w:t>
            </w:r>
            <w:r w:rsidRPr="001E6F82">
              <w:rPr>
                <w:b/>
                <w:i/>
              </w:rPr>
              <w:t>.1</w:t>
            </w:r>
            <w:r w:rsidRPr="001E6F82">
              <w:t xml:space="preserve"> lit. c)–h), </w:t>
            </w:r>
            <w:r w:rsidRPr="001E6F82">
              <w:rPr>
                <w:b/>
                <w:i/>
              </w:rPr>
              <w:t>w</w:t>
            </w:r>
            <w:r w:rsidRPr="001E6F82">
              <w:t xml:space="preserve"> widocznym miejscu na odpowiedniej pompie </w:t>
            </w:r>
            <w:r w:rsidRPr="001E6F82">
              <w:rPr>
                <w:b/>
                <w:i/>
              </w:rPr>
              <w:t>lub obok niej</w:t>
            </w:r>
            <w:r w:rsidRPr="001E6F82">
              <w:t>. Nie ma potrzeby podawania niepowtarzalnego identyfikatora postaci czynnej, o którym mowa w art. 25 ust. 7.</w:t>
            </w:r>
          </w:p>
        </w:tc>
      </w:tr>
    </w:tbl>
    <w:p w14:paraId="0B8D4ADA" w14:textId="77777777" w:rsidR="002E6C09" w:rsidRPr="001E6F82" w:rsidRDefault="002E6C09" w:rsidP="002E6C09"/>
    <w:p w14:paraId="467D3D73" w14:textId="77777777" w:rsidR="002E6C09" w:rsidRPr="001E6F82" w:rsidRDefault="002E6C09" w:rsidP="002E6C09">
      <w:pPr>
        <w:pStyle w:val="AmNumberTabs"/>
      </w:pPr>
      <w:r w:rsidRPr="001E6F82">
        <w:t>Poprawka</w:t>
      </w:r>
      <w:r w:rsidRPr="001E6F82">
        <w:tab/>
      </w:r>
      <w:r w:rsidRPr="001E6F82">
        <w:tab/>
        <w:t>88</w:t>
      </w:r>
    </w:p>
    <w:p w14:paraId="4DAB3DB7" w14:textId="77777777" w:rsidR="002E6C09" w:rsidRPr="001E6F82" w:rsidRDefault="002E6C09" w:rsidP="002E6C09">
      <w:pPr>
        <w:pStyle w:val="NormalBold"/>
      </w:pPr>
      <w:r w:rsidRPr="001E6F82">
        <w:t>Wniosek dotyczący rozporządzenia</w:t>
      </w:r>
    </w:p>
    <w:p w14:paraId="3D6B869F" w14:textId="77777777" w:rsidR="002E6C09" w:rsidRPr="001E6F82" w:rsidRDefault="002E6C09" w:rsidP="002E6C09">
      <w:pPr>
        <w:pStyle w:val="NormalBold"/>
      </w:pPr>
      <w:r w:rsidRPr="001E6F82">
        <w:t>Załącznik IV – akapit 1 – punkt 2 – litera a</w:t>
      </w:r>
    </w:p>
    <w:p w14:paraId="6118663D" w14:textId="77777777" w:rsidR="002E6C09" w:rsidRPr="001E6F82" w:rsidRDefault="002E6C09" w:rsidP="002E6C09">
      <w:r w:rsidRPr="001E6F82">
        <w:t>Rozporządzenie (UE) nr 2019/1009</w:t>
      </w:r>
    </w:p>
    <w:p w14:paraId="00172242" w14:textId="77777777" w:rsidR="002E6C09" w:rsidRPr="001E6F82" w:rsidRDefault="002E6C09" w:rsidP="002E6C09">
      <w:r w:rsidRPr="001E6F82">
        <w:t>ZAŁĄCZNIK II – Część II: PIERWOTNE SUROWCE I MIESZANINY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F79D267" w14:textId="77777777" w:rsidTr="00844FF8">
        <w:trPr>
          <w:trHeight w:val="240"/>
          <w:jc w:val="center"/>
        </w:trPr>
        <w:tc>
          <w:tcPr>
            <w:tcW w:w="9752" w:type="dxa"/>
            <w:gridSpan w:val="2"/>
            <w:tcBorders>
              <w:top w:val="nil"/>
              <w:left w:val="nil"/>
              <w:bottom w:val="nil"/>
              <w:right w:val="nil"/>
            </w:tcBorders>
          </w:tcPr>
          <w:p w14:paraId="1289E744" w14:textId="77777777" w:rsidR="002E6C09" w:rsidRPr="001E6F82" w:rsidRDefault="002E6C09" w:rsidP="00844FF8"/>
        </w:tc>
      </w:tr>
      <w:tr w:rsidR="002E6C09" w:rsidRPr="001E6F82" w14:paraId="07C5DAD4" w14:textId="77777777" w:rsidTr="00844FF8">
        <w:trPr>
          <w:trHeight w:val="240"/>
          <w:jc w:val="center"/>
        </w:trPr>
        <w:tc>
          <w:tcPr>
            <w:tcW w:w="4876" w:type="dxa"/>
            <w:tcBorders>
              <w:top w:val="nil"/>
              <w:left w:val="nil"/>
              <w:bottom w:val="nil"/>
              <w:right w:val="nil"/>
            </w:tcBorders>
            <w:hideMark/>
          </w:tcPr>
          <w:p w14:paraId="0F89917B"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2B9ED7B4" w14:textId="77777777" w:rsidR="002E6C09" w:rsidRPr="001E6F82" w:rsidRDefault="002E6C09" w:rsidP="00844FF8">
            <w:pPr>
              <w:pStyle w:val="AmColumnHeading"/>
            </w:pPr>
            <w:r w:rsidRPr="001E6F82">
              <w:t>Poprawka</w:t>
            </w:r>
          </w:p>
        </w:tc>
      </w:tr>
      <w:tr w:rsidR="002E6C09" w:rsidRPr="001E6F82" w14:paraId="6794D63C" w14:textId="77777777" w:rsidTr="00844FF8">
        <w:trPr>
          <w:jc w:val="center"/>
        </w:trPr>
        <w:tc>
          <w:tcPr>
            <w:tcW w:w="4876" w:type="dxa"/>
            <w:tcBorders>
              <w:top w:val="nil"/>
              <w:left w:val="nil"/>
              <w:bottom w:val="nil"/>
              <w:right w:val="nil"/>
            </w:tcBorders>
            <w:hideMark/>
          </w:tcPr>
          <w:p w14:paraId="4C68A09A" w14:textId="77777777" w:rsidR="002E6C09" w:rsidRPr="001E6F82" w:rsidRDefault="002E6C09" w:rsidP="00844FF8">
            <w:pPr>
              <w:pStyle w:val="Normal6a"/>
            </w:pPr>
            <w:r w:rsidRPr="001E6F82">
              <w:t>a)</w:t>
            </w:r>
            <w:r w:rsidRPr="001E6F82">
              <w:tab/>
              <w:t xml:space="preserve">w CMC 1: PIERWOTNE SUROWCE I MIESZANINY, </w:t>
            </w:r>
            <w:r w:rsidRPr="001E6F82">
              <w:rPr>
                <w:b/>
                <w:i/>
              </w:rPr>
              <w:t>uchyla się</w:t>
            </w:r>
            <w:r w:rsidRPr="001E6F82">
              <w:t xml:space="preserve"> pkt </w:t>
            </w:r>
            <w:r w:rsidRPr="001E6F82">
              <w:rPr>
                <w:b/>
                <w:i/>
              </w:rPr>
              <w:t>2</w:t>
            </w:r>
            <w:r w:rsidRPr="001E6F82">
              <w:t>;</w:t>
            </w:r>
          </w:p>
        </w:tc>
        <w:tc>
          <w:tcPr>
            <w:tcW w:w="4876" w:type="dxa"/>
            <w:tcBorders>
              <w:top w:val="nil"/>
              <w:left w:val="nil"/>
              <w:bottom w:val="nil"/>
              <w:right w:val="nil"/>
            </w:tcBorders>
            <w:hideMark/>
          </w:tcPr>
          <w:p w14:paraId="64E60684" w14:textId="77777777" w:rsidR="002E6C09" w:rsidRPr="001E6F82" w:rsidRDefault="002E6C09" w:rsidP="00844FF8">
            <w:pPr>
              <w:pStyle w:val="Normal6a"/>
            </w:pPr>
            <w:r w:rsidRPr="001E6F82">
              <w:t>a)</w:t>
            </w:r>
            <w:r w:rsidRPr="001E6F82">
              <w:tab/>
              <w:t xml:space="preserve">w CMC 1: PIERWOTNE SUROWCE I MIESZANINY, </w:t>
            </w:r>
            <w:r w:rsidRPr="001E6F82">
              <w:rPr>
                <w:b/>
                <w:i/>
              </w:rPr>
              <w:t>pkt 2 otrzymuje brzmienie:</w:t>
            </w:r>
          </w:p>
        </w:tc>
      </w:tr>
      <w:tr w:rsidR="002E6C09" w:rsidRPr="001E6F82" w14:paraId="025FD402" w14:textId="77777777" w:rsidTr="00844FF8">
        <w:trPr>
          <w:jc w:val="center"/>
        </w:trPr>
        <w:tc>
          <w:tcPr>
            <w:tcW w:w="4876" w:type="dxa"/>
            <w:tcBorders>
              <w:top w:val="nil"/>
              <w:left w:val="nil"/>
              <w:bottom w:val="nil"/>
              <w:right w:val="nil"/>
            </w:tcBorders>
          </w:tcPr>
          <w:p w14:paraId="53EBA54C" w14:textId="77777777" w:rsidR="002E6C09" w:rsidRPr="001E6F82" w:rsidRDefault="002E6C09" w:rsidP="00844FF8">
            <w:pPr>
              <w:pStyle w:val="Normal6a"/>
            </w:pPr>
          </w:p>
        </w:tc>
        <w:tc>
          <w:tcPr>
            <w:tcW w:w="4876" w:type="dxa"/>
            <w:tcBorders>
              <w:top w:val="nil"/>
              <w:left w:val="nil"/>
              <w:bottom w:val="nil"/>
              <w:right w:val="nil"/>
            </w:tcBorders>
            <w:hideMark/>
          </w:tcPr>
          <w:p w14:paraId="123124DC" w14:textId="77777777" w:rsidR="002E6C09" w:rsidRPr="001E6F82" w:rsidRDefault="002E6C09" w:rsidP="00844FF8">
            <w:pPr>
              <w:pStyle w:val="Normal6a"/>
            </w:pPr>
            <w:r w:rsidRPr="001E6F82">
              <w:rPr>
                <w:b/>
                <w:i/>
              </w:rPr>
              <w:t>a) Substancje sklasyfikowane w części 3 załącznika VI do rozporządzenia (WE) nr 1272/2008 w odniesieniu do następujących klas lub kategorii zagrożenia:</w:t>
            </w:r>
          </w:p>
        </w:tc>
      </w:tr>
      <w:tr w:rsidR="002E6C09" w:rsidRPr="001E6F82" w14:paraId="439FE75B" w14:textId="77777777" w:rsidTr="00844FF8">
        <w:trPr>
          <w:jc w:val="center"/>
        </w:trPr>
        <w:tc>
          <w:tcPr>
            <w:tcW w:w="4876" w:type="dxa"/>
            <w:tcBorders>
              <w:top w:val="nil"/>
              <w:left w:val="nil"/>
              <w:bottom w:val="nil"/>
              <w:right w:val="nil"/>
            </w:tcBorders>
          </w:tcPr>
          <w:p w14:paraId="3154FA2A" w14:textId="77777777" w:rsidR="002E6C09" w:rsidRPr="001E6F82" w:rsidRDefault="002E6C09" w:rsidP="00844FF8">
            <w:pPr>
              <w:pStyle w:val="Normal6a"/>
            </w:pPr>
          </w:p>
        </w:tc>
        <w:tc>
          <w:tcPr>
            <w:tcW w:w="4876" w:type="dxa"/>
            <w:tcBorders>
              <w:top w:val="nil"/>
              <w:left w:val="nil"/>
              <w:bottom w:val="nil"/>
              <w:right w:val="nil"/>
            </w:tcBorders>
            <w:hideMark/>
          </w:tcPr>
          <w:p w14:paraId="240DE1E6" w14:textId="77777777" w:rsidR="002E6C09" w:rsidRPr="001E6F82" w:rsidRDefault="002E6C09" w:rsidP="00844FF8">
            <w:pPr>
              <w:pStyle w:val="Normal6a"/>
            </w:pPr>
            <w:r w:rsidRPr="001E6F82">
              <w:rPr>
                <w:b/>
                <w:i/>
              </w:rPr>
              <w:t>– działanie mutagenne na komórki rozrodcze, kategoria 1A lub 1B;</w:t>
            </w:r>
          </w:p>
        </w:tc>
      </w:tr>
      <w:tr w:rsidR="002E6C09" w:rsidRPr="001E6F82" w14:paraId="167C31EF" w14:textId="77777777" w:rsidTr="00844FF8">
        <w:trPr>
          <w:jc w:val="center"/>
        </w:trPr>
        <w:tc>
          <w:tcPr>
            <w:tcW w:w="4876" w:type="dxa"/>
            <w:tcBorders>
              <w:top w:val="nil"/>
              <w:left w:val="nil"/>
              <w:bottom w:val="nil"/>
              <w:right w:val="nil"/>
            </w:tcBorders>
          </w:tcPr>
          <w:p w14:paraId="687B6DBD" w14:textId="77777777" w:rsidR="002E6C09" w:rsidRPr="001E6F82" w:rsidRDefault="002E6C09" w:rsidP="00844FF8">
            <w:pPr>
              <w:pStyle w:val="Normal6a"/>
            </w:pPr>
          </w:p>
        </w:tc>
        <w:tc>
          <w:tcPr>
            <w:tcW w:w="4876" w:type="dxa"/>
            <w:tcBorders>
              <w:top w:val="nil"/>
              <w:left w:val="nil"/>
              <w:bottom w:val="nil"/>
              <w:right w:val="nil"/>
            </w:tcBorders>
            <w:hideMark/>
          </w:tcPr>
          <w:p w14:paraId="622DEA23" w14:textId="77777777" w:rsidR="002E6C09" w:rsidRPr="001E6F82" w:rsidRDefault="002E6C09" w:rsidP="00844FF8">
            <w:pPr>
              <w:pStyle w:val="Normal6a"/>
            </w:pPr>
            <w:r w:rsidRPr="001E6F82">
              <w:rPr>
                <w:b/>
                <w:i/>
              </w:rPr>
              <w:t>– działanie rakotwórcze, kategoria 1A lub 1B;</w:t>
            </w:r>
          </w:p>
        </w:tc>
      </w:tr>
      <w:tr w:rsidR="002E6C09" w:rsidRPr="001E6F82" w14:paraId="4B646FA3" w14:textId="77777777" w:rsidTr="00844FF8">
        <w:trPr>
          <w:jc w:val="center"/>
        </w:trPr>
        <w:tc>
          <w:tcPr>
            <w:tcW w:w="4876" w:type="dxa"/>
            <w:tcBorders>
              <w:top w:val="nil"/>
              <w:left w:val="nil"/>
              <w:bottom w:val="nil"/>
              <w:right w:val="nil"/>
            </w:tcBorders>
          </w:tcPr>
          <w:p w14:paraId="359462E9" w14:textId="77777777" w:rsidR="002E6C09" w:rsidRPr="001E6F82" w:rsidRDefault="002E6C09" w:rsidP="00844FF8">
            <w:pPr>
              <w:pStyle w:val="Normal6a"/>
            </w:pPr>
          </w:p>
        </w:tc>
        <w:tc>
          <w:tcPr>
            <w:tcW w:w="4876" w:type="dxa"/>
            <w:tcBorders>
              <w:top w:val="nil"/>
              <w:left w:val="nil"/>
              <w:bottom w:val="nil"/>
              <w:right w:val="nil"/>
            </w:tcBorders>
            <w:hideMark/>
          </w:tcPr>
          <w:p w14:paraId="18A34A41" w14:textId="77777777" w:rsidR="002E6C09" w:rsidRPr="001E6F82" w:rsidRDefault="002E6C09" w:rsidP="00844FF8">
            <w:pPr>
              <w:pStyle w:val="Normal6a"/>
            </w:pPr>
            <w:r w:rsidRPr="001E6F82">
              <w:rPr>
                <w:b/>
                <w:i/>
              </w:rPr>
              <w:t>– działanie szkodliwe dla rozrodczości, kategoria 1A i 1B;</w:t>
            </w:r>
          </w:p>
        </w:tc>
      </w:tr>
      <w:tr w:rsidR="002E6C09" w:rsidRPr="001E6F82" w14:paraId="2895304E" w14:textId="77777777" w:rsidTr="00844FF8">
        <w:trPr>
          <w:jc w:val="center"/>
        </w:trPr>
        <w:tc>
          <w:tcPr>
            <w:tcW w:w="4876" w:type="dxa"/>
            <w:tcBorders>
              <w:top w:val="nil"/>
              <w:left w:val="nil"/>
              <w:bottom w:val="nil"/>
              <w:right w:val="nil"/>
            </w:tcBorders>
          </w:tcPr>
          <w:p w14:paraId="671B99C1" w14:textId="77777777" w:rsidR="002E6C09" w:rsidRPr="001E6F82" w:rsidRDefault="002E6C09" w:rsidP="00844FF8">
            <w:pPr>
              <w:pStyle w:val="Normal6a"/>
            </w:pPr>
          </w:p>
        </w:tc>
        <w:tc>
          <w:tcPr>
            <w:tcW w:w="4876" w:type="dxa"/>
            <w:tcBorders>
              <w:top w:val="nil"/>
              <w:left w:val="nil"/>
              <w:bottom w:val="nil"/>
              <w:right w:val="nil"/>
            </w:tcBorders>
            <w:hideMark/>
          </w:tcPr>
          <w:p w14:paraId="28E65D47" w14:textId="77777777" w:rsidR="002E6C09" w:rsidRPr="001E6F82" w:rsidRDefault="002E6C09" w:rsidP="00844FF8">
            <w:pPr>
              <w:pStyle w:val="Normal6a"/>
            </w:pPr>
            <w:r w:rsidRPr="001E6F82">
              <w:rPr>
                <w:b/>
                <w:i/>
              </w:rPr>
              <w:t>– działanie toksyczne na narządy docelowe – wielokrotne narażenie, kategoria 1</w:t>
            </w:r>
          </w:p>
        </w:tc>
      </w:tr>
      <w:tr w:rsidR="002E6C09" w:rsidRPr="001E6F82" w14:paraId="38F6D06A" w14:textId="77777777" w:rsidTr="00844FF8">
        <w:trPr>
          <w:jc w:val="center"/>
        </w:trPr>
        <w:tc>
          <w:tcPr>
            <w:tcW w:w="4876" w:type="dxa"/>
            <w:tcBorders>
              <w:top w:val="nil"/>
              <w:left w:val="nil"/>
              <w:bottom w:val="nil"/>
              <w:right w:val="nil"/>
            </w:tcBorders>
          </w:tcPr>
          <w:p w14:paraId="7E6AED0F" w14:textId="77777777" w:rsidR="002E6C09" w:rsidRPr="001E6F82" w:rsidRDefault="002E6C09" w:rsidP="00844FF8">
            <w:pPr>
              <w:pStyle w:val="Normal6a"/>
            </w:pPr>
          </w:p>
        </w:tc>
        <w:tc>
          <w:tcPr>
            <w:tcW w:w="4876" w:type="dxa"/>
            <w:tcBorders>
              <w:top w:val="nil"/>
              <w:left w:val="nil"/>
              <w:bottom w:val="nil"/>
              <w:right w:val="nil"/>
            </w:tcBorders>
            <w:hideMark/>
          </w:tcPr>
          <w:p w14:paraId="671558A6" w14:textId="77777777" w:rsidR="002E6C09" w:rsidRPr="001E6F82" w:rsidRDefault="002E6C09" w:rsidP="00844FF8">
            <w:pPr>
              <w:pStyle w:val="Normal6a"/>
            </w:pPr>
            <w:r w:rsidRPr="001E6F82">
              <w:rPr>
                <w:b/>
                <w:i/>
              </w:rPr>
              <w:t>– substancja zaburzająca funkcjonowanie układu hormonalnego w odniesieniu do zdrowia ludzkiego, kategoria 1;</w:t>
            </w:r>
          </w:p>
        </w:tc>
      </w:tr>
      <w:tr w:rsidR="002E6C09" w:rsidRPr="001E6F82" w14:paraId="73193050" w14:textId="77777777" w:rsidTr="00844FF8">
        <w:trPr>
          <w:jc w:val="center"/>
        </w:trPr>
        <w:tc>
          <w:tcPr>
            <w:tcW w:w="4876" w:type="dxa"/>
            <w:tcBorders>
              <w:top w:val="nil"/>
              <w:left w:val="nil"/>
              <w:bottom w:val="nil"/>
              <w:right w:val="nil"/>
            </w:tcBorders>
          </w:tcPr>
          <w:p w14:paraId="6FA652DD" w14:textId="77777777" w:rsidR="002E6C09" w:rsidRPr="001E6F82" w:rsidRDefault="002E6C09" w:rsidP="00844FF8">
            <w:pPr>
              <w:pStyle w:val="Normal6a"/>
            </w:pPr>
          </w:p>
        </w:tc>
        <w:tc>
          <w:tcPr>
            <w:tcW w:w="4876" w:type="dxa"/>
            <w:tcBorders>
              <w:top w:val="nil"/>
              <w:left w:val="nil"/>
              <w:bottom w:val="nil"/>
              <w:right w:val="nil"/>
            </w:tcBorders>
            <w:hideMark/>
          </w:tcPr>
          <w:p w14:paraId="5AC5D8C0" w14:textId="77777777" w:rsidR="002E6C09" w:rsidRPr="001E6F82" w:rsidRDefault="002E6C09" w:rsidP="00844FF8">
            <w:pPr>
              <w:pStyle w:val="Normal6a"/>
            </w:pPr>
            <w:r w:rsidRPr="001E6F82">
              <w:rPr>
                <w:b/>
                <w:i/>
              </w:rPr>
              <w:t>– substancja zaburzająca funkcjonowanie układu hormonalnego w odniesieniu do środowiska, kategoria 1; oraz</w:t>
            </w:r>
          </w:p>
        </w:tc>
      </w:tr>
      <w:tr w:rsidR="002E6C09" w:rsidRPr="001E6F82" w14:paraId="75ED0C76" w14:textId="77777777" w:rsidTr="00844FF8">
        <w:trPr>
          <w:jc w:val="center"/>
        </w:trPr>
        <w:tc>
          <w:tcPr>
            <w:tcW w:w="4876" w:type="dxa"/>
            <w:tcBorders>
              <w:top w:val="nil"/>
              <w:left w:val="nil"/>
              <w:bottom w:val="nil"/>
              <w:right w:val="nil"/>
            </w:tcBorders>
          </w:tcPr>
          <w:p w14:paraId="285F62DA" w14:textId="77777777" w:rsidR="002E6C09" w:rsidRPr="001E6F82" w:rsidRDefault="002E6C09" w:rsidP="00844FF8">
            <w:pPr>
              <w:pStyle w:val="Normal6a"/>
            </w:pPr>
          </w:p>
        </w:tc>
        <w:tc>
          <w:tcPr>
            <w:tcW w:w="4876" w:type="dxa"/>
            <w:tcBorders>
              <w:top w:val="nil"/>
              <w:left w:val="nil"/>
              <w:bottom w:val="nil"/>
              <w:right w:val="nil"/>
            </w:tcBorders>
            <w:hideMark/>
          </w:tcPr>
          <w:p w14:paraId="6E600D59" w14:textId="77777777" w:rsidR="002E6C09" w:rsidRPr="001E6F82" w:rsidRDefault="002E6C09" w:rsidP="00844FF8">
            <w:pPr>
              <w:pStyle w:val="Normal6a"/>
            </w:pPr>
            <w:r w:rsidRPr="001E6F82">
              <w:rPr>
                <w:b/>
                <w:i/>
              </w:rPr>
              <w:t>– właściwości substancji trwałych, wykazujących zdolność do bioakumulacji i toksycznych lub bardzo trwałych i wykazujących bardzo dużą zdolność do bioakumulacji,</w:t>
            </w:r>
          </w:p>
        </w:tc>
      </w:tr>
      <w:tr w:rsidR="002E6C09" w:rsidRPr="001E6F82" w14:paraId="67336C9D" w14:textId="77777777" w:rsidTr="00844FF8">
        <w:trPr>
          <w:jc w:val="center"/>
        </w:trPr>
        <w:tc>
          <w:tcPr>
            <w:tcW w:w="4876" w:type="dxa"/>
            <w:tcBorders>
              <w:top w:val="nil"/>
              <w:left w:val="nil"/>
              <w:bottom w:val="nil"/>
              <w:right w:val="nil"/>
            </w:tcBorders>
          </w:tcPr>
          <w:p w14:paraId="2203F1E5" w14:textId="77777777" w:rsidR="002E6C09" w:rsidRPr="001E6F82" w:rsidRDefault="002E6C09" w:rsidP="00844FF8">
            <w:pPr>
              <w:pStyle w:val="Normal6a"/>
            </w:pPr>
          </w:p>
        </w:tc>
        <w:tc>
          <w:tcPr>
            <w:tcW w:w="4876" w:type="dxa"/>
            <w:tcBorders>
              <w:top w:val="nil"/>
              <w:left w:val="nil"/>
              <w:bottom w:val="nil"/>
              <w:right w:val="nil"/>
            </w:tcBorders>
            <w:hideMark/>
          </w:tcPr>
          <w:p w14:paraId="0C63AEBE" w14:textId="77777777" w:rsidR="002E6C09" w:rsidRPr="001E6F82" w:rsidRDefault="002E6C09" w:rsidP="00844FF8">
            <w:pPr>
              <w:pStyle w:val="Normal6a"/>
            </w:pPr>
            <w:r w:rsidRPr="001E6F82">
              <w:rPr>
                <w:b/>
                <w:i/>
              </w:rPr>
              <w:t>których rzeczywiste ilości wprowadzane do obrotu są niższe niż 10 ton rocznie, celowo wchodzące w skład produktu nawozowego UE, samodzielnie lub jako składnik mieszaniny, w stężeniu równym ogólnym wartościom granicznym określonym w art. 11 ust. 3 rozporządzenia (WE) nr 1272/2008 lub niższym od tych wartości, zostały uprzednio zarejestrowane na podstawie rozporządzenia (WE) nr 1907/2006, z dokumentacją zawierającą:</w:t>
            </w:r>
          </w:p>
        </w:tc>
      </w:tr>
      <w:tr w:rsidR="002E6C09" w:rsidRPr="001E6F82" w14:paraId="6BE07379" w14:textId="77777777" w:rsidTr="00844FF8">
        <w:trPr>
          <w:jc w:val="center"/>
        </w:trPr>
        <w:tc>
          <w:tcPr>
            <w:tcW w:w="4876" w:type="dxa"/>
            <w:tcBorders>
              <w:top w:val="nil"/>
              <w:left w:val="nil"/>
              <w:bottom w:val="nil"/>
              <w:right w:val="nil"/>
            </w:tcBorders>
          </w:tcPr>
          <w:p w14:paraId="3ADAA8B7" w14:textId="77777777" w:rsidR="002E6C09" w:rsidRPr="001E6F82" w:rsidRDefault="002E6C09" w:rsidP="00844FF8">
            <w:pPr>
              <w:pStyle w:val="Normal6a"/>
            </w:pPr>
          </w:p>
        </w:tc>
        <w:tc>
          <w:tcPr>
            <w:tcW w:w="4876" w:type="dxa"/>
            <w:tcBorders>
              <w:top w:val="nil"/>
              <w:left w:val="nil"/>
              <w:bottom w:val="nil"/>
              <w:right w:val="nil"/>
            </w:tcBorders>
            <w:hideMark/>
          </w:tcPr>
          <w:p w14:paraId="71873A9C" w14:textId="77777777" w:rsidR="002E6C09" w:rsidRPr="001E6F82" w:rsidRDefault="002E6C09" w:rsidP="00844FF8">
            <w:pPr>
              <w:pStyle w:val="Normal6a"/>
            </w:pPr>
            <w:r w:rsidRPr="001E6F82">
              <w:rPr>
                <w:b/>
                <w:i/>
              </w:rPr>
              <w:t xml:space="preserve">(i) informacje przewidziane w załącznikach VI, VII </w:t>
            </w:r>
            <w:proofErr w:type="gramStart"/>
            <w:r w:rsidRPr="001E6F82">
              <w:rPr>
                <w:b/>
                <w:i/>
              </w:rPr>
              <w:t>oraz,</w:t>
            </w:r>
            <w:proofErr w:type="gramEnd"/>
            <w:r w:rsidRPr="001E6F82">
              <w:rPr>
                <w:b/>
                <w:i/>
              </w:rPr>
              <w:t xml:space="preserve"> w stosownych przypadkach i w miarę dostępności, w załączniku VIII do rozporządzenia (WE) nr 1907/2006, na podstawie dostępnych danych, metod alternatywnych zgodnie z art. 13 i dostosowań zgodnie z załącznikiem XI, oraz przeprowadzanie nowych badań na kręgowcach tylko w ostateczności i w stosownych przypadkach, oraz</w:t>
            </w:r>
          </w:p>
        </w:tc>
      </w:tr>
      <w:tr w:rsidR="002E6C09" w:rsidRPr="001E6F82" w14:paraId="029A455D" w14:textId="77777777" w:rsidTr="00844FF8">
        <w:trPr>
          <w:jc w:val="center"/>
        </w:trPr>
        <w:tc>
          <w:tcPr>
            <w:tcW w:w="4876" w:type="dxa"/>
            <w:tcBorders>
              <w:top w:val="nil"/>
              <w:left w:val="nil"/>
              <w:bottom w:val="nil"/>
              <w:right w:val="nil"/>
            </w:tcBorders>
          </w:tcPr>
          <w:p w14:paraId="1CBACC17" w14:textId="77777777" w:rsidR="002E6C09" w:rsidRPr="001E6F82" w:rsidRDefault="002E6C09" w:rsidP="00844FF8">
            <w:pPr>
              <w:pStyle w:val="Normal6a"/>
            </w:pPr>
          </w:p>
        </w:tc>
        <w:tc>
          <w:tcPr>
            <w:tcW w:w="4876" w:type="dxa"/>
            <w:tcBorders>
              <w:top w:val="nil"/>
              <w:left w:val="nil"/>
              <w:bottom w:val="nil"/>
              <w:right w:val="nil"/>
            </w:tcBorders>
            <w:hideMark/>
          </w:tcPr>
          <w:p w14:paraId="45344DD2" w14:textId="77777777" w:rsidR="002E6C09" w:rsidRPr="001E6F82" w:rsidRDefault="002E6C09" w:rsidP="00844FF8">
            <w:pPr>
              <w:pStyle w:val="Normal6a"/>
            </w:pPr>
            <w:r w:rsidRPr="001E6F82">
              <w:rPr>
                <w:b/>
                <w:i/>
              </w:rPr>
              <w:t>(ii) raport bezpieczeństwa chemicznego na podstawie art. 14 rozporządzenia (WE) nr 1907/2006 ściśle ograniczony do scenariuszy narażenia dotyczących zastosowań agronomicznych i środowiska, o ile nie zostało to wyraźnie objęte jednym ze zwolnień z obowiązku rejestracji przewidzianych w art. 9 (PPORD) rozporządzenia (WE) nr 1907/2006, stosowanym wyłącznie do celów badań naukowych i rozwoju, załączniku IV do rozporządzenia (WE) nr 1907/2006 lub w pkt 6, 7, 8, 9 lub 10 9 (tylko dla tlenku magnezu) załącznika V do tego rozporządzenia.</w:t>
            </w:r>
          </w:p>
        </w:tc>
      </w:tr>
      <w:tr w:rsidR="002E6C09" w:rsidRPr="001E6F82" w14:paraId="682172B5" w14:textId="77777777" w:rsidTr="00844FF8">
        <w:trPr>
          <w:jc w:val="center"/>
        </w:trPr>
        <w:tc>
          <w:tcPr>
            <w:tcW w:w="4876" w:type="dxa"/>
            <w:tcBorders>
              <w:top w:val="nil"/>
              <w:left w:val="nil"/>
              <w:bottom w:val="nil"/>
              <w:right w:val="nil"/>
            </w:tcBorders>
          </w:tcPr>
          <w:p w14:paraId="7363AC9E" w14:textId="77777777" w:rsidR="002E6C09" w:rsidRPr="001E6F82" w:rsidRDefault="002E6C09" w:rsidP="00844FF8">
            <w:pPr>
              <w:pStyle w:val="Normal6a"/>
            </w:pPr>
          </w:p>
        </w:tc>
        <w:tc>
          <w:tcPr>
            <w:tcW w:w="4876" w:type="dxa"/>
            <w:tcBorders>
              <w:top w:val="nil"/>
              <w:left w:val="nil"/>
              <w:bottom w:val="nil"/>
              <w:right w:val="nil"/>
            </w:tcBorders>
            <w:hideMark/>
          </w:tcPr>
          <w:p w14:paraId="51E20D34" w14:textId="77777777" w:rsidR="002E6C09" w:rsidRPr="001E6F82" w:rsidRDefault="002E6C09" w:rsidP="00844FF8">
            <w:pPr>
              <w:pStyle w:val="Normal6a"/>
            </w:pPr>
            <w:r w:rsidRPr="001E6F82">
              <w:rPr>
                <w:b/>
                <w:i/>
              </w:rPr>
              <w:t>b) z zakresu stosowania lit. a) wyłącza się polimery.;</w:t>
            </w:r>
          </w:p>
        </w:tc>
      </w:tr>
    </w:tbl>
    <w:p w14:paraId="663A7C64" w14:textId="77777777" w:rsidR="002E6C09" w:rsidRPr="001E6F82" w:rsidRDefault="002E6C09" w:rsidP="002E6C09"/>
    <w:p w14:paraId="6CC30515" w14:textId="77777777" w:rsidR="002E6C09" w:rsidRPr="001E6F82" w:rsidRDefault="002E6C09" w:rsidP="002E6C09">
      <w:pPr>
        <w:pStyle w:val="AmNumberTabs"/>
      </w:pPr>
      <w:r w:rsidRPr="001E6F82">
        <w:t>Poprawka</w:t>
      </w:r>
      <w:r w:rsidRPr="001E6F82">
        <w:tab/>
      </w:r>
      <w:r w:rsidRPr="001E6F82">
        <w:tab/>
        <w:t>89</w:t>
      </w:r>
    </w:p>
    <w:p w14:paraId="10A6E108" w14:textId="77777777" w:rsidR="002E6C09" w:rsidRPr="001E6F82" w:rsidRDefault="002E6C09" w:rsidP="002E6C09">
      <w:pPr>
        <w:pStyle w:val="NormalBold"/>
      </w:pPr>
      <w:r w:rsidRPr="001E6F82">
        <w:t>Wniosek dotyczący rozporządzenia</w:t>
      </w:r>
    </w:p>
    <w:p w14:paraId="6D13A0AF" w14:textId="77777777" w:rsidR="002E6C09" w:rsidRPr="001E6F82" w:rsidRDefault="002E6C09" w:rsidP="002E6C09">
      <w:pPr>
        <w:pStyle w:val="NormalBold"/>
      </w:pPr>
      <w:r w:rsidRPr="001E6F82">
        <w:t>Załącznik IV – akapit 1 – punkt 2 – litera f</w:t>
      </w:r>
    </w:p>
    <w:p w14:paraId="25083CEE" w14:textId="77777777" w:rsidR="002E6C09" w:rsidRPr="001E6F82" w:rsidRDefault="002E6C09" w:rsidP="002E6C09">
      <w:r w:rsidRPr="001E6F82">
        <w:t>Rozporządzenie (UE) nr 2019/1009</w:t>
      </w:r>
    </w:p>
    <w:p w14:paraId="48164AE8" w14:textId="77777777" w:rsidR="002E6C09" w:rsidRPr="001E6F82" w:rsidRDefault="002E6C09" w:rsidP="002E6C09">
      <w:r w:rsidRPr="001E6F82">
        <w:t>Załącznik II – Część II – CMC 8: POLIMEROWE SKŁADNIKI POKARMOWE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C09" w:rsidRPr="001E6F82" w14:paraId="4F47AA34" w14:textId="77777777" w:rsidTr="00844FF8">
        <w:trPr>
          <w:trHeight w:val="240"/>
          <w:jc w:val="center"/>
        </w:trPr>
        <w:tc>
          <w:tcPr>
            <w:tcW w:w="9752" w:type="dxa"/>
            <w:gridSpan w:val="2"/>
            <w:tcBorders>
              <w:top w:val="nil"/>
              <w:left w:val="nil"/>
              <w:bottom w:val="nil"/>
              <w:right w:val="nil"/>
            </w:tcBorders>
          </w:tcPr>
          <w:p w14:paraId="1A4474F5" w14:textId="77777777" w:rsidR="002E6C09" w:rsidRPr="001E6F82" w:rsidRDefault="002E6C09" w:rsidP="00844FF8"/>
        </w:tc>
      </w:tr>
      <w:tr w:rsidR="002E6C09" w:rsidRPr="001E6F82" w14:paraId="41900707" w14:textId="77777777" w:rsidTr="00844FF8">
        <w:trPr>
          <w:trHeight w:val="240"/>
          <w:jc w:val="center"/>
        </w:trPr>
        <w:tc>
          <w:tcPr>
            <w:tcW w:w="4876" w:type="dxa"/>
            <w:tcBorders>
              <w:top w:val="nil"/>
              <w:left w:val="nil"/>
              <w:bottom w:val="nil"/>
              <w:right w:val="nil"/>
            </w:tcBorders>
            <w:hideMark/>
          </w:tcPr>
          <w:p w14:paraId="0B596682" w14:textId="77777777" w:rsidR="002E6C09" w:rsidRPr="001E6F82" w:rsidRDefault="002E6C09" w:rsidP="00844FF8">
            <w:pPr>
              <w:pStyle w:val="AmColumnHeading"/>
            </w:pPr>
            <w:r w:rsidRPr="001E6F82">
              <w:t>Tekst proponowany przez Komisję</w:t>
            </w:r>
          </w:p>
        </w:tc>
        <w:tc>
          <w:tcPr>
            <w:tcW w:w="4876" w:type="dxa"/>
            <w:tcBorders>
              <w:top w:val="nil"/>
              <w:left w:val="nil"/>
              <w:bottom w:val="nil"/>
              <w:right w:val="nil"/>
            </w:tcBorders>
            <w:hideMark/>
          </w:tcPr>
          <w:p w14:paraId="7FBE45FD" w14:textId="77777777" w:rsidR="002E6C09" w:rsidRPr="001E6F82" w:rsidRDefault="002E6C09" w:rsidP="00844FF8">
            <w:pPr>
              <w:pStyle w:val="AmColumnHeading"/>
            </w:pPr>
            <w:r w:rsidRPr="001E6F82">
              <w:t>Poprawka</w:t>
            </w:r>
          </w:p>
        </w:tc>
      </w:tr>
      <w:tr w:rsidR="002E6C09" w:rsidRPr="001E6F82" w14:paraId="58056F30" w14:textId="77777777" w:rsidTr="00844FF8">
        <w:trPr>
          <w:jc w:val="center"/>
        </w:trPr>
        <w:tc>
          <w:tcPr>
            <w:tcW w:w="4876" w:type="dxa"/>
            <w:tcBorders>
              <w:top w:val="nil"/>
              <w:left w:val="nil"/>
              <w:bottom w:val="nil"/>
              <w:right w:val="nil"/>
            </w:tcBorders>
            <w:hideMark/>
          </w:tcPr>
          <w:p w14:paraId="4D6A64CB" w14:textId="77777777" w:rsidR="002E6C09" w:rsidRPr="001E6F82" w:rsidRDefault="002E6C09" w:rsidP="00844FF8">
            <w:pPr>
              <w:pStyle w:val="Normal6a"/>
            </w:pPr>
            <w:r w:rsidRPr="001E6F82">
              <w:t>1.</w:t>
            </w:r>
            <w:r w:rsidRPr="001E6F82">
              <w:tab/>
              <w:t>Produkt nawozowy UE może zawierać polimery złożone wyłącznie z monomerów spełniających kryteria określone w CMC 1 pkt 1, jeżeli celem polimeryzacji jest kontrola uwalniania składników pokarmowych z co najmniej jednego monomeru.”;</w:t>
            </w:r>
          </w:p>
        </w:tc>
        <w:tc>
          <w:tcPr>
            <w:tcW w:w="4876" w:type="dxa"/>
            <w:tcBorders>
              <w:top w:val="nil"/>
              <w:left w:val="nil"/>
              <w:bottom w:val="nil"/>
              <w:right w:val="nil"/>
            </w:tcBorders>
            <w:hideMark/>
          </w:tcPr>
          <w:p w14:paraId="05A9A401" w14:textId="77777777" w:rsidR="002E6C09" w:rsidRPr="001E6F82" w:rsidRDefault="002E6C09" w:rsidP="00844FF8">
            <w:pPr>
              <w:pStyle w:val="Normal6a"/>
            </w:pPr>
            <w:r w:rsidRPr="001E6F82">
              <w:t>1.</w:t>
            </w:r>
            <w:r w:rsidRPr="001E6F82">
              <w:tab/>
              <w:t xml:space="preserve">Produkt nawozowy UE może zawierać polimery złożone wyłącznie z monomerów spełniających kryteria określone w CMC 1 pkt 1, jeżeli celem polimeryzacji jest kontrola uwalniania składników pokarmowych z co najmniej jednego monomeru. </w:t>
            </w:r>
            <w:r w:rsidRPr="001E6F82">
              <w:rPr>
                <w:b/>
                <w:i/>
              </w:rPr>
              <w:t xml:space="preserve">Polimer może dodatkowo pełnić inne funkcje, pod </w:t>
            </w:r>
            <w:proofErr w:type="gramStart"/>
            <w:r w:rsidRPr="001E6F82">
              <w:rPr>
                <w:b/>
                <w:i/>
              </w:rPr>
              <w:t>warunkiem</w:t>
            </w:r>
            <w:proofErr w:type="gramEnd"/>
            <w:r w:rsidRPr="001E6F82">
              <w:rPr>
                <w:b/>
                <w:i/>
              </w:rPr>
              <w:t xml:space="preserve"> że nie zmienia to charakterystyki bezpieczeństwa produktu ani nie narusza funkcji kontrolowanego uwalniania.</w:t>
            </w:r>
          </w:p>
        </w:tc>
      </w:tr>
    </w:tbl>
    <w:p w14:paraId="3CE1487E" w14:textId="70C6CC0D" w:rsidR="00E365E1" w:rsidRPr="001E6F82" w:rsidRDefault="00E365E1" w:rsidP="00CF09E8"/>
    <w:sectPr w:rsidR="00E365E1" w:rsidRPr="001E6F82" w:rsidSect="001E6F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6E2CD" w14:textId="77777777" w:rsidR="00CF09E8" w:rsidRPr="001E6F82" w:rsidRDefault="00CF09E8">
      <w:r w:rsidRPr="001E6F82">
        <w:separator/>
      </w:r>
    </w:p>
  </w:endnote>
  <w:endnote w:type="continuationSeparator" w:id="0">
    <w:p w14:paraId="0FCFFBD3" w14:textId="77777777" w:rsidR="00CF09E8" w:rsidRPr="001E6F82" w:rsidRDefault="00CF09E8">
      <w:r w:rsidRPr="001E6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BC29" w14:textId="77777777" w:rsidR="00064002" w:rsidRPr="001E6F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409E" w14:textId="77777777" w:rsidR="00064002" w:rsidRPr="001E6F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16BA" w14:textId="77777777" w:rsidR="00064002" w:rsidRPr="001E6F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8D44" w14:textId="77777777" w:rsidR="00CF09E8" w:rsidRPr="001E6F82" w:rsidRDefault="00CF09E8">
      <w:r w:rsidRPr="001E6F82">
        <w:separator/>
      </w:r>
    </w:p>
  </w:footnote>
  <w:footnote w:type="continuationSeparator" w:id="0">
    <w:p w14:paraId="7EC75D9E" w14:textId="77777777" w:rsidR="00CF09E8" w:rsidRPr="001E6F82" w:rsidRDefault="00CF09E8">
      <w:r w:rsidRPr="001E6F82">
        <w:continuationSeparator/>
      </w:r>
    </w:p>
  </w:footnote>
  <w:footnote w:id="1">
    <w:p w14:paraId="6B1EE11F" w14:textId="03095F72" w:rsidR="00795D2E" w:rsidRDefault="00795D2E" w:rsidP="00795D2E">
      <w:pPr>
        <w:pStyle w:val="FootnoteText"/>
        <w:ind w:left="357" w:hanging="357"/>
        <w:rPr>
          <w:lang w:val="pl-PL"/>
        </w:rPr>
      </w:pPr>
      <w:r>
        <w:rPr>
          <w:rStyle w:val="FootnoteReference"/>
        </w:rPr>
        <w:footnoteRef/>
      </w:r>
      <w:r>
        <w:rPr>
          <w:lang w:val="pl-PL"/>
        </w:rPr>
        <w:t xml:space="preserve"> </w:t>
      </w:r>
      <w:r>
        <w:rPr>
          <w:lang w:val="pl-PL"/>
        </w:rPr>
        <w:tab/>
        <w:t>Sprawa została odesłana do komisji właściw</w:t>
      </w:r>
      <w:r w:rsidR="008874CD">
        <w:rPr>
          <w:lang w:val="pl-PL"/>
        </w:rPr>
        <w:t>ych</w:t>
      </w:r>
      <w:r>
        <w:rPr>
          <w:lang w:val="pl-PL"/>
        </w:rPr>
        <w:t xml:space="preserve"> w celu przeprowadzenia negocjacji międzyinstytucjonalnych na podstawie art. 60 ust. 4 akapit czwarty Regulaminu (A10-0104/2026).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89E6" w14:textId="77777777" w:rsidR="00064002" w:rsidRPr="001E6F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ACEE" w14:textId="77777777" w:rsidR="00064002" w:rsidRPr="001E6F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389D" w14:textId="77777777" w:rsidR="00064002" w:rsidRPr="001E6F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3268972">
    <w:abstractNumId w:val="9"/>
  </w:num>
  <w:num w:numId="2" w16cid:durableId="288628459">
    <w:abstractNumId w:val="9"/>
  </w:num>
  <w:num w:numId="3" w16cid:durableId="1789230289">
    <w:abstractNumId w:val="7"/>
  </w:num>
  <w:num w:numId="4" w16cid:durableId="1167556337">
    <w:abstractNumId w:val="7"/>
  </w:num>
  <w:num w:numId="5" w16cid:durableId="1107042755">
    <w:abstractNumId w:val="6"/>
  </w:num>
  <w:num w:numId="6" w16cid:durableId="199906037">
    <w:abstractNumId w:val="6"/>
  </w:num>
  <w:num w:numId="7" w16cid:durableId="1644307496">
    <w:abstractNumId w:val="5"/>
  </w:num>
  <w:num w:numId="8" w16cid:durableId="236598673">
    <w:abstractNumId w:val="5"/>
  </w:num>
  <w:num w:numId="9" w16cid:durableId="1315842624">
    <w:abstractNumId w:val="4"/>
  </w:num>
  <w:num w:numId="10" w16cid:durableId="2020501422">
    <w:abstractNumId w:val="4"/>
  </w:num>
  <w:num w:numId="11" w16cid:durableId="1530024945">
    <w:abstractNumId w:val="8"/>
  </w:num>
  <w:num w:numId="12" w16cid:durableId="1274091419">
    <w:abstractNumId w:val="8"/>
  </w:num>
  <w:num w:numId="13" w16cid:durableId="414665609">
    <w:abstractNumId w:val="3"/>
  </w:num>
  <w:num w:numId="14" w16cid:durableId="1531602009">
    <w:abstractNumId w:val="3"/>
  </w:num>
  <w:num w:numId="15" w16cid:durableId="1656301348">
    <w:abstractNumId w:val="2"/>
  </w:num>
  <w:num w:numId="16" w16cid:durableId="1459373984">
    <w:abstractNumId w:val="2"/>
  </w:num>
  <w:num w:numId="17" w16cid:durableId="1355768721">
    <w:abstractNumId w:val="1"/>
  </w:num>
  <w:num w:numId="18" w16cid:durableId="1567763189">
    <w:abstractNumId w:val="1"/>
  </w:num>
  <w:num w:numId="19" w16cid:durableId="395906333">
    <w:abstractNumId w:val="0"/>
  </w:num>
  <w:num w:numId="20" w16cid:durableId="736630776">
    <w:abstractNumId w:val="0"/>
  </w:num>
  <w:num w:numId="21" w16cid:durableId="682560785">
    <w:abstractNumId w:val="9"/>
  </w:num>
  <w:num w:numId="22" w16cid:durableId="2051758433">
    <w:abstractNumId w:val="7"/>
  </w:num>
  <w:num w:numId="23" w16cid:durableId="2066829743">
    <w:abstractNumId w:val="6"/>
  </w:num>
  <w:num w:numId="24" w16cid:durableId="1248541547">
    <w:abstractNumId w:val="5"/>
  </w:num>
  <w:num w:numId="25" w16cid:durableId="1425540250">
    <w:abstractNumId w:val="4"/>
  </w:num>
  <w:num w:numId="26" w16cid:durableId="64114001">
    <w:abstractNumId w:val="8"/>
  </w:num>
  <w:num w:numId="27" w16cid:durableId="1043166633">
    <w:abstractNumId w:val="3"/>
  </w:num>
  <w:num w:numId="28" w16cid:durableId="1142965600">
    <w:abstractNumId w:val="2"/>
  </w:num>
  <w:num w:numId="29" w16cid:durableId="403651105">
    <w:abstractNumId w:val="1"/>
  </w:num>
  <w:num w:numId="30" w16cid:durableId="1064374902">
    <w:abstractNumId w:val="0"/>
  </w:num>
  <w:num w:numId="31" w16cid:durableId="88434447">
    <w:abstractNumId w:val="9"/>
  </w:num>
  <w:num w:numId="32" w16cid:durableId="817503273">
    <w:abstractNumId w:val="7"/>
  </w:num>
  <w:num w:numId="33" w16cid:durableId="384524585">
    <w:abstractNumId w:val="6"/>
  </w:num>
  <w:num w:numId="34" w16cid:durableId="1590506441">
    <w:abstractNumId w:val="5"/>
  </w:num>
  <w:num w:numId="35" w16cid:durableId="1532526234">
    <w:abstractNumId w:val="4"/>
  </w:num>
  <w:num w:numId="36" w16cid:durableId="850535041">
    <w:abstractNumId w:val="8"/>
  </w:num>
  <w:num w:numId="37" w16cid:durableId="275255929">
    <w:abstractNumId w:val="3"/>
  </w:num>
  <w:num w:numId="38" w16cid:durableId="331371833">
    <w:abstractNumId w:val="2"/>
  </w:num>
  <w:num w:numId="39" w16cid:durableId="387845368">
    <w:abstractNumId w:val="1"/>
  </w:num>
  <w:num w:numId="40" w16cid:durableId="647710646">
    <w:abstractNumId w:val="0"/>
  </w:num>
  <w:num w:numId="41" w16cid:durableId="931088915">
    <w:abstractNumId w:val="10"/>
  </w:num>
  <w:num w:numId="42" w16cid:durableId="1673146727">
    <w:abstractNumId w:val="10"/>
  </w:num>
  <w:num w:numId="43" w16cid:durableId="1169519846">
    <w:abstractNumId w:val="10"/>
  </w:num>
  <w:num w:numId="44" w16cid:durableId="1954171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PL"/>
    <w:docVar w:name="dvnumam" w:val="0"/>
    <w:docVar w:name="dvpe" w:val="782.180"/>
    <w:docVar w:name="dvrapporteur" w:val="Sprawozdawca: "/>
    <w:docVar w:name="dvstar" w:val="***I"/>
    <w:docVar w:name="dvtitre" w:val="Rezolucja ustawodawcza Parlamentu Europejskiego z dnia  2026 r. w sprawie wniosku dotyczącego rozporządzenia Parlamentu Europejskiego i Rady zmieniającego rozporządzenia (WE) nr 1272/2008, (WE) nr 1223/2009 i (UE) 2019/1009 w odniesieniu do uproszczenia niektórych wymogów i procedur dotyczących produktów chemicznych(COM(2025)0531 – C10-0143/2025 – 2025/0531(COD))"/>
  </w:docVars>
  <w:rsids>
    <w:rsidRoot w:val="00CF09E8"/>
    <w:rsid w:val="00002272"/>
    <w:rsid w:val="00064002"/>
    <w:rsid w:val="000677B9"/>
    <w:rsid w:val="000831BA"/>
    <w:rsid w:val="000A42CC"/>
    <w:rsid w:val="000A70FE"/>
    <w:rsid w:val="000E7DD9"/>
    <w:rsid w:val="0010095E"/>
    <w:rsid w:val="00125B37"/>
    <w:rsid w:val="00187494"/>
    <w:rsid w:val="001E6F82"/>
    <w:rsid w:val="001F32AE"/>
    <w:rsid w:val="002767FF"/>
    <w:rsid w:val="002B18FE"/>
    <w:rsid w:val="002B5493"/>
    <w:rsid w:val="002C7A51"/>
    <w:rsid w:val="002E6C09"/>
    <w:rsid w:val="00343214"/>
    <w:rsid w:val="00361C00"/>
    <w:rsid w:val="003727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D2E"/>
    <w:rsid w:val="007D1690"/>
    <w:rsid w:val="007E22AD"/>
    <w:rsid w:val="00817416"/>
    <w:rsid w:val="00842779"/>
    <w:rsid w:val="00865F67"/>
    <w:rsid w:val="00881A7B"/>
    <w:rsid w:val="008840E5"/>
    <w:rsid w:val="008874CD"/>
    <w:rsid w:val="00887B3E"/>
    <w:rsid w:val="008C2AC6"/>
    <w:rsid w:val="00930C23"/>
    <w:rsid w:val="0093193B"/>
    <w:rsid w:val="009509D8"/>
    <w:rsid w:val="00950B64"/>
    <w:rsid w:val="00981893"/>
    <w:rsid w:val="00A1687D"/>
    <w:rsid w:val="00A43E52"/>
    <w:rsid w:val="00A4678D"/>
    <w:rsid w:val="00A6008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9E8"/>
    <w:rsid w:val="00D058B8"/>
    <w:rsid w:val="00D56C11"/>
    <w:rsid w:val="00D834A0"/>
    <w:rsid w:val="00D872DF"/>
    <w:rsid w:val="00D91E21"/>
    <w:rsid w:val="00DA7FCD"/>
    <w:rsid w:val="00E365E1"/>
    <w:rsid w:val="00E763BE"/>
    <w:rsid w:val="00E820A4"/>
    <w:rsid w:val="00EB006A"/>
    <w:rsid w:val="00EB4772"/>
    <w:rsid w:val="00ED169E"/>
    <w:rsid w:val="00ED4235"/>
    <w:rsid w:val="00F04346"/>
    <w:rsid w:val="00F075DC"/>
    <w:rsid w:val="00F149E9"/>
    <w:rsid w:val="00F406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4F353"/>
  <w15:chartTrackingRefBased/>
  <w15:docId w15:val="{9F57F225-91BA-4F6A-B9CD-AA4198769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6C09"/>
    <w:rPr>
      <w:b/>
      <w:kern w:val="28"/>
      <w:sz w:val="28"/>
      <w:lang w:val="fr-FR" w:eastAsia="fr-FR"/>
    </w:rPr>
  </w:style>
  <w:style w:type="character" w:customStyle="1" w:styleId="Heading2Char">
    <w:name w:val="Heading 2 Char"/>
    <w:basedOn w:val="DefaultParagraphFont"/>
    <w:link w:val="Heading2"/>
    <w:semiHidden/>
    <w:rsid w:val="002E6C09"/>
    <w:rPr>
      <w:sz w:val="24"/>
      <w:lang w:val="fr-FR" w:eastAsia="fr-FR"/>
    </w:rPr>
  </w:style>
  <w:style w:type="character" w:customStyle="1" w:styleId="Heading3Char">
    <w:name w:val="Heading 3 Char"/>
    <w:basedOn w:val="DefaultParagraphFont"/>
    <w:link w:val="Heading3"/>
    <w:semiHidden/>
    <w:rsid w:val="002E6C09"/>
    <w:rPr>
      <w:rFonts w:ascii="Arial" w:hAnsi="Arial"/>
      <w:sz w:val="24"/>
      <w:lang w:val="fr-FR" w:eastAsia="fr-FR"/>
    </w:rPr>
  </w:style>
  <w:style w:type="character" w:customStyle="1" w:styleId="Heading4Char">
    <w:name w:val="Heading 4 Char"/>
    <w:basedOn w:val="DefaultParagraphFont"/>
    <w:link w:val="Heading4"/>
    <w:semiHidden/>
    <w:rsid w:val="002E6C09"/>
    <w:rPr>
      <w:sz w:val="24"/>
      <w:lang w:val="en-US" w:eastAsia="fr-FR"/>
    </w:rPr>
  </w:style>
  <w:style w:type="character" w:customStyle="1" w:styleId="Heading5Char">
    <w:name w:val="Heading 5 Char"/>
    <w:basedOn w:val="DefaultParagraphFont"/>
    <w:link w:val="Heading5"/>
    <w:semiHidden/>
    <w:rsid w:val="002E6C09"/>
    <w:rPr>
      <w:sz w:val="24"/>
      <w:lang w:val="en-US" w:eastAsia="fr-FR"/>
    </w:rPr>
  </w:style>
  <w:style w:type="character" w:customStyle="1" w:styleId="Heading6Char">
    <w:name w:val="Heading 6 Char"/>
    <w:basedOn w:val="DefaultParagraphFont"/>
    <w:link w:val="Heading6"/>
    <w:semiHidden/>
    <w:rsid w:val="002E6C09"/>
    <w:rPr>
      <w:i/>
      <w:sz w:val="22"/>
      <w:lang w:val="pl-PL"/>
    </w:rPr>
  </w:style>
  <w:style w:type="character" w:customStyle="1" w:styleId="Heading7Char">
    <w:name w:val="Heading 7 Char"/>
    <w:basedOn w:val="DefaultParagraphFont"/>
    <w:link w:val="Heading7"/>
    <w:semiHidden/>
    <w:rsid w:val="002E6C09"/>
    <w:rPr>
      <w:rFonts w:ascii="Arial" w:hAnsi="Arial"/>
      <w:sz w:val="24"/>
      <w:lang w:val="pl-PL"/>
    </w:rPr>
  </w:style>
  <w:style w:type="character" w:customStyle="1" w:styleId="Heading8Char">
    <w:name w:val="Heading 8 Char"/>
    <w:basedOn w:val="DefaultParagraphFont"/>
    <w:link w:val="Heading8"/>
    <w:semiHidden/>
    <w:rsid w:val="002E6C09"/>
    <w:rPr>
      <w:rFonts w:ascii="Arial" w:hAnsi="Arial"/>
      <w:i/>
      <w:sz w:val="24"/>
      <w:lang w:val="pl-PL"/>
    </w:rPr>
  </w:style>
  <w:style w:type="character" w:customStyle="1" w:styleId="Heading9Char">
    <w:name w:val="Heading 9 Char"/>
    <w:basedOn w:val="DefaultParagraphFont"/>
    <w:link w:val="Heading9"/>
    <w:semiHidden/>
    <w:rsid w:val="002E6C09"/>
    <w:rPr>
      <w:rFonts w:ascii="Arial" w:hAnsi="Arial"/>
      <w:b/>
      <w:i/>
      <w:sz w:val="18"/>
      <w:lang w:val="pl-PL"/>
    </w:rPr>
  </w:style>
  <w:style w:type="paragraph" w:styleId="TOCHeading">
    <w:name w:val="TOC Heading"/>
    <w:basedOn w:val="Normal"/>
    <w:next w:val="Normal"/>
    <w:unhideWhenUsed/>
    <w:qFormat/>
    <w:rsid w:val="002E6C09"/>
    <w:pPr>
      <w:widowControl/>
      <w:spacing w:after="240"/>
    </w:pPr>
    <w:rPr>
      <w:lang w:val="en-GB"/>
    </w:rPr>
  </w:style>
  <w:style w:type="paragraph" w:customStyle="1" w:styleId="EPFooter2">
    <w:name w:val="EPFooter2"/>
    <w:basedOn w:val="Normal"/>
    <w:next w:val="Normal"/>
    <w:rsid w:val="002E6C09"/>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2E6C09"/>
    <w:pPr>
      <w:widowControl/>
      <w:tabs>
        <w:tab w:val="center" w:pos="4535"/>
        <w:tab w:val="right" w:pos="9071"/>
      </w:tabs>
      <w:spacing w:before="240" w:after="240"/>
    </w:pPr>
    <w:rPr>
      <w:color w:val="010000"/>
      <w:sz w:val="22"/>
    </w:rPr>
  </w:style>
  <w:style w:type="paragraph" w:customStyle="1" w:styleId="EPFooterRC">
    <w:name w:val="EPFooterRC"/>
    <w:basedOn w:val="Normal"/>
    <w:rsid w:val="002E6C09"/>
    <w:pPr>
      <w:tabs>
        <w:tab w:val="center" w:pos="4535"/>
        <w:tab w:val="left" w:pos="6662"/>
      </w:tabs>
    </w:pPr>
    <w:rPr>
      <w:sz w:val="22"/>
    </w:rPr>
  </w:style>
  <w:style w:type="paragraph" w:customStyle="1" w:styleId="TOCPage">
    <w:name w:val="TOC Page"/>
    <w:basedOn w:val="Normal"/>
    <w:next w:val="TOC1"/>
    <w:rsid w:val="002E6C09"/>
    <w:pPr>
      <w:keepNext/>
      <w:spacing w:after="240"/>
      <w:jc w:val="right"/>
    </w:pPr>
    <w:rPr>
      <w:rFonts w:ascii="Arial" w:hAnsi="Arial"/>
      <w:b/>
    </w:rPr>
  </w:style>
  <w:style w:type="paragraph" w:customStyle="1" w:styleId="Normal6a">
    <w:name w:val="Normal6a"/>
    <w:basedOn w:val="Normal"/>
    <w:rsid w:val="002E6C09"/>
    <w:pPr>
      <w:spacing w:after="120"/>
    </w:pPr>
  </w:style>
  <w:style w:type="paragraph" w:customStyle="1" w:styleId="PageHeading">
    <w:name w:val="PageHeading"/>
    <w:basedOn w:val="Normal"/>
    <w:rsid w:val="002E6C09"/>
    <w:pPr>
      <w:keepNext/>
      <w:spacing w:after="480"/>
      <w:jc w:val="center"/>
    </w:pPr>
    <w:rPr>
      <w:rFonts w:ascii="Arial" w:hAnsi="Arial" w:cs="Arial"/>
      <w:b/>
    </w:rPr>
  </w:style>
  <w:style w:type="paragraph" w:customStyle="1" w:styleId="NormalBold">
    <w:name w:val="NormalBold"/>
    <w:basedOn w:val="Normal"/>
    <w:link w:val="NormalBoldChar"/>
    <w:rsid w:val="002E6C09"/>
    <w:rPr>
      <w:b/>
    </w:rPr>
  </w:style>
  <w:style w:type="paragraph" w:customStyle="1" w:styleId="NormalBold12a">
    <w:name w:val="NormalBold12a"/>
    <w:basedOn w:val="Normal"/>
    <w:rsid w:val="002E6C09"/>
    <w:pPr>
      <w:spacing w:after="240"/>
    </w:pPr>
    <w:rPr>
      <w:b/>
    </w:rPr>
  </w:style>
  <w:style w:type="paragraph" w:customStyle="1" w:styleId="AmJustText">
    <w:name w:val="AmJustText"/>
    <w:basedOn w:val="Normal"/>
    <w:rsid w:val="002E6C09"/>
    <w:pPr>
      <w:spacing w:after="240"/>
    </w:pPr>
    <w:rPr>
      <w:i/>
    </w:rPr>
  </w:style>
  <w:style w:type="paragraph" w:customStyle="1" w:styleId="NormalHanging12a">
    <w:name w:val="NormalHanging12a"/>
    <w:basedOn w:val="Normal"/>
    <w:rsid w:val="002E6C09"/>
    <w:pPr>
      <w:spacing w:after="240"/>
      <w:ind w:left="567" w:hanging="567"/>
    </w:pPr>
  </w:style>
  <w:style w:type="paragraph" w:customStyle="1" w:styleId="CoverNormal24a">
    <w:name w:val="CoverNormal24a"/>
    <w:basedOn w:val="Normal"/>
    <w:rsid w:val="002E6C09"/>
    <w:pPr>
      <w:spacing w:after="480"/>
      <w:ind w:left="1417"/>
    </w:pPr>
  </w:style>
  <w:style w:type="paragraph" w:customStyle="1" w:styleId="CoverNormal">
    <w:name w:val="CoverNormal"/>
    <w:basedOn w:val="Normal"/>
    <w:rsid w:val="002E6C09"/>
    <w:pPr>
      <w:ind w:left="1418"/>
    </w:pPr>
  </w:style>
  <w:style w:type="paragraph" w:customStyle="1" w:styleId="AmCrossRef">
    <w:name w:val="AmCrossRef"/>
    <w:basedOn w:val="Normal"/>
    <w:rsid w:val="002E6C09"/>
    <w:pPr>
      <w:spacing w:before="240" w:after="240"/>
      <w:jc w:val="center"/>
    </w:pPr>
    <w:rPr>
      <w:i/>
    </w:rPr>
  </w:style>
  <w:style w:type="paragraph" w:customStyle="1" w:styleId="AmJustTitle">
    <w:name w:val="AmJustTitle"/>
    <w:basedOn w:val="Normal"/>
    <w:next w:val="AmJustText"/>
    <w:rsid w:val="002E6C09"/>
    <w:pPr>
      <w:keepNext/>
      <w:spacing w:before="240" w:after="240"/>
      <w:jc w:val="center"/>
    </w:pPr>
    <w:rPr>
      <w:i/>
    </w:rPr>
  </w:style>
  <w:style w:type="paragraph" w:customStyle="1" w:styleId="CoverReference">
    <w:name w:val="CoverReference"/>
    <w:basedOn w:val="Normal"/>
    <w:rsid w:val="002E6C09"/>
    <w:pPr>
      <w:spacing w:before="1080"/>
      <w:jc w:val="right"/>
    </w:pPr>
    <w:rPr>
      <w:rFonts w:ascii="Arial" w:hAnsi="Arial" w:cs="Arial"/>
      <w:b/>
    </w:rPr>
  </w:style>
  <w:style w:type="paragraph" w:customStyle="1" w:styleId="CoverDocType">
    <w:name w:val="CoverDocType"/>
    <w:basedOn w:val="Normal"/>
    <w:rsid w:val="002E6C09"/>
    <w:pPr>
      <w:ind w:left="1418"/>
    </w:pPr>
    <w:rPr>
      <w:rFonts w:ascii="Arial" w:hAnsi="Arial"/>
      <w:b/>
      <w:sz w:val="48"/>
    </w:rPr>
  </w:style>
  <w:style w:type="paragraph" w:customStyle="1" w:styleId="CoverDocType24a">
    <w:name w:val="CoverDocType24a"/>
    <w:basedOn w:val="Normal"/>
    <w:rsid w:val="002E6C09"/>
    <w:pPr>
      <w:spacing w:after="480"/>
      <w:ind w:left="1418"/>
    </w:pPr>
    <w:rPr>
      <w:rFonts w:ascii="Arial" w:hAnsi="Arial"/>
      <w:b/>
      <w:sz w:val="48"/>
    </w:rPr>
  </w:style>
  <w:style w:type="paragraph" w:customStyle="1" w:styleId="CoverDate">
    <w:name w:val="CoverDate"/>
    <w:basedOn w:val="Normal"/>
    <w:rsid w:val="002E6C09"/>
    <w:pPr>
      <w:spacing w:before="240" w:after="1200"/>
    </w:pPr>
  </w:style>
  <w:style w:type="paragraph" w:styleId="Header">
    <w:name w:val="header"/>
    <w:basedOn w:val="Normal"/>
    <w:link w:val="HeaderChar"/>
    <w:rsid w:val="002E6C09"/>
    <w:pPr>
      <w:tabs>
        <w:tab w:val="center" w:pos="4513"/>
        <w:tab w:val="right" w:pos="9026"/>
      </w:tabs>
    </w:pPr>
  </w:style>
  <w:style w:type="character" w:customStyle="1" w:styleId="HeaderChar">
    <w:name w:val="Header Char"/>
    <w:basedOn w:val="DefaultParagraphFont"/>
    <w:link w:val="Header"/>
    <w:rsid w:val="002E6C09"/>
    <w:rPr>
      <w:sz w:val="24"/>
      <w:lang w:val="pl-PL"/>
    </w:rPr>
  </w:style>
  <w:style w:type="paragraph" w:customStyle="1" w:styleId="AmOrLang">
    <w:name w:val="AmOrLang"/>
    <w:basedOn w:val="Normal"/>
    <w:rsid w:val="002E6C09"/>
    <w:pPr>
      <w:spacing w:before="240" w:after="240"/>
      <w:jc w:val="right"/>
    </w:pPr>
  </w:style>
  <w:style w:type="paragraph" w:customStyle="1" w:styleId="AmColumnHeading">
    <w:name w:val="AmColumnHeading"/>
    <w:basedOn w:val="Normal"/>
    <w:rsid w:val="002E6C09"/>
    <w:pPr>
      <w:spacing w:after="240"/>
      <w:jc w:val="center"/>
    </w:pPr>
    <w:rPr>
      <w:i/>
    </w:rPr>
  </w:style>
  <w:style w:type="paragraph" w:customStyle="1" w:styleId="AmNumberTabs">
    <w:name w:val="AmNumberTabs"/>
    <w:basedOn w:val="Normal"/>
    <w:rsid w:val="002E6C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6C09"/>
    <w:pPr>
      <w:spacing w:before="240"/>
    </w:pPr>
    <w:rPr>
      <w:b/>
    </w:rPr>
  </w:style>
  <w:style w:type="paragraph" w:customStyle="1" w:styleId="EPBody">
    <w:name w:val="EPBody"/>
    <w:basedOn w:val="Normal"/>
    <w:rsid w:val="002E6C09"/>
    <w:pPr>
      <w:jc w:val="center"/>
    </w:pPr>
    <w:rPr>
      <w:rFonts w:ascii="Arial" w:hAnsi="Arial" w:cs="Arial"/>
      <w:i/>
      <w:sz w:val="22"/>
      <w:szCs w:val="22"/>
    </w:rPr>
  </w:style>
  <w:style w:type="paragraph" w:customStyle="1" w:styleId="EPComma">
    <w:name w:val="EPComma"/>
    <w:basedOn w:val="Normal"/>
    <w:rsid w:val="002E6C09"/>
    <w:pPr>
      <w:spacing w:before="480" w:after="240"/>
    </w:pPr>
  </w:style>
  <w:style w:type="paragraph" w:customStyle="1" w:styleId="Lgendesigne">
    <w:name w:val="Légende signe"/>
    <w:basedOn w:val="Normal"/>
    <w:rsid w:val="002E6C09"/>
    <w:pPr>
      <w:tabs>
        <w:tab w:val="right" w:pos="454"/>
        <w:tab w:val="left" w:pos="737"/>
      </w:tabs>
      <w:ind w:left="737" w:hanging="737"/>
    </w:pPr>
    <w:rPr>
      <w:snapToGrid w:val="0"/>
      <w:sz w:val="18"/>
      <w:lang w:eastAsia="en-US"/>
    </w:rPr>
  </w:style>
  <w:style w:type="paragraph" w:customStyle="1" w:styleId="Lgendetitre">
    <w:name w:val="Légende titre"/>
    <w:basedOn w:val="Normal"/>
    <w:rsid w:val="002E6C09"/>
    <w:pPr>
      <w:spacing w:before="240" w:after="240"/>
    </w:pPr>
    <w:rPr>
      <w:b/>
      <w:i/>
      <w:snapToGrid w:val="0"/>
      <w:lang w:eastAsia="en-US"/>
    </w:rPr>
  </w:style>
  <w:style w:type="paragraph" w:customStyle="1" w:styleId="Lgendestandard">
    <w:name w:val="Légende standard"/>
    <w:basedOn w:val="Normal"/>
    <w:rsid w:val="002E6C09"/>
    <w:rPr>
      <w:sz w:val="18"/>
    </w:rPr>
  </w:style>
  <w:style w:type="paragraph" w:customStyle="1" w:styleId="msonormal0">
    <w:name w:val="msonormal"/>
    <w:basedOn w:val="Normal"/>
    <w:rsid w:val="002E6C09"/>
    <w:pPr>
      <w:widowControl/>
      <w:spacing w:before="100" w:beforeAutospacing="1" w:after="100" w:afterAutospacing="1"/>
    </w:pPr>
    <w:rPr>
      <w:szCs w:val="24"/>
    </w:rPr>
  </w:style>
  <w:style w:type="character" w:customStyle="1" w:styleId="Normal12Char">
    <w:name w:val="Normal12 Char"/>
    <w:basedOn w:val="DefaultParagraphFont"/>
    <w:link w:val="Normal12"/>
    <w:locked/>
    <w:rsid w:val="002E6C09"/>
    <w:rPr>
      <w:noProof/>
      <w:sz w:val="24"/>
    </w:rPr>
  </w:style>
  <w:style w:type="paragraph" w:customStyle="1" w:styleId="Normal12">
    <w:name w:val="Normal12"/>
    <w:basedOn w:val="Normal"/>
    <w:link w:val="Normal12Char"/>
    <w:rsid w:val="002E6C09"/>
    <w:pPr>
      <w:spacing w:after="240"/>
    </w:pPr>
    <w:rPr>
      <w:noProof/>
      <w:lang w:val="en-GB"/>
    </w:rPr>
  </w:style>
  <w:style w:type="paragraph" w:customStyle="1" w:styleId="CommitteeAM">
    <w:name w:val="CommitteeAM"/>
    <w:basedOn w:val="Normal"/>
    <w:rsid w:val="002E6C09"/>
    <w:pPr>
      <w:spacing w:before="240" w:after="600"/>
      <w:jc w:val="center"/>
    </w:pPr>
    <w:rPr>
      <w:i/>
    </w:rPr>
  </w:style>
  <w:style w:type="paragraph" w:customStyle="1" w:styleId="ZDateAM">
    <w:name w:val="ZDateAM"/>
    <w:basedOn w:val="Normal"/>
    <w:rsid w:val="002E6C09"/>
    <w:pPr>
      <w:tabs>
        <w:tab w:val="right" w:pos="9356"/>
      </w:tabs>
      <w:spacing w:after="480"/>
    </w:pPr>
    <w:rPr>
      <w:noProof/>
    </w:rPr>
  </w:style>
  <w:style w:type="paragraph" w:customStyle="1" w:styleId="ProjRap">
    <w:name w:val="ProjRap"/>
    <w:basedOn w:val="Normal"/>
    <w:rsid w:val="002E6C09"/>
    <w:pPr>
      <w:tabs>
        <w:tab w:val="right" w:pos="9356"/>
      </w:tabs>
    </w:pPr>
    <w:rPr>
      <w:b/>
      <w:noProof/>
    </w:rPr>
  </w:style>
  <w:style w:type="paragraph" w:customStyle="1" w:styleId="PELeft">
    <w:name w:val="PELeft"/>
    <w:basedOn w:val="Normal"/>
    <w:rsid w:val="002E6C09"/>
    <w:pPr>
      <w:spacing w:before="40" w:after="40"/>
    </w:pPr>
    <w:rPr>
      <w:rFonts w:ascii="Arial" w:hAnsi="Arial" w:cs="Arial"/>
      <w:sz w:val="22"/>
      <w:szCs w:val="22"/>
    </w:rPr>
  </w:style>
  <w:style w:type="paragraph" w:customStyle="1" w:styleId="PERight">
    <w:name w:val="PERight"/>
    <w:basedOn w:val="Normal"/>
    <w:next w:val="Normal"/>
    <w:rsid w:val="002E6C09"/>
    <w:pPr>
      <w:jc w:val="right"/>
    </w:pPr>
    <w:rPr>
      <w:rFonts w:ascii="Arial" w:hAnsi="Arial" w:cs="Arial"/>
      <w:sz w:val="22"/>
      <w:szCs w:val="22"/>
    </w:rPr>
  </w:style>
  <w:style w:type="character" w:customStyle="1" w:styleId="Normal6Char">
    <w:name w:val="Normal6 Char"/>
    <w:basedOn w:val="DefaultParagraphFont"/>
    <w:link w:val="Normal6"/>
    <w:locked/>
    <w:rsid w:val="002E6C09"/>
    <w:rPr>
      <w:sz w:val="24"/>
      <w:lang w:val="pl-PL"/>
    </w:rPr>
  </w:style>
  <w:style w:type="paragraph" w:customStyle="1" w:styleId="Normal6">
    <w:name w:val="Normal6"/>
    <w:basedOn w:val="Normal"/>
    <w:link w:val="Normal6Char"/>
    <w:rsid w:val="002E6C09"/>
    <w:pPr>
      <w:spacing w:after="120"/>
    </w:pPr>
  </w:style>
  <w:style w:type="character" w:customStyle="1" w:styleId="NormalBoldChar">
    <w:name w:val="NormalBold Char"/>
    <w:basedOn w:val="DefaultParagraphFont"/>
    <w:link w:val="NormalBold"/>
    <w:locked/>
    <w:rsid w:val="002E6C09"/>
    <w:rPr>
      <w:b/>
      <w:sz w:val="24"/>
      <w:lang w:val="pl-PL"/>
    </w:rPr>
  </w:style>
  <w:style w:type="paragraph" w:customStyle="1" w:styleId="Normal12Italic">
    <w:name w:val="Normal12Italic"/>
    <w:basedOn w:val="Normal12"/>
    <w:rsid w:val="002E6C09"/>
    <w:rPr>
      <w:i/>
    </w:rPr>
  </w:style>
  <w:style w:type="paragraph" w:customStyle="1" w:styleId="JustificationTitle">
    <w:name w:val="JustificationTitle"/>
    <w:basedOn w:val="Normal"/>
    <w:next w:val="Normal12"/>
    <w:rsid w:val="002E6C09"/>
    <w:pPr>
      <w:keepNext/>
      <w:spacing w:before="240" w:after="240"/>
      <w:jc w:val="center"/>
    </w:pPr>
    <w:rPr>
      <w:i/>
      <w:noProof/>
    </w:rPr>
  </w:style>
  <w:style w:type="paragraph" w:customStyle="1" w:styleId="Olang">
    <w:name w:val="Olang"/>
    <w:basedOn w:val="Normal"/>
    <w:rsid w:val="002E6C09"/>
    <w:pPr>
      <w:spacing w:before="240" w:after="240"/>
      <w:jc w:val="right"/>
    </w:pPr>
    <w:rPr>
      <w:noProof/>
      <w:szCs w:val="24"/>
    </w:rPr>
  </w:style>
  <w:style w:type="paragraph" w:customStyle="1" w:styleId="ColumnHeading">
    <w:name w:val="ColumnHeading"/>
    <w:basedOn w:val="Normal"/>
    <w:rsid w:val="002E6C09"/>
    <w:pPr>
      <w:spacing w:after="240"/>
      <w:jc w:val="center"/>
    </w:pPr>
    <w:rPr>
      <w:i/>
    </w:rPr>
  </w:style>
  <w:style w:type="paragraph" w:customStyle="1" w:styleId="AMNumberTabs0">
    <w:name w:val="AMNumberTabs"/>
    <w:basedOn w:val="Normal"/>
    <w:rsid w:val="002E6C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E6C09"/>
    <w:pPr>
      <w:spacing w:before="240"/>
      <w:jc w:val="center"/>
    </w:pPr>
    <w:rPr>
      <w:i/>
    </w:rPr>
  </w:style>
  <w:style w:type="character" w:customStyle="1" w:styleId="Footer2Middle">
    <w:name w:val="Footer2Middle"/>
    <w:rsid w:val="002E6C09"/>
    <w:rPr>
      <w:rFonts w:ascii="Arial" w:hAnsi="Arial" w:cs="Arial" w:hint="default"/>
      <w:b w:val="0"/>
      <w:bCs w:val="0"/>
      <w:i/>
      <w:iCs w:val="0"/>
      <w:color w:val="C0C0C0"/>
      <w:sz w:val="22"/>
    </w:rPr>
  </w:style>
  <w:style w:type="paragraph" w:customStyle="1" w:styleId="EntPE">
    <w:name w:val="EntPE"/>
    <w:basedOn w:val="Normal12"/>
    <w:rsid w:val="002E6C09"/>
    <w:pPr>
      <w:jc w:val="center"/>
    </w:pPr>
    <w:rPr>
      <w:noProof w:val="0"/>
      <w:sz w:val="56"/>
    </w:rPr>
  </w:style>
  <w:style w:type="character" w:styleId="Hyperlink">
    <w:name w:val="Hyperlink"/>
    <w:basedOn w:val="DefaultParagraphFont"/>
    <w:uiPriority w:val="99"/>
    <w:rsid w:val="002E6C09"/>
    <w:rPr>
      <w:color w:val="0563C1" w:themeColor="hyperlink"/>
      <w:u w:val="single"/>
    </w:rPr>
  </w:style>
  <w:style w:type="character" w:styleId="UnresolvedMention">
    <w:name w:val="Unresolved Mention"/>
    <w:basedOn w:val="DefaultParagraphFont"/>
    <w:uiPriority w:val="99"/>
    <w:semiHidden/>
    <w:unhideWhenUsed/>
    <w:rsid w:val="002E6C09"/>
    <w:rPr>
      <w:color w:val="605E5C"/>
      <w:shd w:val="clear" w:color="auto" w:fill="E1DFDD"/>
    </w:rPr>
  </w:style>
  <w:style w:type="paragraph" w:customStyle="1" w:styleId="Normal24a">
    <w:name w:val="Normal24a"/>
    <w:basedOn w:val="Normal"/>
    <w:rsid w:val="002E6C09"/>
    <w:pPr>
      <w:spacing w:after="480"/>
    </w:pPr>
  </w:style>
  <w:style w:type="paragraph" w:customStyle="1" w:styleId="NormalBoldCenter">
    <w:name w:val="NormalBoldCenter"/>
    <w:basedOn w:val="Normal"/>
    <w:rsid w:val="002E6C09"/>
    <w:pPr>
      <w:jc w:val="center"/>
    </w:pPr>
    <w:rPr>
      <w:b/>
    </w:rPr>
  </w:style>
  <w:style w:type="paragraph" w:customStyle="1" w:styleId="Footprint12b">
    <w:name w:val="Footprint12b"/>
    <w:basedOn w:val="Normal"/>
    <w:rsid w:val="002E6C09"/>
    <w:pPr>
      <w:spacing w:before="240"/>
    </w:pPr>
    <w:rPr>
      <w:szCs w:val="24"/>
    </w:rPr>
  </w:style>
  <w:style w:type="paragraph" w:customStyle="1" w:styleId="NormalSingle">
    <w:name w:val="NormalSingle"/>
    <w:basedOn w:val="Normal"/>
    <w:qFormat/>
    <w:rsid w:val="002E6C09"/>
    <w:rPr>
      <w:szCs w:val="24"/>
    </w:rPr>
  </w:style>
  <w:style w:type="character" w:styleId="CommentReference">
    <w:name w:val="annotation reference"/>
    <w:basedOn w:val="DefaultParagraphFont"/>
    <w:rsid w:val="002E6C09"/>
    <w:rPr>
      <w:sz w:val="16"/>
      <w:szCs w:val="16"/>
    </w:rPr>
  </w:style>
  <w:style w:type="paragraph" w:styleId="CommentText">
    <w:name w:val="annotation text"/>
    <w:basedOn w:val="Normal"/>
    <w:link w:val="CommentTextChar"/>
    <w:rsid w:val="002E6C09"/>
    <w:rPr>
      <w:sz w:val="20"/>
    </w:rPr>
  </w:style>
  <w:style w:type="character" w:customStyle="1" w:styleId="CommentTextChar">
    <w:name w:val="Comment Text Char"/>
    <w:basedOn w:val="DefaultParagraphFont"/>
    <w:link w:val="CommentText"/>
    <w:rsid w:val="002E6C09"/>
    <w:rPr>
      <w:lang w:val="pl-PL"/>
    </w:rPr>
  </w:style>
  <w:style w:type="paragraph" w:styleId="CommentSubject">
    <w:name w:val="annotation subject"/>
    <w:basedOn w:val="CommentText"/>
    <w:next w:val="CommentText"/>
    <w:link w:val="CommentSubjectChar"/>
    <w:unhideWhenUsed/>
    <w:rsid w:val="002E6C09"/>
    <w:rPr>
      <w:b/>
      <w:bCs/>
    </w:rPr>
  </w:style>
  <w:style w:type="character" w:customStyle="1" w:styleId="CommentSubjectChar">
    <w:name w:val="Comment Subject Char"/>
    <w:basedOn w:val="CommentTextChar"/>
    <w:link w:val="CommentSubject"/>
    <w:rsid w:val="002E6C09"/>
    <w:rPr>
      <w:b/>
      <w:bCs/>
      <w:lang w:val="pl-PL"/>
    </w:rPr>
  </w:style>
  <w:style w:type="paragraph" w:styleId="Revision">
    <w:name w:val="Revision"/>
    <w:hidden/>
    <w:uiPriority w:val="99"/>
    <w:semiHidden/>
    <w:rsid w:val="002E6C09"/>
    <w:rPr>
      <w:sz w:val="24"/>
      <w:lang w:val="pl-PL"/>
    </w:rPr>
  </w:style>
  <w:style w:type="paragraph" w:customStyle="1" w:styleId="Normal12a">
    <w:name w:val="Normal12a"/>
    <w:basedOn w:val="Normal"/>
    <w:rsid w:val="002E6C09"/>
    <w:pPr>
      <w:spacing w:after="240"/>
    </w:pPr>
  </w:style>
  <w:style w:type="paragraph" w:customStyle="1" w:styleId="RollCallVotes">
    <w:name w:val="RollCallVotes"/>
    <w:basedOn w:val="Normal"/>
    <w:rsid w:val="002E6C09"/>
    <w:pPr>
      <w:spacing w:before="120" w:after="120"/>
      <w:jc w:val="center"/>
    </w:pPr>
    <w:rPr>
      <w:b/>
      <w:bCs/>
      <w:snapToGrid w:val="0"/>
      <w:sz w:val="16"/>
      <w:lang w:eastAsia="en-US"/>
    </w:rPr>
  </w:style>
  <w:style w:type="paragraph" w:customStyle="1" w:styleId="RollCallTabs">
    <w:name w:val="RollCallTabs"/>
    <w:basedOn w:val="Normal"/>
    <w:qFormat/>
    <w:rsid w:val="002E6C09"/>
    <w:pPr>
      <w:tabs>
        <w:tab w:val="center" w:pos="284"/>
        <w:tab w:val="left" w:pos="426"/>
      </w:tabs>
    </w:pPr>
    <w:rPr>
      <w:snapToGrid w:val="0"/>
      <w:lang w:eastAsia="en-US"/>
    </w:rPr>
  </w:style>
  <w:style w:type="paragraph" w:customStyle="1" w:styleId="RollCallSymbols14pt">
    <w:name w:val="RollCallSymbols14pt"/>
    <w:basedOn w:val="Normal"/>
    <w:rsid w:val="002E6C09"/>
    <w:pPr>
      <w:spacing w:before="120" w:after="120"/>
      <w:jc w:val="center"/>
    </w:pPr>
    <w:rPr>
      <w:rFonts w:ascii="Arial" w:hAnsi="Arial"/>
      <w:b/>
      <w:bCs/>
      <w:snapToGrid w:val="0"/>
      <w:sz w:val="28"/>
      <w:lang w:eastAsia="en-US"/>
    </w:rPr>
  </w:style>
  <w:style w:type="paragraph" w:customStyle="1" w:styleId="RollCallTable">
    <w:name w:val="RollCallTable"/>
    <w:basedOn w:val="Normal"/>
    <w:rsid w:val="002E6C09"/>
    <w:pPr>
      <w:spacing w:before="120" w:after="120"/>
    </w:pPr>
    <w:rPr>
      <w:snapToGrid w:val="0"/>
      <w:sz w:val="16"/>
      <w:lang w:eastAsia="en-US"/>
    </w:rPr>
  </w:style>
  <w:style w:type="paragraph" w:customStyle="1" w:styleId="PageHeadingNotTOC">
    <w:name w:val="PageHeadingNotTOC"/>
    <w:basedOn w:val="Normal"/>
    <w:rsid w:val="002E6C09"/>
    <w:pPr>
      <w:keepNext/>
      <w:spacing w:after="480"/>
      <w:jc w:val="center"/>
    </w:pPr>
    <w:rPr>
      <w:rFonts w:ascii="Arial" w:hAnsi="Arial" w:cs="Arial"/>
      <w:b/>
    </w:rPr>
  </w:style>
  <w:style w:type="paragraph" w:customStyle="1" w:styleId="AmHeadingPA">
    <w:name w:val="AmHeadingPA"/>
    <w:basedOn w:val="Normal"/>
    <w:next w:val="Normal"/>
    <w:rsid w:val="002E6C09"/>
    <w:pPr>
      <w:spacing w:before="480" w:after="240"/>
      <w:jc w:val="center"/>
    </w:pPr>
    <w:rPr>
      <w:rFonts w:ascii="Arial" w:hAnsi="Arial"/>
      <w:b/>
      <w:caps/>
      <w:snapToGrid w:val="0"/>
      <w:szCs w:val="24"/>
      <w:lang w:eastAsia="en-US"/>
    </w:rPr>
  </w:style>
  <w:style w:type="paragraph" w:styleId="Footer">
    <w:name w:val="footer"/>
    <w:basedOn w:val="Normal"/>
    <w:link w:val="FooterChar"/>
    <w:rsid w:val="002E6C09"/>
    <w:pPr>
      <w:widowControl/>
      <w:tabs>
        <w:tab w:val="center" w:pos="4513"/>
        <w:tab w:val="right" w:pos="9026"/>
      </w:tabs>
    </w:pPr>
  </w:style>
  <w:style w:type="character" w:customStyle="1" w:styleId="FooterChar">
    <w:name w:val="Footer Char"/>
    <w:basedOn w:val="DefaultParagraphFont"/>
    <w:link w:val="Footer"/>
    <w:rsid w:val="002E6C09"/>
    <w:rPr>
      <w:sz w:val="24"/>
      <w:lang w:val="pl-PL"/>
    </w:rPr>
  </w:style>
  <w:style w:type="paragraph" w:styleId="ListParagraph">
    <w:name w:val="List Paragraph"/>
    <w:basedOn w:val="Normal"/>
    <w:uiPriority w:val="34"/>
    <w:qFormat/>
    <w:rsid w:val="002E6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14769</Words>
  <Characters>98371</Characters>
  <Application>Microsoft Office Word</Application>
  <DocSecurity>0</DocSecurity>
  <Lines>819</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2026-04-29T13:56:00Z</dcterms:created>
  <dcterms:modified xsi:type="dcterms:W3CDTF">2026-04-29T13:56:00Z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A10-0104/2026</vt:lpwstr>
  </property>
  <property fmtid="{D5CDD505-2E9C-101B-9397-08002B2CF9AE}" pid="4" name="&lt;Type&gt;">
    <vt:lpwstr>RR</vt:lpwstr>
  </property>
</Properties>
</file>