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7644" w14:paraId="6E3BA3D6" w14:textId="77777777" w:rsidTr="0010095E">
        <w:trPr>
          <w:trHeight w:hRule="exact" w:val="1418"/>
        </w:trPr>
        <w:tc>
          <w:tcPr>
            <w:tcW w:w="6804" w:type="dxa"/>
            <w:shd w:val="clear" w:color="auto" w:fill="auto"/>
            <w:vAlign w:val="center"/>
          </w:tcPr>
          <w:p w14:paraId="2B0577C9" w14:textId="77777777" w:rsidR="00751A4A" w:rsidRPr="00087644" w:rsidRDefault="008B3FFD" w:rsidP="0010095E">
            <w:pPr>
              <w:pStyle w:val="EPName"/>
            </w:pPr>
            <w:r w:rsidRPr="00087644">
              <w:t xml:space="preserve">Parlamento </w:t>
            </w:r>
            <w:proofErr w:type="gramStart"/>
            <w:r w:rsidRPr="00087644">
              <w:t>Europeu</w:t>
            </w:r>
            <w:proofErr w:type="gramEnd"/>
          </w:p>
          <w:p w14:paraId="0BD12ACC" w14:textId="77777777" w:rsidR="00751A4A" w:rsidRPr="00087644" w:rsidRDefault="005F1B17" w:rsidP="005F1B17">
            <w:pPr>
              <w:pStyle w:val="EPTerm"/>
              <w:rPr>
                <w:rStyle w:val="HideTWBExt"/>
                <w:noProof w:val="0"/>
                <w:vanish w:val="0"/>
                <w:color w:val="auto"/>
              </w:rPr>
            </w:pPr>
            <w:r w:rsidRPr="00087644">
              <w:t>2024</w:t>
            </w:r>
            <w:r w:rsidR="00817416" w:rsidRPr="00087644">
              <w:t>-202</w:t>
            </w:r>
            <w:r w:rsidRPr="00087644">
              <w:t>9</w:t>
            </w:r>
          </w:p>
        </w:tc>
        <w:tc>
          <w:tcPr>
            <w:tcW w:w="2268" w:type="dxa"/>
            <w:shd w:val="clear" w:color="auto" w:fill="auto"/>
          </w:tcPr>
          <w:p w14:paraId="7263803D" w14:textId="77777777" w:rsidR="00751A4A" w:rsidRPr="00087644" w:rsidRDefault="00187494" w:rsidP="0010095E">
            <w:pPr>
              <w:pStyle w:val="EPLogo"/>
            </w:pPr>
            <w:r w:rsidRPr="00087644">
              <w:rPr>
                <w:noProof/>
                <w:lang w:eastAsia="ja-JP"/>
              </w:rPr>
              <w:drawing>
                <wp:inline distT="0" distB="0" distL="0" distR="0" wp14:anchorId="59BC4767" wp14:editId="270C17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09365E" w14:textId="77777777" w:rsidR="00D058B8" w:rsidRPr="00087644" w:rsidRDefault="00D058B8" w:rsidP="004C5D52">
      <w:pPr>
        <w:pStyle w:val="LineTop"/>
      </w:pPr>
    </w:p>
    <w:p w14:paraId="59775DBB" w14:textId="77777777" w:rsidR="00680577" w:rsidRPr="00087644" w:rsidRDefault="008B3FFD" w:rsidP="00680577">
      <w:pPr>
        <w:pStyle w:val="EPBodyTA1"/>
      </w:pPr>
      <w:r w:rsidRPr="00087644">
        <w:t>TEXTOS APROVADOS</w:t>
      </w:r>
    </w:p>
    <w:p w14:paraId="5353C7DE" w14:textId="77777777" w:rsidR="00D058B8" w:rsidRPr="00087644" w:rsidRDefault="00D058B8" w:rsidP="00D058B8">
      <w:pPr>
        <w:pStyle w:val="LineBottom"/>
      </w:pPr>
    </w:p>
    <w:p w14:paraId="50277B65" w14:textId="12DFBEAD" w:rsidR="008B3FFD" w:rsidRPr="00087644" w:rsidRDefault="008B3FFD" w:rsidP="008B3FFD">
      <w:pPr>
        <w:pStyle w:val="ATHeading1"/>
      </w:pPr>
      <w:bookmarkStart w:id="0" w:name="TANumber"/>
      <w:r w:rsidRPr="00087644">
        <w:t>P10_TA(2026)0</w:t>
      </w:r>
      <w:r w:rsidR="004D1983" w:rsidRPr="00087644">
        <w:t>138</w:t>
      </w:r>
      <w:bookmarkEnd w:id="0"/>
    </w:p>
    <w:p w14:paraId="15B5B32D" w14:textId="77777777" w:rsidR="008B3FFD" w:rsidRPr="00087644" w:rsidRDefault="008B3FFD" w:rsidP="008B3FFD">
      <w:pPr>
        <w:pStyle w:val="ATHeading2"/>
      </w:pPr>
      <w:bookmarkStart w:id="1" w:name="title"/>
      <w:r w:rsidRPr="00087644">
        <w:t>Simplificação de determinados requisitos e procedimentos aplicáveis aos produtos químicos</w:t>
      </w:r>
      <w:bookmarkEnd w:id="1"/>
    </w:p>
    <w:p w14:paraId="76A784E2" w14:textId="77777777" w:rsidR="008B3FFD" w:rsidRPr="00087644" w:rsidRDefault="008B3FFD" w:rsidP="008B3FFD">
      <w:pPr>
        <w:rPr>
          <w:i/>
          <w:vanish/>
        </w:rPr>
      </w:pPr>
      <w:r w:rsidRPr="00087644">
        <w:rPr>
          <w:i/>
        </w:rPr>
        <w:fldChar w:fldCharType="begin"/>
      </w:r>
      <w:r w:rsidRPr="00087644">
        <w:rPr>
          <w:i/>
        </w:rPr>
        <w:instrText xml:space="preserve"> TC"(</w:instrText>
      </w:r>
      <w:bookmarkStart w:id="2" w:name="DocNumber"/>
      <w:r w:rsidRPr="00087644">
        <w:rPr>
          <w:i/>
        </w:rPr>
        <w:instrText>A10-0104/2026</w:instrText>
      </w:r>
      <w:bookmarkEnd w:id="2"/>
      <w:r w:rsidRPr="00087644">
        <w:rPr>
          <w:i/>
        </w:rPr>
        <w:instrText xml:space="preserve"> - Relatores: </w:instrText>
      </w:r>
      <w:proofErr w:type="spellStart"/>
      <w:r w:rsidRPr="00087644">
        <w:rPr>
          <w:i/>
        </w:rPr>
        <w:instrText>Dimitris</w:instrText>
      </w:r>
      <w:proofErr w:type="spellEnd"/>
      <w:r w:rsidRPr="00087644">
        <w:rPr>
          <w:i/>
        </w:rPr>
        <w:instrText xml:space="preserve"> </w:instrText>
      </w:r>
      <w:proofErr w:type="spellStart"/>
      <w:r w:rsidRPr="00087644">
        <w:rPr>
          <w:i/>
        </w:rPr>
        <w:instrText>Tsiodras</w:instrText>
      </w:r>
      <w:proofErr w:type="spellEnd"/>
      <w:r w:rsidRPr="00087644">
        <w:rPr>
          <w:i/>
        </w:rPr>
        <w:instrText xml:space="preserve">, Piotr </w:instrText>
      </w:r>
      <w:proofErr w:type="spellStart"/>
      <w:r w:rsidRPr="00087644">
        <w:rPr>
          <w:i/>
        </w:rPr>
        <w:instrText>Müller</w:instrText>
      </w:r>
      <w:proofErr w:type="spellEnd"/>
      <w:r w:rsidRPr="00087644">
        <w:rPr>
          <w:i/>
        </w:rPr>
        <w:instrText xml:space="preserve">)"\l3 \n&gt; \* MERGEFORMAT </w:instrText>
      </w:r>
      <w:r w:rsidRPr="00087644">
        <w:rPr>
          <w:i/>
        </w:rPr>
        <w:fldChar w:fldCharType="end"/>
      </w:r>
    </w:p>
    <w:p w14:paraId="13A1D381" w14:textId="77777777" w:rsidR="008B3FFD" w:rsidRPr="00087644" w:rsidRDefault="008B3FFD" w:rsidP="008B3FFD">
      <w:pPr>
        <w:rPr>
          <w:vanish/>
        </w:rPr>
      </w:pPr>
      <w:bookmarkStart w:id="3" w:name="Commission"/>
      <w:r w:rsidRPr="00087644">
        <w:rPr>
          <w:vanish/>
        </w:rPr>
        <w:t>Comissão do Ambiente, do Clima e da Segurança Alimentar, Comissão do Mercado Interno e da Proteção dos Consumidores</w:t>
      </w:r>
      <w:bookmarkEnd w:id="3"/>
    </w:p>
    <w:p w14:paraId="423BCA04" w14:textId="77777777" w:rsidR="008B3FFD" w:rsidRPr="00087644" w:rsidRDefault="008B3FFD" w:rsidP="008B3FFD">
      <w:pPr>
        <w:rPr>
          <w:vanish/>
        </w:rPr>
      </w:pPr>
      <w:bookmarkStart w:id="4" w:name="PE"/>
      <w:r w:rsidRPr="00087644">
        <w:rPr>
          <w:vanish/>
        </w:rPr>
        <w:t>PE783.026</w:t>
      </w:r>
      <w:bookmarkEnd w:id="4"/>
    </w:p>
    <w:p w14:paraId="45F8B442" w14:textId="53B1A20C" w:rsidR="008B3FFD" w:rsidRPr="00087644" w:rsidRDefault="004D1983" w:rsidP="008B3FFD">
      <w:pPr>
        <w:pStyle w:val="ATHeading3"/>
      </w:pPr>
      <w:bookmarkStart w:id="5" w:name="Sujet"/>
      <w:r w:rsidRPr="00087644">
        <w:t>Alterações aprovadas pelo</w:t>
      </w:r>
      <w:r w:rsidR="008B3FFD" w:rsidRPr="00087644">
        <w:t xml:space="preserve"> Parlamento Europeu, </w:t>
      </w:r>
      <w:r w:rsidRPr="00087644">
        <w:t xml:space="preserve">em </w:t>
      </w:r>
      <w:r w:rsidR="009E1DF1" w:rsidRPr="00087644">
        <w:t xml:space="preserve">29 </w:t>
      </w:r>
      <w:r w:rsidR="008B3FFD" w:rsidRPr="00087644">
        <w:t xml:space="preserve">de </w:t>
      </w:r>
      <w:r w:rsidR="009E1DF1" w:rsidRPr="00087644">
        <w:t>abril</w:t>
      </w:r>
      <w:r w:rsidR="008B3FFD" w:rsidRPr="00087644">
        <w:t xml:space="preserve"> de 2026, sobre a proposta de regulamento do Parlamento Europeu e do Conselho que altera os Regulamentos (CE) n.º 1272/2008, (CE) n.º 1223/2009 e (UE) 2019/1009 no que diz respeito à simplificação de determinados requisitos e procedimentos aplicáveis aos produtos químicos</w:t>
      </w:r>
      <w:bookmarkEnd w:id="5"/>
      <w:r w:rsidR="008B3FFD" w:rsidRPr="00087644">
        <w:t xml:space="preserve"> </w:t>
      </w:r>
      <w:bookmarkStart w:id="6" w:name="References"/>
      <w:r w:rsidR="008B3FFD" w:rsidRPr="00087644">
        <w:t>(COM(2025)0531 – C10-0143/2025 – 2025/0531(COD))</w:t>
      </w:r>
      <w:bookmarkEnd w:id="6"/>
      <w:r w:rsidRPr="00087644">
        <w:rPr>
          <w:rStyle w:val="FootnoteReference"/>
        </w:rPr>
        <w:footnoteReference w:id="1"/>
      </w:r>
    </w:p>
    <w:p w14:paraId="7F8AE0ED" w14:textId="77777777" w:rsidR="004D2B5D" w:rsidRPr="00087644" w:rsidRDefault="004D2B5D" w:rsidP="004D2B5D">
      <w:pPr>
        <w:pStyle w:val="NormalBold"/>
      </w:pPr>
      <w:r w:rsidRPr="00087644">
        <w:t>(Processo legislativo ordinário: primeira leitura)</w:t>
      </w:r>
    </w:p>
    <w:p w14:paraId="7B7BF959" w14:textId="77777777" w:rsidR="004D1983" w:rsidRPr="00087644" w:rsidRDefault="004D1983" w:rsidP="004D2B5D">
      <w:pPr>
        <w:pStyle w:val="AmNumberTabs"/>
        <w:sectPr w:rsidR="004D1983" w:rsidRPr="00087644" w:rsidSect="006D056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EDE2D06" w14:textId="77777777" w:rsidR="004D2B5D" w:rsidRPr="00087644" w:rsidRDefault="004D2B5D" w:rsidP="004D2B5D">
      <w:pPr>
        <w:pStyle w:val="AmNumberTabs"/>
      </w:pPr>
      <w:r w:rsidRPr="00087644">
        <w:lastRenderedPageBreak/>
        <w:t>Alteração</w:t>
      </w:r>
      <w:r w:rsidRPr="00087644">
        <w:tab/>
      </w:r>
      <w:r w:rsidRPr="00087644">
        <w:tab/>
        <w:t>1</w:t>
      </w:r>
    </w:p>
    <w:p w14:paraId="4C71EF35" w14:textId="77777777" w:rsidR="004D2B5D" w:rsidRPr="00087644" w:rsidRDefault="004D2B5D" w:rsidP="004D2B5D">
      <w:pPr>
        <w:pStyle w:val="NormalBold"/>
      </w:pPr>
      <w:r w:rsidRPr="00087644">
        <w:t>Proposta de regulamento</w:t>
      </w:r>
    </w:p>
    <w:p w14:paraId="49F2AEA7" w14:textId="77777777" w:rsidR="004D2B5D" w:rsidRPr="00087644" w:rsidRDefault="004D2B5D" w:rsidP="004D2B5D">
      <w:pPr>
        <w:pStyle w:val="NormalBold"/>
      </w:pPr>
      <w:r w:rsidRPr="00087644">
        <w:t>Considerando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22BBCF8E" w14:textId="77777777" w:rsidTr="00D063A2">
        <w:trPr>
          <w:trHeight w:val="240"/>
          <w:jc w:val="center"/>
        </w:trPr>
        <w:tc>
          <w:tcPr>
            <w:tcW w:w="9752" w:type="dxa"/>
            <w:gridSpan w:val="2"/>
            <w:tcBorders>
              <w:top w:val="nil"/>
              <w:left w:val="nil"/>
              <w:bottom w:val="nil"/>
              <w:right w:val="nil"/>
            </w:tcBorders>
          </w:tcPr>
          <w:p w14:paraId="7E2313CE" w14:textId="77777777" w:rsidR="004D2B5D" w:rsidRPr="00087644" w:rsidRDefault="004D2B5D" w:rsidP="00D063A2"/>
        </w:tc>
      </w:tr>
      <w:tr w:rsidR="004D2B5D" w:rsidRPr="00087644" w14:paraId="68368753" w14:textId="77777777" w:rsidTr="00D063A2">
        <w:trPr>
          <w:trHeight w:val="240"/>
          <w:jc w:val="center"/>
        </w:trPr>
        <w:tc>
          <w:tcPr>
            <w:tcW w:w="4876" w:type="dxa"/>
            <w:tcBorders>
              <w:top w:val="nil"/>
              <w:left w:val="nil"/>
              <w:bottom w:val="nil"/>
              <w:right w:val="nil"/>
            </w:tcBorders>
            <w:hideMark/>
          </w:tcPr>
          <w:p w14:paraId="1A164F08"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64E2B494" w14:textId="77777777" w:rsidR="004D2B5D" w:rsidRPr="00087644" w:rsidRDefault="004D2B5D" w:rsidP="00D063A2">
            <w:pPr>
              <w:pStyle w:val="AmColumnHeading"/>
            </w:pPr>
            <w:r w:rsidRPr="00087644">
              <w:t>Alteração</w:t>
            </w:r>
          </w:p>
        </w:tc>
      </w:tr>
      <w:tr w:rsidR="004D2B5D" w:rsidRPr="00087644" w14:paraId="1C5B58A7" w14:textId="77777777" w:rsidTr="00D063A2">
        <w:trPr>
          <w:jc w:val="center"/>
        </w:trPr>
        <w:tc>
          <w:tcPr>
            <w:tcW w:w="4876" w:type="dxa"/>
            <w:tcBorders>
              <w:top w:val="nil"/>
              <w:left w:val="nil"/>
              <w:bottom w:val="nil"/>
              <w:right w:val="nil"/>
            </w:tcBorders>
            <w:hideMark/>
          </w:tcPr>
          <w:p w14:paraId="0EF27B22" w14:textId="77777777" w:rsidR="004D2B5D" w:rsidRPr="00087644" w:rsidRDefault="004D2B5D" w:rsidP="00D063A2">
            <w:pPr>
              <w:pStyle w:val="Normal6a"/>
            </w:pPr>
            <w:r w:rsidRPr="00087644">
              <w:t>(2)</w:t>
            </w:r>
            <w:r w:rsidRPr="00087644">
              <w:tab/>
              <w:t xml:space="preserve">As conclusões do relatório </w:t>
            </w:r>
            <w:proofErr w:type="spellStart"/>
            <w:r w:rsidRPr="00087644">
              <w:t>Draghi</w:t>
            </w:r>
            <w:proofErr w:type="spellEnd"/>
            <w:r w:rsidRPr="00087644">
              <w:t xml:space="preserve"> de 2024</w:t>
            </w:r>
            <w:r w:rsidRPr="00087644">
              <w:rPr>
                <w:vertAlign w:val="superscript"/>
              </w:rPr>
              <w:t>2</w:t>
            </w:r>
            <w:r w:rsidRPr="00087644">
              <w:t xml:space="preserve"> indicaram que o número e a complexidade crescentes das regras correm o risco de limitar a margem de manobra das empresas da União e de as impedir de se manterem competitivas. Neste contexto, importa simplificar determinados procedimentos e requisitos estabelecidos nos Regulamentos (CE) n.º 1272/2008</w:t>
            </w:r>
            <w:r w:rsidRPr="00087644">
              <w:rPr>
                <w:vertAlign w:val="superscript"/>
              </w:rPr>
              <w:t>3</w:t>
            </w:r>
            <w:r w:rsidRPr="00087644">
              <w:t>, (CE) n.º 1223/2009</w:t>
            </w:r>
            <w:r w:rsidRPr="00087644">
              <w:rPr>
                <w:vertAlign w:val="superscript"/>
              </w:rPr>
              <w:t>4</w:t>
            </w:r>
            <w:r w:rsidRPr="00087644">
              <w:t xml:space="preserve"> e (UE) 2019/1009</w:t>
            </w:r>
            <w:r w:rsidRPr="00087644">
              <w:rPr>
                <w:vertAlign w:val="superscript"/>
              </w:rPr>
              <w:t>5</w:t>
            </w:r>
            <w:r w:rsidRPr="00087644">
              <w:t xml:space="preserve"> do Parlamento Europeu e do Conselho e eliminar os encargos regulamentares desnecessários, </w:t>
            </w:r>
            <w:proofErr w:type="gramStart"/>
            <w:r w:rsidRPr="00087644">
              <w:t xml:space="preserve">mantendo </w:t>
            </w:r>
            <w:r w:rsidRPr="00087644">
              <w:rPr>
                <w:b/>
                <w:i/>
              </w:rPr>
              <w:t>o mesmo</w:t>
            </w:r>
            <w:proofErr w:type="gramEnd"/>
            <w:r w:rsidRPr="00087644">
              <w:rPr>
                <w:b/>
                <w:i/>
              </w:rPr>
              <w:t xml:space="preserve"> nível</w:t>
            </w:r>
            <w:r w:rsidRPr="00087644">
              <w:t xml:space="preserve"> de proteção da saúde humana e do ambiente.</w:t>
            </w:r>
          </w:p>
        </w:tc>
        <w:tc>
          <w:tcPr>
            <w:tcW w:w="4876" w:type="dxa"/>
            <w:tcBorders>
              <w:top w:val="nil"/>
              <w:left w:val="nil"/>
              <w:bottom w:val="nil"/>
              <w:right w:val="nil"/>
            </w:tcBorders>
            <w:hideMark/>
          </w:tcPr>
          <w:p w14:paraId="076A841F" w14:textId="77777777" w:rsidR="004D2B5D" w:rsidRPr="00087644" w:rsidRDefault="004D2B5D" w:rsidP="00D063A2">
            <w:pPr>
              <w:pStyle w:val="Normal6a"/>
            </w:pPr>
            <w:r w:rsidRPr="00087644">
              <w:t>(2)</w:t>
            </w:r>
            <w:r w:rsidRPr="00087644">
              <w:tab/>
              <w:t xml:space="preserve">As conclusões do relatório </w:t>
            </w:r>
            <w:proofErr w:type="spellStart"/>
            <w:r w:rsidRPr="00087644">
              <w:t>Draghi</w:t>
            </w:r>
            <w:proofErr w:type="spellEnd"/>
            <w:r w:rsidRPr="00087644">
              <w:t xml:space="preserve"> de 2024</w:t>
            </w:r>
            <w:r w:rsidRPr="00087644">
              <w:rPr>
                <w:vertAlign w:val="superscript"/>
              </w:rPr>
              <w:t>2</w:t>
            </w:r>
            <w:r w:rsidRPr="00087644">
              <w:t xml:space="preserve"> indicaram que o número e a complexidade crescentes das regras correm o risco de limitar a margem de manobra das empresas da União e de as impedir de se manterem competitivas. Neste contexto, importa simplificar determinados procedimentos e requisitos estabelecidos nos Regulamentos (CE) n.º 1272/2008</w:t>
            </w:r>
            <w:r w:rsidRPr="00087644">
              <w:rPr>
                <w:vertAlign w:val="superscript"/>
              </w:rPr>
              <w:t>3</w:t>
            </w:r>
            <w:r w:rsidRPr="00087644">
              <w:t>, (CE) n.º 1223/2009</w:t>
            </w:r>
            <w:r w:rsidRPr="00087644">
              <w:rPr>
                <w:vertAlign w:val="superscript"/>
              </w:rPr>
              <w:t>4</w:t>
            </w:r>
            <w:r w:rsidRPr="00087644">
              <w:t xml:space="preserve"> e (UE) 2019/1009</w:t>
            </w:r>
            <w:r w:rsidRPr="00087644">
              <w:rPr>
                <w:vertAlign w:val="superscript"/>
              </w:rPr>
              <w:t>5</w:t>
            </w:r>
            <w:r w:rsidRPr="00087644">
              <w:t xml:space="preserve"> do Parlamento Europeu e do Conselho e eliminar os encargos </w:t>
            </w:r>
            <w:r w:rsidRPr="00087644">
              <w:rPr>
                <w:b/>
                <w:i/>
              </w:rPr>
              <w:t>administrativos e</w:t>
            </w:r>
            <w:r w:rsidRPr="00087644">
              <w:t xml:space="preserve"> regulamentares desnecessários, mantendo </w:t>
            </w:r>
            <w:r w:rsidRPr="00087644">
              <w:rPr>
                <w:b/>
                <w:i/>
              </w:rPr>
              <w:t>um nível elevado</w:t>
            </w:r>
            <w:r w:rsidRPr="00087644">
              <w:t xml:space="preserve"> de proteção </w:t>
            </w:r>
            <w:r w:rsidRPr="00087644">
              <w:rPr>
                <w:b/>
                <w:i/>
              </w:rPr>
              <w:t>dos consumidores,</w:t>
            </w:r>
            <w:r w:rsidRPr="00087644">
              <w:t xml:space="preserve"> da saúde humana e do ambiente.</w:t>
            </w:r>
          </w:p>
        </w:tc>
      </w:tr>
      <w:tr w:rsidR="004D2B5D" w:rsidRPr="00087644" w14:paraId="60163388" w14:textId="77777777" w:rsidTr="00D063A2">
        <w:trPr>
          <w:jc w:val="center"/>
        </w:trPr>
        <w:tc>
          <w:tcPr>
            <w:tcW w:w="4876" w:type="dxa"/>
            <w:tcBorders>
              <w:top w:val="nil"/>
              <w:left w:val="nil"/>
              <w:bottom w:val="nil"/>
              <w:right w:val="nil"/>
            </w:tcBorders>
            <w:hideMark/>
          </w:tcPr>
          <w:p w14:paraId="7764CBC4" w14:textId="77777777" w:rsidR="004D2B5D" w:rsidRPr="00087644" w:rsidRDefault="004D2B5D" w:rsidP="00D063A2">
            <w:pPr>
              <w:pStyle w:val="Normal6a"/>
            </w:pPr>
            <w:r w:rsidRPr="00087644">
              <w:rPr>
                <w:b/>
                <w:i/>
              </w:rPr>
              <w:t>_________________</w:t>
            </w:r>
          </w:p>
        </w:tc>
        <w:tc>
          <w:tcPr>
            <w:tcW w:w="4876" w:type="dxa"/>
            <w:tcBorders>
              <w:top w:val="nil"/>
              <w:left w:val="nil"/>
              <w:bottom w:val="nil"/>
              <w:right w:val="nil"/>
            </w:tcBorders>
            <w:hideMark/>
          </w:tcPr>
          <w:p w14:paraId="70EA1AE2" w14:textId="77777777" w:rsidR="004D2B5D" w:rsidRPr="00087644" w:rsidRDefault="004D2B5D" w:rsidP="00D063A2">
            <w:pPr>
              <w:pStyle w:val="Normal6a"/>
            </w:pPr>
            <w:r w:rsidRPr="00087644">
              <w:rPr>
                <w:b/>
                <w:i/>
              </w:rPr>
              <w:t>_________________</w:t>
            </w:r>
          </w:p>
        </w:tc>
      </w:tr>
      <w:tr w:rsidR="004D2B5D" w:rsidRPr="00087644" w14:paraId="7971D926" w14:textId="77777777" w:rsidTr="00D063A2">
        <w:trPr>
          <w:jc w:val="center"/>
        </w:trPr>
        <w:tc>
          <w:tcPr>
            <w:tcW w:w="4876" w:type="dxa"/>
            <w:tcBorders>
              <w:top w:val="nil"/>
              <w:left w:val="nil"/>
              <w:bottom w:val="nil"/>
              <w:right w:val="nil"/>
            </w:tcBorders>
            <w:hideMark/>
          </w:tcPr>
          <w:p w14:paraId="4EC3C3BE" w14:textId="77777777" w:rsidR="004D2B5D" w:rsidRPr="00087644" w:rsidRDefault="004D2B5D" w:rsidP="00D063A2">
            <w:pPr>
              <w:pStyle w:val="Normal6a"/>
            </w:pPr>
            <w:r w:rsidRPr="00087644">
              <w:rPr>
                <w:vertAlign w:val="superscript"/>
              </w:rPr>
              <w:t>2</w:t>
            </w:r>
            <w:r w:rsidRPr="00087644">
              <w:t xml:space="preserve"> Relatório de </w:t>
            </w:r>
            <w:proofErr w:type="spellStart"/>
            <w:r w:rsidRPr="00087644">
              <w:t>Mario</w:t>
            </w:r>
            <w:proofErr w:type="spellEnd"/>
            <w:r w:rsidRPr="00087644">
              <w:t xml:space="preserve"> </w:t>
            </w:r>
            <w:proofErr w:type="spellStart"/>
            <w:r w:rsidRPr="00087644">
              <w:t>Draghi</w:t>
            </w:r>
            <w:proofErr w:type="spellEnd"/>
            <w:r w:rsidRPr="00087644">
              <w:t>, de 2024, sobre o futuro da competitividade europeia: https://commission.europa.eu/topics/eu</w:t>
            </w:r>
            <w:r w:rsidRPr="00087644">
              <w:noBreakHyphen/>
              <w:t>competitiveness/draghi</w:t>
            </w:r>
            <w:r w:rsidRPr="00087644">
              <w:noBreakHyphen/>
              <w:t>report_pt#paragraph_47059</w:t>
            </w:r>
          </w:p>
        </w:tc>
        <w:tc>
          <w:tcPr>
            <w:tcW w:w="4876" w:type="dxa"/>
            <w:tcBorders>
              <w:top w:val="nil"/>
              <w:left w:val="nil"/>
              <w:bottom w:val="nil"/>
              <w:right w:val="nil"/>
            </w:tcBorders>
            <w:hideMark/>
          </w:tcPr>
          <w:p w14:paraId="473939F9" w14:textId="77777777" w:rsidR="004D2B5D" w:rsidRPr="00087644" w:rsidRDefault="004D2B5D" w:rsidP="00D063A2">
            <w:pPr>
              <w:pStyle w:val="Normal6a"/>
            </w:pPr>
            <w:r w:rsidRPr="00087644">
              <w:rPr>
                <w:vertAlign w:val="superscript"/>
              </w:rPr>
              <w:t>2</w:t>
            </w:r>
            <w:r w:rsidRPr="00087644">
              <w:t xml:space="preserve"> Relatório de </w:t>
            </w:r>
            <w:proofErr w:type="spellStart"/>
            <w:r w:rsidRPr="00087644">
              <w:t>Mario</w:t>
            </w:r>
            <w:proofErr w:type="spellEnd"/>
            <w:r w:rsidRPr="00087644">
              <w:t xml:space="preserve"> </w:t>
            </w:r>
            <w:proofErr w:type="spellStart"/>
            <w:r w:rsidRPr="00087644">
              <w:t>Draghi</w:t>
            </w:r>
            <w:proofErr w:type="spellEnd"/>
            <w:r w:rsidRPr="00087644">
              <w:t>, de 2024, sobre o futuro da competitividade europeia: https://commission.europa.eu/topics/eu</w:t>
            </w:r>
            <w:r w:rsidRPr="00087644">
              <w:noBreakHyphen/>
              <w:t>competitiveness/draghi</w:t>
            </w:r>
            <w:r w:rsidRPr="00087644">
              <w:noBreakHyphen/>
              <w:t>report_pt#paragraph_47059</w:t>
            </w:r>
          </w:p>
        </w:tc>
      </w:tr>
      <w:tr w:rsidR="004D2B5D" w:rsidRPr="00087644" w14:paraId="390C4775" w14:textId="77777777" w:rsidTr="00D063A2">
        <w:trPr>
          <w:jc w:val="center"/>
        </w:trPr>
        <w:tc>
          <w:tcPr>
            <w:tcW w:w="4876" w:type="dxa"/>
            <w:tcBorders>
              <w:top w:val="nil"/>
              <w:left w:val="nil"/>
              <w:bottom w:val="nil"/>
              <w:right w:val="nil"/>
            </w:tcBorders>
            <w:hideMark/>
          </w:tcPr>
          <w:p w14:paraId="1FA482E3" w14:textId="4DE7D705" w:rsidR="004D2B5D" w:rsidRPr="00087644" w:rsidRDefault="004D2B5D" w:rsidP="00D063A2">
            <w:pPr>
              <w:pStyle w:val="Normal6a"/>
            </w:pPr>
            <w:r w:rsidRPr="00087644">
              <w:rPr>
                <w:vertAlign w:val="superscript"/>
              </w:rPr>
              <w:t>3</w:t>
            </w:r>
            <w:r w:rsidRPr="00087644">
              <w:t xml:space="preserve"> Regulamento (CE) n.º 1272/2008 do Parlamento Europeu e do Conselho, de 16 de dezembro de 2008, relativo à classificação, rotulagem e embalagem de substâncias e misturas, que altera e revoga as Diretivas 67/548/CEE e 1999/45/CE, e altera o Regulamento (CE) n.º 1907/2006 (JO L 353 de 31.12.2008, p. 1, ELI: </w:t>
            </w:r>
            <w:hyperlink r:id="rId9" w:history="1">
              <w:r w:rsidR="000C7B72" w:rsidRPr="00087644">
                <w:rPr>
                  <w:rStyle w:val="Hyperlink"/>
                </w:rPr>
                <w:t>http://data.europa.eu/eli/reg/2008/1272/oj</w:t>
              </w:r>
            </w:hyperlink>
            <w:r w:rsidRPr="00087644">
              <w:t>).</w:t>
            </w:r>
          </w:p>
        </w:tc>
        <w:tc>
          <w:tcPr>
            <w:tcW w:w="4876" w:type="dxa"/>
            <w:tcBorders>
              <w:top w:val="nil"/>
              <w:left w:val="nil"/>
              <w:bottom w:val="nil"/>
              <w:right w:val="nil"/>
            </w:tcBorders>
            <w:hideMark/>
          </w:tcPr>
          <w:p w14:paraId="053E1084" w14:textId="3344F617" w:rsidR="004D2B5D" w:rsidRPr="00087644" w:rsidRDefault="004D2B5D" w:rsidP="00D063A2">
            <w:pPr>
              <w:pStyle w:val="Normal6a"/>
            </w:pPr>
            <w:r w:rsidRPr="00087644">
              <w:rPr>
                <w:vertAlign w:val="superscript"/>
              </w:rPr>
              <w:t>3</w:t>
            </w:r>
            <w:r w:rsidRPr="00087644">
              <w:t xml:space="preserve"> Regulamento (CE) n.º 1272/2008 do Parlamento Europeu e do Conselho, de 16 de dezembro de 2008, relativo à classificação, rotulagem e embalagem de substâncias e misturas, que altera e revoga as Diretivas 67/548/CEE e 1999/45/CE, e altera o Regulamento (CE) n.º 1907/2006 (JO L 353 de 31.12.2008, p. 1, ELI: </w:t>
            </w:r>
            <w:hyperlink r:id="rId10" w:history="1">
              <w:r w:rsidR="000C7B72" w:rsidRPr="00087644">
                <w:rPr>
                  <w:rStyle w:val="Hyperlink"/>
                </w:rPr>
                <w:t>http://data.europa.eu/eli/reg/2008/1272/oj</w:t>
              </w:r>
            </w:hyperlink>
            <w:r w:rsidRPr="00087644">
              <w:t>).</w:t>
            </w:r>
          </w:p>
        </w:tc>
      </w:tr>
      <w:tr w:rsidR="004D2B5D" w:rsidRPr="00087644" w14:paraId="33360A01" w14:textId="77777777" w:rsidTr="00D063A2">
        <w:trPr>
          <w:jc w:val="center"/>
        </w:trPr>
        <w:tc>
          <w:tcPr>
            <w:tcW w:w="4876" w:type="dxa"/>
            <w:tcBorders>
              <w:top w:val="nil"/>
              <w:left w:val="nil"/>
              <w:bottom w:val="nil"/>
              <w:right w:val="nil"/>
            </w:tcBorders>
            <w:hideMark/>
          </w:tcPr>
          <w:p w14:paraId="271E337D" w14:textId="441F49B1" w:rsidR="004D2B5D" w:rsidRPr="00087644" w:rsidRDefault="004D2B5D" w:rsidP="00D063A2">
            <w:pPr>
              <w:pStyle w:val="Normal6a"/>
            </w:pPr>
            <w:r w:rsidRPr="00087644">
              <w:rPr>
                <w:vertAlign w:val="superscript"/>
              </w:rPr>
              <w:t>4</w:t>
            </w:r>
            <w:r w:rsidRPr="00087644">
              <w:t xml:space="preserve"> Regulamento (CE) n.º 1223/2009 do Parlamento Europeu e do Conselho, de 30 de novembro de 2009, relativo aos produtos cosméticos </w:t>
            </w:r>
            <w:r w:rsidRPr="00087644">
              <w:rPr>
                <w:b/>
                <w:bCs/>
                <w:i/>
                <w:iCs/>
              </w:rPr>
              <w:t>(reformulação)</w:t>
            </w:r>
            <w:r w:rsidRPr="00087644">
              <w:t xml:space="preserve"> (JO L 342 de 22.12.2009, p. 59, ELI: </w:t>
            </w:r>
            <w:hyperlink r:id="rId11" w:history="1">
              <w:r w:rsidR="000C7B72" w:rsidRPr="00087644">
                <w:rPr>
                  <w:rStyle w:val="Hyperlink"/>
                </w:rPr>
                <w:t>http://data.europa.eu/eli/reg/2009/1223/oj</w:t>
              </w:r>
            </w:hyperlink>
            <w:r w:rsidRPr="00087644">
              <w:t>).</w:t>
            </w:r>
          </w:p>
        </w:tc>
        <w:tc>
          <w:tcPr>
            <w:tcW w:w="4876" w:type="dxa"/>
            <w:tcBorders>
              <w:top w:val="nil"/>
              <w:left w:val="nil"/>
              <w:bottom w:val="nil"/>
              <w:right w:val="nil"/>
            </w:tcBorders>
            <w:hideMark/>
          </w:tcPr>
          <w:p w14:paraId="4CAA1009" w14:textId="3AEDFCD8" w:rsidR="004D2B5D" w:rsidRPr="00087644" w:rsidRDefault="004D2B5D" w:rsidP="00D063A2">
            <w:pPr>
              <w:pStyle w:val="Normal6a"/>
            </w:pPr>
            <w:r w:rsidRPr="00087644">
              <w:rPr>
                <w:vertAlign w:val="superscript"/>
              </w:rPr>
              <w:t>4</w:t>
            </w:r>
            <w:r w:rsidRPr="00087644">
              <w:t xml:space="preserve"> Regulamento (CE) n.º 1223/2009 do Parlamento Europeu e do Conselho, de 30 de novembro de 2009, relativo aos produtos cosméticos (JO L 342 de 22.12.2009, p. 59, ELI: </w:t>
            </w:r>
            <w:hyperlink r:id="rId12" w:history="1">
              <w:r w:rsidR="000C7B72" w:rsidRPr="00087644">
                <w:rPr>
                  <w:rStyle w:val="Hyperlink"/>
                </w:rPr>
                <w:t>http://data.europa.eu/eli/reg/2009/1223/oj</w:t>
              </w:r>
            </w:hyperlink>
            <w:r w:rsidRPr="00087644">
              <w:t>).</w:t>
            </w:r>
          </w:p>
        </w:tc>
      </w:tr>
      <w:tr w:rsidR="004D2B5D" w:rsidRPr="00087644" w14:paraId="1829FDCE" w14:textId="77777777" w:rsidTr="00D063A2">
        <w:trPr>
          <w:jc w:val="center"/>
        </w:trPr>
        <w:tc>
          <w:tcPr>
            <w:tcW w:w="4876" w:type="dxa"/>
            <w:tcBorders>
              <w:top w:val="nil"/>
              <w:left w:val="nil"/>
              <w:bottom w:val="nil"/>
              <w:right w:val="nil"/>
            </w:tcBorders>
            <w:hideMark/>
          </w:tcPr>
          <w:p w14:paraId="3B2A8EF2" w14:textId="1DE4C12C" w:rsidR="004D2B5D" w:rsidRPr="00087644" w:rsidRDefault="004D2B5D" w:rsidP="00D063A2">
            <w:pPr>
              <w:pStyle w:val="Normal6a"/>
            </w:pPr>
            <w:r w:rsidRPr="00087644">
              <w:rPr>
                <w:vertAlign w:val="superscript"/>
              </w:rPr>
              <w:t>5</w:t>
            </w:r>
            <w:r w:rsidRPr="00087644">
              <w:t xml:space="preserve"> Regulamento (UE) 2019/1009 do Parlamento Europeu e do Conselho, de 5 de junho de 2019, que estabelece regras relativas à disponibilização no mercado da UE de produtos fertilizantes e que altera os </w:t>
            </w:r>
            <w:r w:rsidRPr="00087644">
              <w:lastRenderedPageBreak/>
              <w:t xml:space="preserve">Regulamentos (CE) n.º 1069/2009 e (CE) n.º 1107/2009 e revoga o Regulamento (CE) n.º 2003/2003 (JO L 170 de 25.6.2019, p. 1, ELI: </w:t>
            </w:r>
            <w:hyperlink r:id="rId13" w:history="1">
              <w:r w:rsidR="000C7B72" w:rsidRPr="00087644">
                <w:rPr>
                  <w:rStyle w:val="Hyperlink"/>
                </w:rPr>
                <w:t>http://data.europa.eu/eli/reg/2019/1009/oj</w:t>
              </w:r>
            </w:hyperlink>
            <w:r w:rsidRPr="00087644">
              <w:t>).</w:t>
            </w:r>
          </w:p>
        </w:tc>
        <w:tc>
          <w:tcPr>
            <w:tcW w:w="4876" w:type="dxa"/>
            <w:tcBorders>
              <w:top w:val="nil"/>
              <w:left w:val="nil"/>
              <w:bottom w:val="nil"/>
              <w:right w:val="nil"/>
            </w:tcBorders>
            <w:hideMark/>
          </w:tcPr>
          <w:p w14:paraId="6ABAB7CC" w14:textId="2FBFC576" w:rsidR="004D2B5D" w:rsidRPr="00087644" w:rsidRDefault="004D2B5D" w:rsidP="00D063A2">
            <w:pPr>
              <w:pStyle w:val="Normal6a"/>
            </w:pPr>
            <w:r w:rsidRPr="00087644">
              <w:rPr>
                <w:vertAlign w:val="superscript"/>
              </w:rPr>
              <w:lastRenderedPageBreak/>
              <w:t>5</w:t>
            </w:r>
            <w:r w:rsidRPr="00087644">
              <w:t xml:space="preserve"> Regulamento (UE) 2019/1009 do Parlamento Europeu e do Conselho, de 5 de junho de 2019, que estabelece regras relativas à disponibilização no mercado da UE de produtos fertilizantes e que altera os </w:t>
            </w:r>
            <w:r w:rsidRPr="00087644">
              <w:lastRenderedPageBreak/>
              <w:t xml:space="preserve">Regulamentos (CE) n.º 1069/2009 e (CE) n.º 1107/2009 e revoga o Regulamento (CE) n.º 2003/2003 (JO L 170 de 25.6.2019, p. 1, ELI: </w:t>
            </w:r>
            <w:hyperlink r:id="rId14" w:history="1">
              <w:r w:rsidR="000C7B72" w:rsidRPr="00087644">
                <w:rPr>
                  <w:rStyle w:val="Hyperlink"/>
                </w:rPr>
                <w:t>http://data.europa.eu/eli/reg/2019/1009/oj</w:t>
              </w:r>
            </w:hyperlink>
            <w:r w:rsidRPr="00087644">
              <w:t>).</w:t>
            </w:r>
          </w:p>
        </w:tc>
      </w:tr>
    </w:tbl>
    <w:p w14:paraId="1DFA8282" w14:textId="77777777" w:rsidR="004D2B5D" w:rsidRPr="00087644" w:rsidRDefault="004D2B5D" w:rsidP="004D2B5D"/>
    <w:p w14:paraId="2E6D7152" w14:textId="77777777" w:rsidR="004D2B5D" w:rsidRPr="00087644" w:rsidRDefault="004D2B5D" w:rsidP="004D2B5D">
      <w:pPr>
        <w:pStyle w:val="AmNumberTabs"/>
      </w:pPr>
      <w:r w:rsidRPr="00087644">
        <w:t>Alteração</w:t>
      </w:r>
      <w:r w:rsidRPr="00087644">
        <w:tab/>
      </w:r>
      <w:r w:rsidRPr="00087644">
        <w:tab/>
        <w:t>2</w:t>
      </w:r>
    </w:p>
    <w:p w14:paraId="37A12431" w14:textId="77777777" w:rsidR="004D2B5D" w:rsidRPr="00087644" w:rsidRDefault="004D2B5D" w:rsidP="004D2B5D">
      <w:pPr>
        <w:pStyle w:val="NormalBold"/>
      </w:pPr>
      <w:r w:rsidRPr="00087644">
        <w:t>Proposta de regulamento</w:t>
      </w:r>
    </w:p>
    <w:p w14:paraId="3BF637A1" w14:textId="77777777" w:rsidR="004D2B5D" w:rsidRPr="00087644" w:rsidRDefault="004D2B5D" w:rsidP="004D2B5D">
      <w:pPr>
        <w:pStyle w:val="NormalBold"/>
      </w:pPr>
      <w:r w:rsidRPr="00087644">
        <w:t>Considerando 2</w:t>
      </w:r>
      <w:r w:rsidRPr="00087644">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5787F516" w14:textId="77777777" w:rsidTr="00D063A2">
        <w:trPr>
          <w:trHeight w:val="240"/>
          <w:jc w:val="center"/>
        </w:trPr>
        <w:tc>
          <w:tcPr>
            <w:tcW w:w="9752" w:type="dxa"/>
            <w:gridSpan w:val="2"/>
            <w:tcBorders>
              <w:top w:val="nil"/>
              <w:left w:val="nil"/>
              <w:bottom w:val="nil"/>
              <w:right w:val="nil"/>
            </w:tcBorders>
          </w:tcPr>
          <w:p w14:paraId="6FC0EE6E" w14:textId="77777777" w:rsidR="004D2B5D" w:rsidRPr="00087644" w:rsidRDefault="004D2B5D" w:rsidP="00D063A2"/>
        </w:tc>
      </w:tr>
      <w:tr w:rsidR="004D2B5D" w:rsidRPr="00087644" w14:paraId="2ED0D21C" w14:textId="77777777" w:rsidTr="00D063A2">
        <w:trPr>
          <w:trHeight w:val="240"/>
          <w:jc w:val="center"/>
        </w:trPr>
        <w:tc>
          <w:tcPr>
            <w:tcW w:w="4876" w:type="dxa"/>
            <w:tcBorders>
              <w:top w:val="nil"/>
              <w:left w:val="nil"/>
              <w:bottom w:val="nil"/>
              <w:right w:val="nil"/>
            </w:tcBorders>
            <w:hideMark/>
          </w:tcPr>
          <w:p w14:paraId="15D2220A"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39709354" w14:textId="77777777" w:rsidR="004D2B5D" w:rsidRPr="00087644" w:rsidRDefault="004D2B5D" w:rsidP="00D063A2">
            <w:pPr>
              <w:pStyle w:val="AmColumnHeading"/>
            </w:pPr>
            <w:r w:rsidRPr="00087644">
              <w:t>Alteração</w:t>
            </w:r>
          </w:p>
        </w:tc>
      </w:tr>
      <w:tr w:rsidR="004D2B5D" w:rsidRPr="00087644" w14:paraId="45A39A2F" w14:textId="77777777" w:rsidTr="00D063A2">
        <w:trPr>
          <w:jc w:val="center"/>
        </w:trPr>
        <w:tc>
          <w:tcPr>
            <w:tcW w:w="4876" w:type="dxa"/>
            <w:tcBorders>
              <w:top w:val="nil"/>
              <w:left w:val="nil"/>
              <w:bottom w:val="nil"/>
              <w:right w:val="nil"/>
            </w:tcBorders>
          </w:tcPr>
          <w:p w14:paraId="1C1958C9" w14:textId="77777777" w:rsidR="004D2B5D" w:rsidRPr="00087644" w:rsidRDefault="004D2B5D" w:rsidP="00D063A2">
            <w:pPr>
              <w:pStyle w:val="Normal6a"/>
            </w:pPr>
          </w:p>
        </w:tc>
        <w:tc>
          <w:tcPr>
            <w:tcW w:w="4876" w:type="dxa"/>
            <w:tcBorders>
              <w:top w:val="nil"/>
              <w:left w:val="nil"/>
              <w:bottom w:val="nil"/>
              <w:right w:val="nil"/>
            </w:tcBorders>
            <w:hideMark/>
          </w:tcPr>
          <w:p w14:paraId="136FDDFB" w14:textId="77777777" w:rsidR="004D2B5D" w:rsidRPr="00087644" w:rsidRDefault="004D2B5D" w:rsidP="00D063A2">
            <w:pPr>
              <w:pStyle w:val="Normal6a"/>
            </w:pPr>
            <w:r w:rsidRPr="00087644">
              <w:rPr>
                <w:b/>
                <w:i/>
              </w:rPr>
              <w:t>(2</w:t>
            </w:r>
            <w:r w:rsidRPr="00087644">
              <w:rPr>
                <w:b/>
                <w:i/>
              </w:rPr>
              <w:noBreakHyphen/>
              <w:t>A)</w:t>
            </w:r>
            <w:r w:rsidRPr="00087644">
              <w:tab/>
            </w:r>
            <w:r w:rsidRPr="00087644">
              <w:rPr>
                <w:b/>
                <w:i/>
              </w:rPr>
              <w:t>Os produtos fertilizantes abrangidos pelo Regulamento (UE) 2019/1009 afetam diretamente os custos de produção, os rendimentos, a segurança e a competitividade dos agricultores, enquanto os requisitos regulamentares e os encargos administrativos para os produtores são transmitidos ao longo da cadeia de abastecimento. Uma vez que a competitividade da União depende, nomeadamente, da sua capacidade de inovação, o quadro normativo deve respaldar a inovação e o progresso técnico ao manter</w:t>
            </w:r>
            <w:r w:rsidRPr="00087644">
              <w:rPr>
                <w:b/>
                <w:i/>
              </w:rPr>
              <w:noBreakHyphen/>
              <w:t>se proporcionado e ao evitar encargos desnecessários, assegurando simultaneamente a consecução dos objetivos do referido regulamento.</w:t>
            </w:r>
          </w:p>
        </w:tc>
      </w:tr>
    </w:tbl>
    <w:p w14:paraId="305ED92A" w14:textId="77777777" w:rsidR="004D2B5D" w:rsidRPr="00087644" w:rsidRDefault="004D2B5D" w:rsidP="004D2B5D"/>
    <w:p w14:paraId="41BDDCCD" w14:textId="77777777" w:rsidR="004D2B5D" w:rsidRPr="00087644" w:rsidRDefault="004D2B5D" w:rsidP="004D2B5D">
      <w:pPr>
        <w:pStyle w:val="AmNumberTabs"/>
      </w:pPr>
      <w:r w:rsidRPr="00087644">
        <w:t>Alteração</w:t>
      </w:r>
      <w:r w:rsidRPr="00087644">
        <w:tab/>
      </w:r>
      <w:r w:rsidRPr="00087644">
        <w:tab/>
        <w:t>3</w:t>
      </w:r>
    </w:p>
    <w:p w14:paraId="2BCC7552" w14:textId="77777777" w:rsidR="004D2B5D" w:rsidRPr="00087644" w:rsidRDefault="004D2B5D" w:rsidP="004D2B5D">
      <w:pPr>
        <w:pStyle w:val="NormalBold"/>
      </w:pPr>
      <w:r w:rsidRPr="00087644">
        <w:t>Proposta de regulamento</w:t>
      </w:r>
    </w:p>
    <w:p w14:paraId="5DBDA441" w14:textId="77777777" w:rsidR="004D2B5D" w:rsidRPr="00087644" w:rsidRDefault="004D2B5D" w:rsidP="004D2B5D">
      <w:pPr>
        <w:pStyle w:val="NormalBold"/>
      </w:pPr>
      <w:r w:rsidRPr="00087644">
        <w:t>Considerando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44049AD5" w14:textId="77777777" w:rsidTr="00D063A2">
        <w:trPr>
          <w:trHeight w:val="240"/>
          <w:jc w:val="center"/>
        </w:trPr>
        <w:tc>
          <w:tcPr>
            <w:tcW w:w="9752" w:type="dxa"/>
            <w:gridSpan w:val="2"/>
            <w:tcBorders>
              <w:top w:val="nil"/>
              <w:left w:val="nil"/>
              <w:bottom w:val="nil"/>
              <w:right w:val="nil"/>
            </w:tcBorders>
          </w:tcPr>
          <w:p w14:paraId="4F5326CE" w14:textId="77777777" w:rsidR="004D2B5D" w:rsidRPr="00087644" w:rsidRDefault="004D2B5D" w:rsidP="00D063A2"/>
        </w:tc>
      </w:tr>
      <w:tr w:rsidR="004D2B5D" w:rsidRPr="00087644" w14:paraId="47424BAC" w14:textId="77777777" w:rsidTr="00D063A2">
        <w:trPr>
          <w:trHeight w:val="240"/>
          <w:jc w:val="center"/>
        </w:trPr>
        <w:tc>
          <w:tcPr>
            <w:tcW w:w="4876" w:type="dxa"/>
            <w:tcBorders>
              <w:top w:val="nil"/>
              <w:left w:val="nil"/>
              <w:bottom w:val="nil"/>
              <w:right w:val="nil"/>
            </w:tcBorders>
            <w:hideMark/>
          </w:tcPr>
          <w:p w14:paraId="7FB4A9BA"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50E0484B" w14:textId="77777777" w:rsidR="004D2B5D" w:rsidRPr="00087644" w:rsidRDefault="004D2B5D" w:rsidP="00D063A2">
            <w:pPr>
              <w:pStyle w:val="AmColumnHeading"/>
            </w:pPr>
            <w:r w:rsidRPr="00087644">
              <w:t>Alteração</w:t>
            </w:r>
          </w:p>
        </w:tc>
      </w:tr>
      <w:tr w:rsidR="004D2B5D" w:rsidRPr="00087644" w14:paraId="2CF84919" w14:textId="77777777" w:rsidTr="00D063A2">
        <w:trPr>
          <w:jc w:val="center"/>
        </w:trPr>
        <w:tc>
          <w:tcPr>
            <w:tcW w:w="4876" w:type="dxa"/>
            <w:tcBorders>
              <w:top w:val="nil"/>
              <w:left w:val="nil"/>
              <w:bottom w:val="nil"/>
              <w:right w:val="nil"/>
            </w:tcBorders>
            <w:hideMark/>
          </w:tcPr>
          <w:p w14:paraId="555DEAF0" w14:textId="77777777" w:rsidR="004D2B5D" w:rsidRPr="00087644" w:rsidRDefault="004D2B5D" w:rsidP="00D063A2">
            <w:pPr>
              <w:pStyle w:val="Normal6a"/>
            </w:pPr>
            <w:r w:rsidRPr="00087644">
              <w:t>(3)</w:t>
            </w:r>
            <w:r w:rsidRPr="00087644">
              <w:tab/>
              <w:t xml:space="preserve">Em consonância com o objetivo da Comissão de promover o princípio «digital como regra» para apoiar as transformações digitais, e a fim de facilitar a comunicação entre os </w:t>
            </w:r>
            <w:r w:rsidRPr="00087644">
              <w:rPr>
                <w:b/>
                <w:i/>
              </w:rPr>
              <w:t>operadores económicos</w:t>
            </w:r>
            <w:r w:rsidRPr="00087644">
              <w:t xml:space="preserve"> e as autoridades nacionais responsáveis pelo controlo do cumprimento, a indicação de um contacto digital no rótulo das substâncias e misturas perigosas </w:t>
            </w:r>
            <w:r w:rsidRPr="00087644">
              <w:rPr>
                <w:b/>
                <w:i/>
              </w:rPr>
              <w:t>é necessária</w:t>
            </w:r>
            <w:r w:rsidRPr="00087644">
              <w:t xml:space="preserve"> para melhorar a eficácia dos controlos oficiais e do controlo do cumprimento e agilizar o processo de </w:t>
            </w:r>
            <w:r w:rsidRPr="00087644">
              <w:lastRenderedPageBreak/>
              <w:t xml:space="preserve">deteção de substâncias e misturas que não cumpram os requisitos do Regulamento (CE) n.º 1272/2008. Atualmente, os fornecedores são obrigados a indicar o seu endereço e número de telefone no rótulo das embalagens de substâncias ou misturas perigosas, mas tal nem sempre é suficiente para garantir que as autoridades responsáveis pelo controlo do cumprimento possam estabelecer um contacto rápido. Por conseguinte, é necessário exigir que os fornecedores facultem um contacto digital, que </w:t>
            </w:r>
            <w:r w:rsidRPr="00087644">
              <w:rPr>
                <w:b/>
                <w:i/>
              </w:rPr>
              <w:t>poderá</w:t>
            </w:r>
            <w:r w:rsidRPr="00087644">
              <w:t xml:space="preserve"> ser qualquer canal de comunicação em linha atualizado e </w:t>
            </w:r>
            <w:r w:rsidRPr="00087644">
              <w:rPr>
                <w:b/>
                <w:i/>
              </w:rPr>
              <w:t>acessível</w:t>
            </w:r>
            <w:r w:rsidRPr="00087644">
              <w:t xml:space="preserve"> com o fornecedor.</w:t>
            </w:r>
          </w:p>
        </w:tc>
        <w:tc>
          <w:tcPr>
            <w:tcW w:w="4876" w:type="dxa"/>
            <w:tcBorders>
              <w:top w:val="nil"/>
              <w:left w:val="nil"/>
              <w:bottom w:val="nil"/>
              <w:right w:val="nil"/>
            </w:tcBorders>
            <w:hideMark/>
          </w:tcPr>
          <w:p w14:paraId="0F0AD0C8" w14:textId="77777777" w:rsidR="004D2B5D" w:rsidRPr="00087644" w:rsidRDefault="004D2B5D" w:rsidP="00D063A2">
            <w:pPr>
              <w:pStyle w:val="Normal6a"/>
            </w:pPr>
            <w:r w:rsidRPr="00087644">
              <w:lastRenderedPageBreak/>
              <w:t>(3)</w:t>
            </w:r>
            <w:r w:rsidRPr="00087644">
              <w:tab/>
              <w:t xml:space="preserve">Em consonância com o objetivo da Comissão de promover o princípio «digital como regra» para apoiar as transformações digitais, e a fim de facilitar a comunicação entre os </w:t>
            </w:r>
            <w:r w:rsidRPr="00087644">
              <w:rPr>
                <w:b/>
                <w:i/>
              </w:rPr>
              <w:t>fornecedores e os particulares e entre os fornecedores</w:t>
            </w:r>
            <w:r w:rsidRPr="00087644">
              <w:t xml:space="preserve"> e as autoridades nacionais responsáveis pelo controlo do cumprimento, a indicação de um contacto digital no rótulo das substâncias e misturas perigosas </w:t>
            </w:r>
            <w:r w:rsidRPr="00087644">
              <w:rPr>
                <w:b/>
                <w:i/>
              </w:rPr>
              <w:t>contribui</w:t>
            </w:r>
            <w:r w:rsidRPr="00087644">
              <w:t xml:space="preserve"> para melhorar a eficácia dos controlos oficiais</w:t>
            </w:r>
            <w:r w:rsidRPr="00087644">
              <w:rPr>
                <w:b/>
                <w:i/>
              </w:rPr>
              <w:t>, da rastreabilidade, da prestação de contas</w:t>
            </w:r>
            <w:r w:rsidRPr="00087644">
              <w:t xml:space="preserve"> e </w:t>
            </w:r>
            <w:r w:rsidRPr="00087644">
              <w:lastRenderedPageBreak/>
              <w:t>do controlo do cumprimento e agilizar o processo de deteção de substâncias e misturas que não cumpram os requisitos do Regulamento (CE) n.º 1272/2008</w:t>
            </w:r>
            <w:r w:rsidRPr="00087644">
              <w:rPr>
                <w:b/>
                <w:i/>
              </w:rPr>
              <w:t>, assim como para garantir que os consumidores disponham de um contacto rápido e direto em caso de emergência ou acidente</w:t>
            </w:r>
            <w:r w:rsidRPr="00087644">
              <w:t xml:space="preserve">. Atualmente, os fornecedores são obrigados a indicar o seu endereço e número de telefone no rótulo das embalagens de substâncias ou misturas perigosas, mas tal nem sempre é suficiente para garantir que as autoridades responsáveis pelo controlo do cumprimento possam estabelecer um contacto rápido. Por conseguinte, é necessário exigir que os fornecedores </w:t>
            </w:r>
            <w:r w:rsidRPr="00087644">
              <w:rPr>
                <w:b/>
                <w:i/>
              </w:rPr>
              <w:t>também</w:t>
            </w:r>
            <w:r w:rsidRPr="00087644">
              <w:t xml:space="preserve"> facultem um contacto digital, que </w:t>
            </w:r>
            <w:r w:rsidRPr="00087644">
              <w:rPr>
                <w:b/>
                <w:i/>
              </w:rPr>
              <w:t>deverá</w:t>
            </w:r>
            <w:r w:rsidRPr="00087644">
              <w:t xml:space="preserve"> ser qualquer canal de comunicação em linha atualizado</w:t>
            </w:r>
            <w:r w:rsidRPr="00087644">
              <w:rPr>
                <w:b/>
                <w:i/>
              </w:rPr>
              <w:t>, de acesso fácil</w:t>
            </w:r>
            <w:r w:rsidRPr="00087644">
              <w:t xml:space="preserve"> e </w:t>
            </w:r>
            <w:r w:rsidRPr="00087644">
              <w:rPr>
                <w:b/>
                <w:i/>
              </w:rPr>
              <w:t>gratuito</w:t>
            </w:r>
            <w:r w:rsidRPr="00087644">
              <w:t xml:space="preserve"> com o fornecedor </w:t>
            </w:r>
            <w:r w:rsidRPr="00087644">
              <w:rPr>
                <w:b/>
                <w:i/>
              </w:rPr>
              <w:t>e que permita armazenar informações num suporte duradouro.</w:t>
            </w:r>
            <w:r w:rsidRPr="00087644">
              <w:t xml:space="preserve"> </w:t>
            </w:r>
            <w:r w:rsidRPr="00087644">
              <w:rPr>
                <w:b/>
                <w:i/>
              </w:rPr>
              <w:t>Se for fornecido um contacto digital, o número de telefone pode ser disponibilizado diretamente através desse contacto digital.</w:t>
            </w:r>
          </w:p>
        </w:tc>
      </w:tr>
    </w:tbl>
    <w:p w14:paraId="4C18FFA6" w14:textId="77777777" w:rsidR="004D2B5D" w:rsidRPr="00087644" w:rsidRDefault="004D2B5D" w:rsidP="004D2B5D"/>
    <w:p w14:paraId="76146CA7" w14:textId="77777777" w:rsidR="004D2B5D" w:rsidRPr="00087644" w:rsidRDefault="004D2B5D" w:rsidP="004D2B5D">
      <w:pPr>
        <w:pStyle w:val="AmNumberTabs"/>
      </w:pPr>
      <w:r w:rsidRPr="00087644">
        <w:t>Alteração</w:t>
      </w:r>
      <w:r w:rsidRPr="00087644">
        <w:tab/>
      </w:r>
      <w:r w:rsidRPr="00087644">
        <w:tab/>
        <w:t>4</w:t>
      </w:r>
    </w:p>
    <w:p w14:paraId="08992B59" w14:textId="77777777" w:rsidR="004D2B5D" w:rsidRPr="00087644" w:rsidRDefault="004D2B5D" w:rsidP="004D2B5D">
      <w:pPr>
        <w:pStyle w:val="NormalBold"/>
      </w:pPr>
      <w:r w:rsidRPr="00087644">
        <w:t>Proposta de regulamento</w:t>
      </w:r>
    </w:p>
    <w:p w14:paraId="77209F5D" w14:textId="77777777" w:rsidR="004D2B5D" w:rsidRPr="00087644" w:rsidRDefault="004D2B5D" w:rsidP="004D2B5D">
      <w:pPr>
        <w:pStyle w:val="NormalBold"/>
      </w:pPr>
      <w:r w:rsidRPr="00087644">
        <w:t>Considerando 3</w:t>
      </w:r>
      <w:r w:rsidRPr="00087644">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31E2CC2E" w14:textId="77777777" w:rsidTr="00D063A2">
        <w:trPr>
          <w:trHeight w:val="240"/>
          <w:jc w:val="center"/>
        </w:trPr>
        <w:tc>
          <w:tcPr>
            <w:tcW w:w="9752" w:type="dxa"/>
            <w:gridSpan w:val="2"/>
            <w:tcBorders>
              <w:top w:val="nil"/>
              <w:left w:val="nil"/>
              <w:bottom w:val="nil"/>
              <w:right w:val="nil"/>
            </w:tcBorders>
          </w:tcPr>
          <w:p w14:paraId="398EAF2B" w14:textId="77777777" w:rsidR="004D2B5D" w:rsidRPr="00087644" w:rsidRDefault="004D2B5D" w:rsidP="00D063A2"/>
        </w:tc>
      </w:tr>
      <w:tr w:rsidR="004D2B5D" w:rsidRPr="00087644" w14:paraId="4BED526E" w14:textId="77777777" w:rsidTr="00D063A2">
        <w:trPr>
          <w:trHeight w:val="240"/>
          <w:jc w:val="center"/>
        </w:trPr>
        <w:tc>
          <w:tcPr>
            <w:tcW w:w="4876" w:type="dxa"/>
            <w:tcBorders>
              <w:top w:val="nil"/>
              <w:left w:val="nil"/>
              <w:bottom w:val="nil"/>
              <w:right w:val="nil"/>
            </w:tcBorders>
            <w:hideMark/>
          </w:tcPr>
          <w:p w14:paraId="64BFC618"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2C1F6834" w14:textId="77777777" w:rsidR="004D2B5D" w:rsidRPr="00087644" w:rsidRDefault="004D2B5D" w:rsidP="00D063A2">
            <w:pPr>
              <w:pStyle w:val="AmColumnHeading"/>
            </w:pPr>
            <w:r w:rsidRPr="00087644">
              <w:t>Alteração</w:t>
            </w:r>
          </w:p>
        </w:tc>
      </w:tr>
      <w:tr w:rsidR="004D2B5D" w:rsidRPr="00087644" w14:paraId="2B417C15" w14:textId="77777777" w:rsidTr="00D063A2">
        <w:trPr>
          <w:jc w:val="center"/>
        </w:trPr>
        <w:tc>
          <w:tcPr>
            <w:tcW w:w="4876" w:type="dxa"/>
            <w:tcBorders>
              <w:top w:val="nil"/>
              <w:left w:val="nil"/>
              <w:bottom w:val="nil"/>
              <w:right w:val="nil"/>
            </w:tcBorders>
          </w:tcPr>
          <w:p w14:paraId="6A8020FF" w14:textId="77777777" w:rsidR="004D2B5D" w:rsidRPr="00087644" w:rsidRDefault="004D2B5D" w:rsidP="00D063A2">
            <w:pPr>
              <w:pStyle w:val="Normal6a"/>
            </w:pPr>
          </w:p>
        </w:tc>
        <w:tc>
          <w:tcPr>
            <w:tcW w:w="4876" w:type="dxa"/>
            <w:tcBorders>
              <w:top w:val="nil"/>
              <w:left w:val="nil"/>
              <w:bottom w:val="nil"/>
              <w:right w:val="nil"/>
            </w:tcBorders>
            <w:hideMark/>
          </w:tcPr>
          <w:p w14:paraId="507ECB13" w14:textId="77777777" w:rsidR="004D2B5D" w:rsidRPr="00087644" w:rsidRDefault="004D2B5D" w:rsidP="00D063A2">
            <w:pPr>
              <w:pStyle w:val="Normal6a"/>
            </w:pPr>
            <w:r w:rsidRPr="00087644">
              <w:rPr>
                <w:b/>
                <w:i/>
              </w:rPr>
              <w:t>(3</w:t>
            </w:r>
            <w:r w:rsidRPr="00087644">
              <w:rPr>
                <w:b/>
                <w:i/>
              </w:rPr>
              <w:noBreakHyphen/>
              <w:t>A)</w:t>
            </w:r>
            <w:r w:rsidRPr="00087644">
              <w:tab/>
            </w:r>
            <w:r w:rsidRPr="00087644">
              <w:rPr>
                <w:b/>
                <w:i/>
              </w:rPr>
              <w:t xml:space="preserve">O contacto digital deverá permitir aos consumidores e às autoridades competentes contactar direta e rapidamente os fornecedores e deverá ser acessível gratuitamente, sem que seja necessário fornecer dados pessoais, descarregar ou usar aplicações, ou fazer um registo apenas para contactar o fornecedor. Esse contacto digital poderá incluir, por exemplo, um endereço de correio eletrónico ou um formulário de contacto num sítio Web. Todavia, não deverá ser entendido como um instrumento que contempla respostas automáticas a consultas, robôs de conversação ou números de fax. O termo «contacto digital», à semelhança do termo «endereço eletrónico» constante do </w:t>
            </w:r>
            <w:r w:rsidRPr="00087644">
              <w:rPr>
                <w:b/>
                <w:i/>
              </w:rPr>
              <w:lastRenderedPageBreak/>
              <w:t>Regulamento (UE) 2023/988 do Parlamento Europeu e do Conselho, deverá ser entendido de forma tecnologicamente neutra, passível de evoluir em concomitância com futuros avanços tecnológicos, e deverá abranger todas as formas de comunicação digital direta.</w:t>
            </w:r>
          </w:p>
        </w:tc>
      </w:tr>
    </w:tbl>
    <w:p w14:paraId="0A4205DA" w14:textId="77777777" w:rsidR="004D2B5D" w:rsidRPr="00087644" w:rsidRDefault="004D2B5D" w:rsidP="004D2B5D"/>
    <w:p w14:paraId="21E735F8" w14:textId="77777777" w:rsidR="004D2B5D" w:rsidRPr="00087644" w:rsidRDefault="004D2B5D" w:rsidP="004D2B5D">
      <w:pPr>
        <w:pStyle w:val="AmNumberTabs"/>
      </w:pPr>
      <w:r w:rsidRPr="00087644">
        <w:t>Alteração</w:t>
      </w:r>
      <w:r w:rsidRPr="00087644">
        <w:tab/>
      </w:r>
      <w:r w:rsidRPr="00087644">
        <w:tab/>
        <w:t>5</w:t>
      </w:r>
    </w:p>
    <w:p w14:paraId="3E0E204B" w14:textId="77777777" w:rsidR="004D2B5D" w:rsidRPr="00087644" w:rsidRDefault="004D2B5D" w:rsidP="004D2B5D">
      <w:pPr>
        <w:pStyle w:val="NormalBold"/>
      </w:pPr>
      <w:r w:rsidRPr="00087644">
        <w:t>Proposta de regulamento</w:t>
      </w:r>
    </w:p>
    <w:p w14:paraId="3EF9B5BD" w14:textId="77777777" w:rsidR="004D2B5D" w:rsidRPr="00087644" w:rsidRDefault="004D2B5D" w:rsidP="004D2B5D">
      <w:pPr>
        <w:pStyle w:val="NormalBold"/>
      </w:pPr>
      <w:r w:rsidRPr="00087644">
        <w:t>Considerando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6A87191D" w14:textId="77777777" w:rsidTr="00D063A2">
        <w:trPr>
          <w:trHeight w:val="240"/>
          <w:jc w:val="center"/>
        </w:trPr>
        <w:tc>
          <w:tcPr>
            <w:tcW w:w="9752" w:type="dxa"/>
            <w:gridSpan w:val="2"/>
            <w:tcBorders>
              <w:top w:val="nil"/>
              <w:left w:val="nil"/>
              <w:bottom w:val="nil"/>
              <w:right w:val="nil"/>
            </w:tcBorders>
          </w:tcPr>
          <w:p w14:paraId="0CBDDAFF" w14:textId="77777777" w:rsidR="004D2B5D" w:rsidRPr="00087644" w:rsidRDefault="004D2B5D" w:rsidP="00D063A2"/>
        </w:tc>
      </w:tr>
      <w:tr w:rsidR="004D2B5D" w:rsidRPr="00087644" w14:paraId="7CC1E80D" w14:textId="77777777" w:rsidTr="00D063A2">
        <w:trPr>
          <w:trHeight w:val="240"/>
          <w:jc w:val="center"/>
        </w:trPr>
        <w:tc>
          <w:tcPr>
            <w:tcW w:w="4876" w:type="dxa"/>
            <w:tcBorders>
              <w:top w:val="nil"/>
              <w:left w:val="nil"/>
              <w:bottom w:val="nil"/>
              <w:right w:val="nil"/>
            </w:tcBorders>
            <w:hideMark/>
          </w:tcPr>
          <w:p w14:paraId="5BDB5B61"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094D7D05" w14:textId="77777777" w:rsidR="004D2B5D" w:rsidRPr="00087644" w:rsidRDefault="004D2B5D" w:rsidP="00D063A2">
            <w:pPr>
              <w:pStyle w:val="AmColumnHeading"/>
            </w:pPr>
            <w:r w:rsidRPr="00087644">
              <w:t>Alteração</w:t>
            </w:r>
          </w:p>
        </w:tc>
      </w:tr>
      <w:tr w:rsidR="004D2B5D" w:rsidRPr="00087644" w14:paraId="55B230C5" w14:textId="77777777" w:rsidTr="00D063A2">
        <w:trPr>
          <w:jc w:val="center"/>
        </w:trPr>
        <w:tc>
          <w:tcPr>
            <w:tcW w:w="4876" w:type="dxa"/>
            <w:tcBorders>
              <w:top w:val="nil"/>
              <w:left w:val="nil"/>
              <w:bottom w:val="nil"/>
              <w:right w:val="nil"/>
            </w:tcBorders>
            <w:hideMark/>
          </w:tcPr>
          <w:p w14:paraId="35F0469D" w14:textId="77777777" w:rsidR="004D2B5D" w:rsidRPr="00087644" w:rsidRDefault="004D2B5D" w:rsidP="00D063A2">
            <w:pPr>
              <w:pStyle w:val="Normal6a"/>
            </w:pPr>
            <w:r w:rsidRPr="00087644">
              <w:t>(5)</w:t>
            </w:r>
            <w:r w:rsidRPr="00087644">
              <w:tab/>
              <w:t>O Regulamento (</w:t>
            </w:r>
            <w:r w:rsidRPr="00087644">
              <w:rPr>
                <w:b/>
                <w:i/>
              </w:rPr>
              <w:t>CE</w:t>
            </w:r>
            <w:r w:rsidRPr="00087644">
              <w:t xml:space="preserve">) </w:t>
            </w:r>
            <w:r w:rsidRPr="00087644">
              <w:rPr>
                <w:b/>
                <w:i/>
              </w:rPr>
              <w:t>n.º</w:t>
            </w:r>
            <w:r w:rsidRPr="00087644">
              <w:t xml:space="preserve"> 2024/2865 do Parlamento Europeu e do Conselho</w:t>
            </w:r>
            <w:r w:rsidRPr="00087644">
              <w:rPr>
                <w:vertAlign w:val="superscript"/>
              </w:rPr>
              <w:t>6</w:t>
            </w:r>
            <w:r w:rsidRPr="00087644">
              <w:t xml:space="preserve"> introduziu isenções aos requisitos de rotulagem e embalagem para as embalagens que contêm menos de 10 </w:t>
            </w:r>
            <w:r w:rsidRPr="00087644">
              <w:rPr>
                <w:b/>
                <w:i/>
              </w:rPr>
              <w:t>ml.</w:t>
            </w:r>
            <w:r w:rsidRPr="00087644">
              <w:t xml:space="preserve"> No entanto, é necessário simplificar </w:t>
            </w:r>
            <w:r w:rsidRPr="00087644">
              <w:rPr>
                <w:b/>
                <w:i/>
              </w:rPr>
              <w:t xml:space="preserve">ainda mais </w:t>
            </w:r>
            <w:r w:rsidRPr="00087644">
              <w:rPr>
                <w:b/>
                <w:bCs/>
                <w:i/>
                <w:iCs/>
              </w:rPr>
              <w:t>a</w:t>
            </w:r>
            <w:r w:rsidRPr="00087644">
              <w:rPr>
                <w:b/>
                <w:i/>
              </w:rPr>
              <w:t xml:space="preserve"> aplicação desta derrogação nos casos em que estas</w:t>
            </w:r>
            <w:r w:rsidRPr="00087644">
              <w:t xml:space="preserve"> embalagens </w:t>
            </w:r>
            <w:r w:rsidRPr="00087644">
              <w:rPr>
                <w:b/>
                <w:i/>
              </w:rPr>
              <w:t>estejam sujeitas à advertência de perigo adicional EUH 208</w:t>
            </w:r>
            <w:r w:rsidRPr="00087644">
              <w:rPr>
                <w:b/>
                <w:bCs/>
                <w:i/>
                <w:iCs/>
              </w:rPr>
              <w:t>.</w:t>
            </w:r>
            <w:r w:rsidRPr="00087644">
              <w:t xml:space="preserve"> </w:t>
            </w:r>
            <w:r w:rsidRPr="00087644">
              <w:rPr>
                <w:b/>
                <w:i/>
              </w:rPr>
              <w:t xml:space="preserve">É igualmente necessário clarificar os requisitos aplicáveis às embalagens interiores e </w:t>
            </w:r>
            <w:r w:rsidRPr="00087644">
              <w:t>exteriores nos</w:t>
            </w:r>
            <w:r w:rsidRPr="00087644">
              <w:rPr>
                <w:b/>
                <w:i/>
              </w:rPr>
              <w:t xml:space="preserve"> </w:t>
            </w:r>
            <w:r w:rsidRPr="00087644">
              <w:t>casos em que</w:t>
            </w:r>
            <w:r w:rsidRPr="00087644">
              <w:rPr>
                <w:b/>
                <w:i/>
              </w:rPr>
              <w:t xml:space="preserve"> é aplicada a derrogação de</w:t>
            </w:r>
            <w:r w:rsidRPr="00087644">
              <w:t xml:space="preserve"> </w:t>
            </w:r>
            <w:r w:rsidRPr="00087644">
              <w:rPr>
                <w:b/>
                <w:bCs/>
                <w:i/>
                <w:iCs/>
              </w:rPr>
              <w:t>10</w:t>
            </w:r>
            <w:r w:rsidRPr="00087644">
              <w:t xml:space="preserve"> ml.</w:t>
            </w:r>
          </w:p>
        </w:tc>
        <w:tc>
          <w:tcPr>
            <w:tcW w:w="4876" w:type="dxa"/>
            <w:tcBorders>
              <w:top w:val="nil"/>
              <w:left w:val="nil"/>
              <w:bottom w:val="nil"/>
              <w:right w:val="nil"/>
            </w:tcBorders>
            <w:hideMark/>
          </w:tcPr>
          <w:p w14:paraId="5DD1D3AB" w14:textId="77777777" w:rsidR="004D2B5D" w:rsidRPr="00087644" w:rsidRDefault="004D2B5D" w:rsidP="00D063A2">
            <w:pPr>
              <w:pStyle w:val="Normal6a"/>
            </w:pPr>
            <w:r w:rsidRPr="00087644">
              <w:t>(5)</w:t>
            </w:r>
            <w:r w:rsidRPr="00087644">
              <w:tab/>
              <w:t>O Regulamento (</w:t>
            </w:r>
            <w:r w:rsidRPr="00087644">
              <w:rPr>
                <w:b/>
                <w:i/>
              </w:rPr>
              <w:t>UE</w:t>
            </w:r>
            <w:r w:rsidRPr="00087644">
              <w:t>) 2024/2865 do Parlamento Europeu e do Conselho</w:t>
            </w:r>
            <w:r w:rsidRPr="00087644">
              <w:rPr>
                <w:vertAlign w:val="superscript"/>
              </w:rPr>
              <w:t>6</w:t>
            </w:r>
            <w:r w:rsidRPr="00087644">
              <w:t xml:space="preserve"> introduziu isenções aos requisitos de rotulagem e embalagem para as embalagens que contêm menos de 10 </w:t>
            </w:r>
            <w:r w:rsidRPr="00087644">
              <w:rPr>
                <w:b/>
                <w:i/>
              </w:rPr>
              <w:t>ml, nomeadamente a possibilidade de omitir elementos do rótulo dessas embalagens interiores sob determinadas condições.</w:t>
            </w:r>
            <w:r w:rsidRPr="00087644">
              <w:t xml:space="preserve"> No entanto, é necessário simplificar </w:t>
            </w:r>
            <w:r w:rsidRPr="00087644">
              <w:rPr>
                <w:b/>
                <w:i/>
              </w:rPr>
              <w:t xml:space="preserve">estas disposições e clarificar os casos que exigem </w:t>
            </w:r>
            <w:r w:rsidRPr="00087644">
              <w:rPr>
                <w:b/>
                <w:bCs/>
                <w:i/>
                <w:iCs/>
              </w:rPr>
              <w:t>a</w:t>
            </w:r>
            <w:r w:rsidRPr="00087644">
              <w:rPr>
                <w:b/>
                <w:i/>
              </w:rPr>
              <w:t xml:space="preserve"> apresentação de elementos de rotulagem nas</w:t>
            </w:r>
            <w:r w:rsidRPr="00087644">
              <w:t xml:space="preserve"> embalagens exteriores nos casos em que </w:t>
            </w:r>
            <w:r w:rsidRPr="00087644">
              <w:rPr>
                <w:b/>
                <w:i/>
              </w:rPr>
              <w:t>estes elementos podem ser totalmente omitidos</w:t>
            </w:r>
            <w:r w:rsidRPr="00087644">
              <w:t>.</w:t>
            </w:r>
            <w:r w:rsidRPr="00087644">
              <w:rPr>
                <w:b/>
                <w:i/>
              </w:rPr>
              <w:t xml:space="preserve"> Demais, a Comissão deverá avaliar se se devem aplicar reduções específicas adicionais dos elementos obrigatórios do rótulo às embalagens entre</w:t>
            </w:r>
            <w:r w:rsidRPr="00087644">
              <w:t xml:space="preserve"> </w:t>
            </w:r>
            <w:r w:rsidRPr="00087644">
              <w:rPr>
                <w:b/>
                <w:bCs/>
                <w:i/>
                <w:iCs/>
              </w:rPr>
              <w:t>10</w:t>
            </w:r>
            <w:r w:rsidRPr="00087644">
              <w:t xml:space="preserve"> </w:t>
            </w:r>
            <w:r w:rsidRPr="00087644">
              <w:rPr>
                <w:b/>
                <w:i/>
              </w:rPr>
              <w:t>e 125</w:t>
            </w:r>
            <w:r w:rsidRPr="00087644">
              <w:t> ml.</w:t>
            </w:r>
          </w:p>
        </w:tc>
      </w:tr>
      <w:tr w:rsidR="004D2B5D" w:rsidRPr="00087644" w14:paraId="17102B31" w14:textId="77777777" w:rsidTr="00D063A2">
        <w:trPr>
          <w:jc w:val="center"/>
        </w:trPr>
        <w:tc>
          <w:tcPr>
            <w:tcW w:w="4876" w:type="dxa"/>
            <w:tcBorders>
              <w:top w:val="nil"/>
              <w:left w:val="nil"/>
              <w:bottom w:val="nil"/>
              <w:right w:val="nil"/>
            </w:tcBorders>
            <w:hideMark/>
          </w:tcPr>
          <w:p w14:paraId="3005D3C1" w14:textId="77777777" w:rsidR="004D2B5D" w:rsidRPr="00087644" w:rsidRDefault="004D2B5D" w:rsidP="00D063A2">
            <w:pPr>
              <w:pStyle w:val="Normal6a"/>
            </w:pPr>
            <w:r w:rsidRPr="00087644">
              <w:rPr>
                <w:b/>
                <w:i/>
              </w:rPr>
              <w:t>_________________</w:t>
            </w:r>
          </w:p>
        </w:tc>
        <w:tc>
          <w:tcPr>
            <w:tcW w:w="4876" w:type="dxa"/>
            <w:tcBorders>
              <w:top w:val="nil"/>
              <w:left w:val="nil"/>
              <w:bottom w:val="nil"/>
              <w:right w:val="nil"/>
            </w:tcBorders>
            <w:hideMark/>
          </w:tcPr>
          <w:p w14:paraId="6A9952F3" w14:textId="77777777" w:rsidR="004D2B5D" w:rsidRPr="00087644" w:rsidRDefault="004D2B5D" w:rsidP="00D063A2">
            <w:pPr>
              <w:pStyle w:val="Normal6a"/>
            </w:pPr>
            <w:r w:rsidRPr="00087644">
              <w:rPr>
                <w:b/>
                <w:i/>
              </w:rPr>
              <w:t>_________________</w:t>
            </w:r>
          </w:p>
        </w:tc>
      </w:tr>
      <w:tr w:rsidR="004D2B5D" w:rsidRPr="00087644" w14:paraId="5EE880DC" w14:textId="77777777" w:rsidTr="00D063A2">
        <w:trPr>
          <w:jc w:val="center"/>
        </w:trPr>
        <w:tc>
          <w:tcPr>
            <w:tcW w:w="4876" w:type="dxa"/>
            <w:tcBorders>
              <w:top w:val="nil"/>
              <w:left w:val="nil"/>
              <w:bottom w:val="nil"/>
              <w:right w:val="nil"/>
            </w:tcBorders>
            <w:hideMark/>
          </w:tcPr>
          <w:p w14:paraId="6255B464" w14:textId="73ECEC14" w:rsidR="004D2B5D" w:rsidRPr="00087644" w:rsidRDefault="004D2B5D" w:rsidP="00D063A2">
            <w:pPr>
              <w:pStyle w:val="Normal6a"/>
            </w:pPr>
            <w:r w:rsidRPr="00087644">
              <w:rPr>
                <w:vertAlign w:val="superscript"/>
              </w:rPr>
              <w:t>6</w:t>
            </w:r>
            <w:r w:rsidRPr="00087644">
              <w:t xml:space="preserve"> Regulamento (UE) 2024/2865 do Parlamento Europeu e do Conselho, de 23 de outubro de 2024, que altera o Regulamento (CE) n.º 1272/2008 relativo à classificação, rotulagem e embalagem de substâncias e misturas</w:t>
            </w:r>
            <w:r w:rsidRPr="00087644">
              <w:rPr>
                <w:b/>
                <w:bCs/>
                <w:i/>
                <w:iCs/>
              </w:rPr>
              <w:t>,</w:t>
            </w:r>
            <w:r w:rsidRPr="00087644">
              <w:t xml:space="preserve"> JO L, 2024/2865, 20.11.2024, ELI: </w:t>
            </w:r>
            <w:hyperlink r:id="rId15" w:history="1">
              <w:r w:rsidR="000C7B72" w:rsidRPr="00087644">
                <w:rPr>
                  <w:rStyle w:val="Hyperlink"/>
                </w:rPr>
                <w:t>http://data.europa.eu/eli/reg/2024/2865/oj</w:t>
              </w:r>
            </w:hyperlink>
            <w:r w:rsidRPr="00087644">
              <w:t>).</w:t>
            </w:r>
          </w:p>
        </w:tc>
        <w:tc>
          <w:tcPr>
            <w:tcW w:w="4876" w:type="dxa"/>
            <w:tcBorders>
              <w:top w:val="nil"/>
              <w:left w:val="nil"/>
              <w:bottom w:val="nil"/>
              <w:right w:val="nil"/>
            </w:tcBorders>
            <w:hideMark/>
          </w:tcPr>
          <w:p w14:paraId="0CF64602" w14:textId="5709C6DB" w:rsidR="004D2B5D" w:rsidRPr="00087644" w:rsidRDefault="004D2B5D" w:rsidP="00D063A2">
            <w:pPr>
              <w:pStyle w:val="Normal6a"/>
            </w:pPr>
            <w:r w:rsidRPr="00087644">
              <w:rPr>
                <w:vertAlign w:val="superscript"/>
              </w:rPr>
              <w:t>6</w:t>
            </w:r>
            <w:r w:rsidRPr="00087644">
              <w:t xml:space="preserve"> Regulamento (UE) 2024/2865 do Parlamento Europeu e do Conselho, de 23 de outubro de 2024, que altera o Regulamento (CE) n.º 1272/2008 relativo à classificação, rotulagem e embalagem de substâncias e misturas </w:t>
            </w:r>
            <w:r w:rsidR="002C31A3" w:rsidRPr="00087644">
              <w:rPr>
                <w:b/>
                <w:bCs/>
                <w:i/>
                <w:iCs/>
              </w:rPr>
              <w:t>(</w:t>
            </w:r>
            <w:r w:rsidRPr="00087644">
              <w:t xml:space="preserve">JO L, 2024/2865, 20.11.2024, ELI: </w:t>
            </w:r>
            <w:hyperlink r:id="rId16" w:history="1">
              <w:r w:rsidR="000C7B72" w:rsidRPr="00087644">
                <w:rPr>
                  <w:rStyle w:val="Hyperlink"/>
                </w:rPr>
                <w:t>http://data.europa.eu/eli/reg/2024/2865/oj</w:t>
              </w:r>
            </w:hyperlink>
            <w:r w:rsidRPr="00087644">
              <w:t>).</w:t>
            </w:r>
          </w:p>
        </w:tc>
      </w:tr>
    </w:tbl>
    <w:p w14:paraId="18A4525D" w14:textId="77777777" w:rsidR="004D2B5D" w:rsidRPr="00087644" w:rsidRDefault="004D2B5D" w:rsidP="004D2B5D"/>
    <w:p w14:paraId="72F87679" w14:textId="77777777" w:rsidR="004D2B5D" w:rsidRPr="00087644" w:rsidRDefault="004D2B5D" w:rsidP="004D2B5D">
      <w:pPr>
        <w:pStyle w:val="AmNumberTabs"/>
      </w:pPr>
      <w:r w:rsidRPr="00087644">
        <w:t>Alteração</w:t>
      </w:r>
      <w:r w:rsidRPr="00087644">
        <w:tab/>
      </w:r>
      <w:r w:rsidRPr="00087644">
        <w:tab/>
        <w:t>6</w:t>
      </w:r>
    </w:p>
    <w:p w14:paraId="40E6051B" w14:textId="77777777" w:rsidR="004D2B5D" w:rsidRPr="00087644" w:rsidRDefault="004D2B5D" w:rsidP="004D2B5D">
      <w:pPr>
        <w:pStyle w:val="NormalBold"/>
      </w:pPr>
      <w:r w:rsidRPr="00087644">
        <w:t>Proposta de regulamento</w:t>
      </w:r>
    </w:p>
    <w:p w14:paraId="535EAE1B" w14:textId="77777777" w:rsidR="004D2B5D" w:rsidRPr="00087644" w:rsidRDefault="004D2B5D" w:rsidP="004D2B5D">
      <w:pPr>
        <w:pStyle w:val="NormalBold"/>
      </w:pPr>
      <w:r w:rsidRPr="00087644">
        <w:t>Considerando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20895BAD" w14:textId="77777777" w:rsidTr="00D063A2">
        <w:trPr>
          <w:trHeight w:val="240"/>
          <w:jc w:val="center"/>
        </w:trPr>
        <w:tc>
          <w:tcPr>
            <w:tcW w:w="9752" w:type="dxa"/>
            <w:gridSpan w:val="2"/>
            <w:tcBorders>
              <w:top w:val="nil"/>
              <w:left w:val="nil"/>
              <w:bottom w:val="nil"/>
              <w:right w:val="nil"/>
            </w:tcBorders>
          </w:tcPr>
          <w:p w14:paraId="724A1EB8" w14:textId="77777777" w:rsidR="004D2B5D" w:rsidRPr="00087644" w:rsidRDefault="004D2B5D" w:rsidP="00D063A2"/>
        </w:tc>
      </w:tr>
      <w:tr w:rsidR="004D2B5D" w:rsidRPr="00087644" w14:paraId="15BD933E" w14:textId="77777777" w:rsidTr="00D063A2">
        <w:trPr>
          <w:trHeight w:val="240"/>
          <w:jc w:val="center"/>
        </w:trPr>
        <w:tc>
          <w:tcPr>
            <w:tcW w:w="4876" w:type="dxa"/>
            <w:tcBorders>
              <w:top w:val="nil"/>
              <w:left w:val="nil"/>
              <w:bottom w:val="nil"/>
              <w:right w:val="nil"/>
            </w:tcBorders>
            <w:hideMark/>
          </w:tcPr>
          <w:p w14:paraId="508EC5CD" w14:textId="77777777" w:rsidR="004D2B5D" w:rsidRPr="00087644" w:rsidRDefault="004D2B5D" w:rsidP="00D063A2">
            <w:pPr>
              <w:pStyle w:val="AmColumnHeading"/>
            </w:pPr>
            <w:r w:rsidRPr="00087644">
              <w:lastRenderedPageBreak/>
              <w:t>Texto da Comissão</w:t>
            </w:r>
          </w:p>
        </w:tc>
        <w:tc>
          <w:tcPr>
            <w:tcW w:w="4876" w:type="dxa"/>
            <w:tcBorders>
              <w:top w:val="nil"/>
              <w:left w:val="nil"/>
              <w:bottom w:val="nil"/>
              <w:right w:val="nil"/>
            </w:tcBorders>
            <w:hideMark/>
          </w:tcPr>
          <w:p w14:paraId="10472E08" w14:textId="77777777" w:rsidR="004D2B5D" w:rsidRPr="00087644" w:rsidRDefault="004D2B5D" w:rsidP="00D063A2">
            <w:pPr>
              <w:pStyle w:val="AmColumnHeading"/>
            </w:pPr>
            <w:r w:rsidRPr="00087644">
              <w:t>Alteração</w:t>
            </w:r>
          </w:p>
        </w:tc>
      </w:tr>
      <w:tr w:rsidR="004D2B5D" w:rsidRPr="00087644" w14:paraId="4F75A0C7" w14:textId="77777777" w:rsidTr="00D063A2">
        <w:trPr>
          <w:jc w:val="center"/>
        </w:trPr>
        <w:tc>
          <w:tcPr>
            <w:tcW w:w="4876" w:type="dxa"/>
            <w:tcBorders>
              <w:top w:val="nil"/>
              <w:left w:val="nil"/>
              <w:bottom w:val="nil"/>
              <w:right w:val="nil"/>
            </w:tcBorders>
            <w:hideMark/>
          </w:tcPr>
          <w:p w14:paraId="24C67D0E" w14:textId="77777777" w:rsidR="004D2B5D" w:rsidRPr="00087644" w:rsidRDefault="004D2B5D" w:rsidP="00D063A2">
            <w:pPr>
              <w:pStyle w:val="Normal6a"/>
            </w:pPr>
            <w:r w:rsidRPr="00087644">
              <w:t>(6)</w:t>
            </w:r>
            <w:r w:rsidRPr="00087644">
              <w:tab/>
              <w:t xml:space="preserve">A fim de proporcionar </w:t>
            </w:r>
            <w:r w:rsidRPr="00087644">
              <w:rPr>
                <w:b/>
                <w:i/>
              </w:rPr>
              <w:t>flexibilidade aos</w:t>
            </w:r>
            <w:r w:rsidRPr="00087644">
              <w:t xml:space="preserve"> fornecedores de substâncias e misturas, </w:t>
            </w:r>
            <w:r w:rsidRPr="00087644">
              <w:rPr>
                <w:b/>
                <w:i/>
              </w:rPr>
              <w:t>criar condições equitativas para as</w:t>
            </w:r>
            <w:r w:rsidRPr="00087644">
              <w:t xml:space="preserve"> pequenas e médias empresas, que muitas vezes subcontratam os serviços de impressão de rótulos, e facilitar a preparação e produção de rótulos desdobráveis, que é significativamente mais demorada do que a dos rótulos normalizados, é necessário </w:t>
            </w:r>
            <w:r w:rsidRPr="00087644">
              <w:rPr>
                <w:b/>
                <w:i/>
              </w:rPr>
              <w:t>suprimir</w:t>
            </w:r>
            <w:r w:rsidRPr="00087644">
              <w:t xml:space="preserve"> o prazo fixo de seis meses para a nova rotulagem </w:t>
            </w:r>
            <w:r w:rsidRPr="00087644">
              <w:rPr>
                <w:b/>
                <w:i/>
              </w:rPr>
              <w:t>e</w:t>
            </w:r>
            <w:r w:rsidRPr="00087644">
              <w:t xml:space="preserve"> exigir que os rótulos sejam alterados sem demora injustificada após a obtenção de novos dados por um fornecedor ou a sua comunicação a este último.</w:t>
            </w:r>
          </w:p>
        </w:tc>
        <w:tc>
          <w:tcPr>
            <w:tcW w:w="4876" w:type="dxa"/>
            <w:tcBorders>
              <w:top w:val="nil"/>
              <w:left w:val="nil"/>
              <w:bottom w:val="nil"/>
              <w:right w:val="nil"/>
            </w:tcBorders>
            <w:hideMark/>
          </w:tcPr>
          <w:p w14:paraId="6DB83928" w14:textId="77777777" w:rsidR="004D2B5D" w:rsidRPr="00087644" w:rsidRDefault="004D2B5D" w:rsidP="00D063A2">
            <w:pPr>
              <w:pStyle w:val="Normal6a"/>
            </w:pPr>
            <w:r w:rsidRPr="00087644">
              <w:t>(6)</w:t>
            </w:r>
            <w:r w:rsidRPr="00087644">
              <w:tab/>
            </w:r>
            <w:r w:rsidRPr="00087644">
              <w:rPr>
                <w:b/>
                <w:i/>
              </w:rPr>
              <w:t xml:space="preserve">No que diz respeito à atualização dos rótulos em caso de </w:t>
            </w:r>
            <w:proofErr w:type="spellStart"/>
            <w:r w:rsidRPr="00087644">
              <w:rPr>
                <w:b/>
                <w:i/>
              </w:rPr>
              <w:t>autoclassificação</w:t>
            </w:r>
            <w:proofErr w:type="spellEnd"/>
            <w:r w:rsidRPr="00087644">
              <w:rPr>
                <w:b/>
                <w:i/>
              </w:rPr>
              <w:t xml:space="preserve"> nova ou mais severa, os fornecedores deverão informar os seus utilizadores diretos a jusante sobre os resultados da nova avaliação sem demora injustificada.</w:t>
            </w:r>
            <w:r w:rsidRPr="00087644">
              <w:t xml:space="preserve"> A fim de proporcionar </w:t>
            </w:r>
            <w:r w:rsidRPr="00087644">
              <w:rPr>
                <w:b/>
                <w:i/>
              </w:rPr>
              <w:t>tempo suficiente a todos os</w:t>
            </w:r>
            <w:r w:rsidRPr="00087644">
              <w:t xml:space="preserve"> fornecedores de substâncias e misturas, </w:t>
            </w:r>
            <w:r w:rsidRPr="00087644">
              <w:rPr>
                <w:b/>
                <w:i/>
              </w:rPr>
              <w:t>em particular às</w:t>
            </w:r>
            <w:r w:rsidRPr="00087644">
              <w:t xml:space="preserve"> pequenas e médias empresas, que muitas vezes subcontratam os serviços de impressão de rótulos, e facilitar a preparação e produção de rótulos desdobráveis, que é significativamente mais demorada do que a dos rótulos normalizados, é necessário </w:t>
            </w:r>
            <w:r w:rsidRPr="00087644">
              <w:rPr>
                <w:b/>
                <w:i/>
              </w:rPr>
              <w:t>aumentar</w:t>
            </w:r>
            <w:r w:rsidRPr="00087644">
              <w:t xml:space="preserve"> o prazo fixo de seis meses para a nova rotulagem </w:t>
            </w:r>
            <w:r w:rsidRPr="00087644">
              <w:rPr>
                <w:b/>
                <w:i/>
              </w:rPr>
              <w:t>para 18 meses, sem deixar de</w:t>
            </w:r>
            <w:r w:rsidRPr="00087644">
              <w:t xml:space="preserve"> exigir que os rótulos sejam alterados sem demora injustificada após a obtenção de novos dados por um fornecedor ou a sua comunicação a este último.</w:t>
            </w:r>
          </w:p>
        </w:tc>
      </w:tr>
    </w:tbl>
    <w:p w14:paraId="6EA5C5D6" w14:textId="77777777" w:rsidR="004D2B5D" w:rsidRPr="00087644" w:rsidRDefault="004D2B5D" w:rsidP="004D2B5D"/>
    <w:p w14:paraId="68A390E2" w14:textId="77777777" w:rsidR="004D2B5D" w:rsidRPr="00087644" w:rsidRDefault="004D2B5D" w:rsidP="004D2B5D">
      <w:pPr>
        <w:pStyle w:val="AmNumberTabs"/>
      </w:pPr>
      <w:r w:rsidRPr="00087644">
        <w:t>Alteração</w:t>
      </w:r>
      <w:r w:rsidRPr="00087644">
        <w:tab/>
      </w:r>
      <w:r w:rsidRPr="00087644">
        <w:tab/>
        <w:t>7</w:t>
      </w:r>
    </w:p>
    <w:p w14:paraId="65FA2EE7" w14:textId="77777777" w:rsidR="004D2B5D" w:rsidRPr="00087644" w:rsidRDefault="004D2B5D" w:rsidP="004D2B5D">
      <w:pPr>
        <w:pStyle w:val="NormalBold"/>
      </w:pPr>
      <w:r w:rsidRPr="00087644">
        <w:t>Proposta de regulamento</w:t>
      </w:r>
    </w:p>
    <w:p w14:paraId="49E636F9" w14:textId="77777777" w:rsidR="004D2B5D" w:rsidRPr="00087644" w:rsidRDefault="004D2B5D" w:rsidP="004D2B5D">
      <w:pPr>
        <w:pStyle w:val="NormalBold"/>
      </w:pPr>
      <w:r w:rsidRPr="00087644">
        <w:t>Considerando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34E994BF" w14:textId="77777777" w:rsidTr="00D063A2">
        <w:trPr>
          <w:trHeight w:val="240"/>
          <w:jc w:val="center"/>
        </w:trPr>
        <w:tc>
          <w:tcPr>
            <w:tcW w:w="9752" w:type="dxa"/>
            <w:gridSpan w:val="2"/>
            <w:tcBorders>
              <w:top w:val="nil"/>
              <w:left w:val="nil"/>
              <w:bottom w:val="nil"/>
              <w:right w:val="nil"/>
            </w:tcBorders>
          </w:tcPr>
          <w:p w14:paraId="1FD7CD3E" w14:textId="77777777" w:rsidR="004D2B5D" w:rsidRPr="00087644" w:rsidRDefault="004D2B5D" w:rsidP="00D063A2"/>
        </w:tc>
      </w:tr>
      <w:tr w:rsidR="004D2B5D" w:rsidRPr="00087644" w14:paraId="760CEF3F" w14:textId="77777777" w:rsidTr="00D063A2">
        <w:trPr>
          <w:trHeight w:val="240"/>
          <w:jc w:val="center"/>
        </w:trPr>
        <w:tc>
          <w:tcPr>
            <w:tcW w:w="4876" w:type="dxa"/>
            <w:tcBorders>
              <w:top w:val="nil"/>
              <w:left w:val="nil"/>
              <w:bottom w:val="nil"/>
              <w:right w:val="nil"/>
            </w:tcBorders>
            <w:hideMark/>
          </w:tcPr>
          <w:p w14:paraId="7FFC3953"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0A303279" w14:textId="77777777" w:rsidR="004D2B5D" w:rsidRPr="00087644" w:rsidRDefault="004D2B5D" w:rsidP="00D063A2">
            <w:pPr>
              <w:pStyle w:val="AmColumnHeading"/>
            </w:pPr>
            <w:r w:rsidRPr="00087644">
              <w:t>Alteração</w:t>
            </w:r>
          </w:p>
        </w:tc>
      </w:tr>
      <w:tr w:rsidR="004D2B5D" w:rsidRPr="00087644" w14:paraId="401C04B6" w14:textId="77777777" w:rsidTr="00D063A2">
        <w:trPr>
          <w:jc w:val="center"/>
        </w:trPr>
        <w:tc>
          <w:tcPr>
            <w:tcW w:w="4876" w:type="dxa"/>
            <w:tcBorders>
              <w:top w:val="nil"/>
              <w:left w:val="nil"/>
              <w:bottom w:val="nil"/>
              <w:right w:val="nil"/>
            </w:tcBorders>
            <w:hideMark/>
          </w:tcPr>
          <w:p w14:paraId="694332EE" w14:textId="77777777" w:rsidR="004D2B5D" w:rsidRPr="00087644" w:rsidRDefault="004D2B5D" w:rsidP="00D063A2">
            <w:pPr>
              <w:pStyle w:val="Normal6a"/>
            </w:pPr>
            <w:r w:rsidRPr="00087644">
              <w:t>(7)</w:t>
            </w:r>
            <w:r w:rsidRPr="00087644">
              <w:tab/>
              <w:t>O Regulamento (UE) 2024/2865 estabeleceu regras relativas aos requisitos obrigatórios para a formatação dos rótulos. Novas informações</w:t>
            </w:r>
            <w:r w:rsidRPr="00087644">
              <w:rPr>
                <w:vertAlign w:val="superscript"/>
              </w:rPr>
              <w:t>7</w:t>
            </w:r>
            <w:r w:rsidRPr="00087644">
              <w:t xml:space="preserve"> apontaram para a existência de encargos e custos administrativos excessivos associados a estes requisitos. A fim de garantir o equilíbrio entre a necessidade de as informações constantes do rótulo serem claramente compreendidas pelos consumidores e o imperativo de reduzir os obstáculos no mercado e os encargos para a indústria</w:t>
            </w:r>
            <w:r w:rsidRPr="00087644">
              <w:rPr>
                <w:vertAlign w:val="superscript"/>
              </w:rPr>
              <w:t>8</w:t>
            </w:r>
            <w:r w:rsidRPr="00087644">
              <w:t xml:space="preserve">, é necessário simplificar as atuais obrigações de formatação sem reduzir o nível de proteção da saúde humana e do ambiente. </w:t>
            </w:r>
            <w:r w:rsidRPr="00087644">
              <w:rPr>
                <w:b/>
                <w:i/>
              </w:rPr>
              <w:t>Os operadores económicos e as autoridades responsáveis pelo controlo</w:t>
            </w:r>
            <w:r w:rsidRPr="00087644">
              <w:t xml:space="preserve"> do </w:t>
            </w:r>
            <w:r w:rsidRPr="00087644">
              <w:rPr>
                <w:b/>
                <w:i/>
              </w:rPr>
              <w:t>cumprimento</w:t>
            </w:r>
            <w:r w:rsidRPr="00087644">
              <w:t xml:space="preserve"> devem continuar a ser responsáveis por garantir que os rótulos sejam legíveis em conformidade com os </w:t>
            </w:r>
            <w:r w:rsidRPr="00087644">
              <w:lastRenderedPageBreak/>
              <w:t>requisitos legais.</w:t>
            </w:r>
          </w:p>
        </w:tc>
        <w:tc>
          <w:tcPr>
            <w:tcW w:w="4876" w:type="dxa"/>
            <w:tcBorders>
              <w:top w:val="nil"/>
              <w:left w:val="nil"/>
              <w:bottom w:val="nil"/>
              <w:right w:val="nil"/>
            </w:tcBorders>
            <w:hideMark/>
          </w:tcPr>
          <w:p w14:paraId="5205B5CB" w14:textId="77777777" w:rsidR="004D2B5D" w:rsidRPr="00087644" w:rsidRDefault="004D2B5D" w:rsidP="00D063A2">
            <w:pPr>
              <w:pStyle w:val="Normal6a"/>
            </w:pPr>
            <w:r w:rsidRPr="00087644">
              <w:lastRenderedPageBreak/>
              <w:t>(7)</w:t>
            </w:r>
            <w:r w:rsidRPr="00087644">
              <w:tab/>
              <w:t>O Regulamento (UE) 2024/2865 estabeleceu regras relativas aos requisitos obrigatórios para a formatação dos rótulos. Novas informações</w:t>
            </w:r>
            <w:r w:rsidRPr="00087644">
              <w:rPr>
                <w:vertAlign w:val="superscript"/>
              </w:rPr>
              <w:t>7</w:t>
            </w:r>
            <w:r w:rsidRPr="00087644">
              <w:t xml:space="preserve"> apontaram para a existência de encargos e custos administrativos excessivos associados a estes requisitos. A fim de garantir o equilíbrio entre a necessidade de as informações constantes do rótulo serem claramente compreendidas pelos consumidores e o imperativo de reduzir os obstáculos no mercado e os encargos </w:t>
            </w:r>
            <w:r w:rsidRPr="00087644">
              <w:rPr>
                <w:b/>
                <w:i/>
              </w:rPr>
              <w:t>injustificados</w:t>
            </w:r>
            <w:r w:rsidRPr="00087644">
              <w:t xml:space="preserve"> para a indústria</w:t>
            </w:r>
            <w:r w:rsidRPr="00087644">
              <w:rPr>
                <w:vertAlign w:val="superscript"/>
              </w:rPr>
              <w:t>8</w:t>
            </w:r>
            <w:r w:rsidRPr="00087644">
              <w:t xml:space="preserve">, </w:t>
            </w:r>
            <w:r w:rsidRPr="00087644">
              <w:rPr>
                <w:b/>
                <w:i/>
              </w:rPr>
              <w:t>em particular para as pequenas e médias empresas,</w:t>
            </w:r>
            <w:r w:rsidRPr="00087644">
              <w:t xml:space="preserve"> é necessário simplificar as atuais obrigações de formatação sem reduzir o nível de proteção da saúde humana e do ambiente. </w:t>
            </w:r>
            <w:r w:rsidRPr="00087644">
              <w:rPr>
                <w:b/>
                <w:i/>
              </w:rPr>
              <w:t xml:space="preserve">As novas medidas deverão manter um elevado nível de proteção dos consumidores e garantir o bom </w:t>
            </w:r>
            <w:r w:rsidRPr="00087644">
              <w:rPr>
                <w:b/>
                <w:i/>
              </w:rPr>
              <w:lastRenderedPageBreak/>
              <w:t>funcionamento do mercado interno. Os fornecedores</w:t>
            </w:r>
            <w:r w:rsidRPr="00087644">
              <w:t xml:space="preserve"> devem continuar a ser responsáveis por garantir que os rótulos sejam legíveis em conformidade com os requisitos legais.</w:t>
            </w:r>
          </w:p>
        </w:tc>
      </w:tr>
      <w:tr w:rsidR="004D2B5D" w:rsidRPr="00087644" w14:paraId="1F0CB777" w14:textId="77777777" w:rsidTr="00D063A2">
        <w:trPr>
          <w:jc w:val="center"/>
        </w:trPr>
        <w:tc>
          <w:tcPr>
            <w:tcW w:w="4876" w:type="dxa"/>
            <w:tcBorders>
              <w:top w:val="nil"/>
              <w:left w:val="nil"/>
              <w:bottom w:val="nil"/>
              <w:right w:val="nil"/>
            </w:tcBorders>
            <w:hideMark/>
          </w:tcPr>
          <w:p w14:paraId="0DED9D67" w14:textId="77777777" w:rsidR="004D2B5D" w:rsidRPr="00087644" w:rsidRDefault="004D2B5D" w:rsidP="00D063A2">
            <w:pPr>
              <w:pStyle w:val="Normal6a"/>
            </w:pPr>
            <w:r w:rsidRPr="00087644">
              <w:rPr>
                <w:b/>
                <w:i/>
              </w:rPr>
              <w:lastRenderedPageBreak/>
              <w:t>_________________</w:t>
            </w:r>
          </w:p>
        </w:tc>
        <w:tc>
          <w:tcPr>
            <w:tcW w:w="4876" w:type="dxa"/>
            <w:tcBorders>
              <w:top w:val="nil"/>
              <w:left w:val="nil"/>
              <w:bottom w:val="nil"/>
              <w:right w:val="nil"/>
            </w:tcBorders>
            <w:hideMark/>
          </w:tcPr>
          <w:p w14:paraId="6FBC1F61" w14:textId="77777777" w:rsidR="004D2B5D" w:rsidRPr="00087644" w:rsidRDefault="004D2B5D" w:rsidP="00D063A2">
            <w:pPr>
              <w:pStyle w:val="Normal6a"/>
            </w:pPr>
            <w:r w:rsidRPr="00087644">
              <w:rPr>
                <w:b/>
                <w:i/>
              </w:rPr>
              <w:t>_________________</w:t>
            </w:r>
          </w:p>
        </w:tc>
      </w:tr>
      <w:tr w:rsidR="004D2B5D" w:rsidRPr="00087644" w14:paraId="111732ED" w14:textId="77777777" w:rsidTr="00D063A2">
        <w:trPr>
          <w:jc w:val="center"/>
        </w:trPr>
        <w:tc>
          <w:tcPr>
            <w:tcW w:w="4876" w:type="dxa"/>
            <w:tcBorders>
              <w:top w:val="nil"/>
              <w:left w:val="nil"/>
              <w:bottom w:val="nil"/>
              <w:right w:val="nil"/>
            </w:tcBorders>
            <w:hideMark/>
          </w:tcPr>
          <w:p w14:paraId="45E70102" w14:textId="77777777" w:rsidR="004D2B5D" w:rsidRPr="00087644" w:rsidRDefault="004D2B5D" w:rsidP="00D063A2">
            <w:pPr>
              <w:pStyle w:val="Normal6a"/>
            </w:pPr>
            <w:r w:rsidRPr="00087644">
              <w:rPr>
                <w:vertAlign w:val="superscript"/>
              </w:rPr>
              <w:t>7</w:t>
            </w:r>
            <w:r w:rsidRPr="00087644">
              <w:t xml:space="preserve"> A análise pormenorizada dos custos associados aos novos requisitos de formatação consta do documento de trabalho dos serviços da Comissão que acompanha a proposta de regulamento do Parlamento Europeu e do Conselho que altera os Regulamentos (CE) n.º 1272/2008, (CE) n.º 1223/2009 e (UE) 2019/1009 no que diz respeito à simplificação de determinados requisitos e procedimentos aplicáveis aos produtos químicos, SWD(2025) 531, p. 14.</w:t>
            </w:r>
          </w:p>
        </w:tc>
        <w:tc>
          <w:tcPr>
            <w:tcW w:w="4876" w:type="dxa"/>
            <w:tcBorders>
              <w:top w:val="nil"/>
              <w:left w:val="nil"/>
              <w:bottom w:val="nil"/>
              <w:right w:val="nil"/>
            </w:tcBorders>
            <w:hideMark/>
          </w:tcPr>
          <w:p w14:paraId="4A1E8D15" w14:textId="77777777" w:rsidR="004D2B5D" w:rsidRPr="00087644" w:rsidRDefault="004D2B5D" w:rsidP="00D063A2">
            <w:pPr>
              <w:pStyle w:val="Normal6a"/>
            </w:pPr>
            <w:r w:rsidRPr="00087644">
              <w:rPr>
                <w:vertAlign w:val="superscript"/>
              </w:rPr>
              <w:t>7</w:t>
            </w:r>
            <w:r w:rsidRPr="00087644">
              <w:t xml:space="preserve"> A análise pormenorizada dos custos associados aos novos requisitos de formatação consta do documento de trabalho dos serviços da Comissão que acompanha a proposta de regulamento do Parlamento Europeu e do Conselho que altera os Regulamentos (CE) n.º 1272/2008, (CE) n.º 1223/2009 e (UE) 2019/1009 no que diz respeito à simplificação de determinados requisitos e procedimentos aplicáveis aos produtos químicos, SWD(2025) 531, p. 14.</w:t>
            </w:r>
          </w:p>
        </w:tc>
      </w:tr>
      <w:tr w:rsidR="004D2B5D" w:rsidRPr="00087644" w14:paraId="0697E6F1" w14:textId="77777777" w:rsidTr="00D063A2">
        <w:trPr>
          <w:jc w:val="center"/>
        </w:trPr>
        <w:tc>
          <w:tcPr>
            <w:tcW w:w="4876" w:type="dxa"/>
            <w:tcBorders>
              <w:top w:val="nil"/>
              <w:left w:val="nil"/>
              <w:bottom w:val="nil"/>
              <w:right w:val="nil"/>
            </w:tcBorders>
            <w:hideMark/>
          </w:tcPr>
          <w:p w14:paraId="42096ED6" w14:textId="77777777" w:rsidR="004D2B5D" w:rsidRPr="00087644" w:rsidRDefault="004D2B5D" w:rsidP="00D063A2">
            <w:pPr>
              <w:pStyle w:val="Normal6a"/>
            </w:pPr>
            <w:r w:rsidRPr="00087644">
              <w:rPr>
                <w:vertAlign w:val="superscript"/>
              </w:rPr>
              <w:t>8</w:t>
            </w:r>
            <w:r w:rsidRPr="00087644">
              <w:t xml:space="preserve"> Como se descreve na Comunicação da Comissão ao Parlamento Europeu, ao Conselho, ao Comité Económico e Social Europeu e ao Comité das Regiões «O mercado Único: o nosso mercado doméstico europeu num mundo incerto, Estratégia para simplificar, agilizar e fortalecer o mercado único», COM(2025) 500 final, p. 10, disponível em: https://single</w:t>
            </w:r>
            <w:r w:rsidRPr="00087644">
              <w:noBreakHyphen/>
              <w:t>market</w:t>
            </w:r>
            <w:r w:rsidRPr="00087644">
              <w:noBreakHyphen/>
              <w:t>economy.ec.europa.eu/document/download/d92c78d0</w:t>
            </w:r>
            <w:r w:rsidRPr="00087644">
              <w:noBreakHyphen/>
              <w:t>7d47</w:t>
            </w:r>
            <w:r w:rsidRPr="00087644">
              <w:noBreakHyphen/>
              <w:t>4a16</w:t>
            </w:r>
            <w:r w:rsidRPr="00087644">
              <w:noBreakHyphen/>
              <w:t>b53f</w:t>
            </w:r>
            <w:r w:rsidRPr="00087644">
              <w:noBreakHyphen/>
              <w:t>1cead54bcb49_en?filename=Communication%20</w:t>
            </w:r>
            <w:r w:rsidRPr="00087644">
              <w:noBreakHyphen/>
              <w:t>%20Single%20Market%20Strategy.pdf.</w:t>
            </w:r>
          </w:p>
        </w:tc>
        <w:tc>
          <w:tcPr>
            <w:tcW w:w="4876" w:type="dxa"/>
            <w:tcBorders>
              <w:top w:val="nil"/>
              <w:left w:val="nil"/>
              <w:bottom w:val="nil"/>
              <w:right w:val="nil"/>
            </w:tcBorders>
            <w:hideMark/>
          </w:tcPr>
          <w:p w14:paraId="7EEDDF2E" w14:textId="77777777" w:rsidR="004D2B5D" w:rsidRPr="00087644" w:rsidRDefault="004D2B5D" w:rsidP="00D063A2">
            <w:pPr>
              <w:pStyle w:val="Normal6a"/>
            </w:pPr>
            <w:r w:rsidRPr="00087644">
              <w:rPr>
                <w:vertAlign w:val="superscript"/>
              </w:rPr>
              <w:t>8</w:t>
            </w:r>
            <w:r w:rsidRPr="00087644">
              <w:t xml:space="preserve"> Como se descreve na Comunicação da Comissão ao Parlamento Europeu, ao Conselho, ao Comité Económico e Social Europeu e ao Comité das Regiões «O mercado Único: o nosso mercado doméstico europeu num mundo incerto, Estratégia para simplificar, agilizar e fortalecer o mercado único», COM(2025) 500 final, p. 10, disponível em: https://single</w:t>
            </w:r>
            <w:r w:rsidRPr="00087644">
              <w:noBreakHyphen/>
              <w:t>market</w:t>
            </w:r>
            <w:r w:rsidRPr="00087644">
              <w:noBreakHyphen/>
              <w:t>economy.ec.europa.eu/document/download/d92c78d0</w:t>
            </w:r>
            <w:r w:rsidRPr="00087644">
              <w:noBreakHyphen/>
              <w:t>7d47</w:t>
            </w:r>
            <w:r w:rsidRPr="00087644">
              <w:noBreakHyphen/>
              <w:t>4a16</w:t>
            </w:r>
            <w:r w:rsidRPr="00087644">
              <w:noBreakHyphen/>
              <w:t>b53f</w:t>
            </w:r>
            <w:r w:rsidRPr="00087644">
              <w:noBreakHyphen/>
              <w:t>1cead54bcb49_en?filename=Communication%20</w:t>
            </w:r>
            <w:r w:rsidRPr="00087644">
              <w:noBreakHyphen/>
              <w:t>%20Single%20Market%20Strategy.pdf.</w:t>
            </w:r>
          </w:p>
        </w:tc>
      </w:tr>
    </w:tbl>
    <w:p w14:paraId="0C836F84" w14:textId="77777777" w:rsidR="004D2B5D" w:rsidRPr="00087644" w:rsidRDefault="004D2B5D" w:rsidP="004D2B5D"/>
    <w:p w14:paraId="2959C4C4" w14:textId="77777777" w:rsidR="004D2B5D" w:rsidRPr="00087644" w:rsidRDefault="004D2B5D" w:rsidP="004D2B5D">
      <w:pPr>
        <w:pStyle w:val="AmNumberTabs"/>
      </w:pPr>
      <w:r w:rsidRPr="00087644">
        <w:t>Alteração</w:t>
      </w:r>
      <w:r w:rsidRPr="00087644">
        <w:tab/>
      </w:r>
      <w:r w:rsidRPr="00087644">
        <w:tab/>
        <w:t>8</w:t>
      </w:r>
    </w:p>
    <w:p w14:paraId="73DE5450" w14:textId="77777777" w:rsidR="004D2B5D" w:rsidRPr="00087644" w:rsidRDefault="004D2B5D" w:rsidP="004D2B5D">
      <w:pPr>
        <w:pStyle w:val="NormalBold"/>
      </w:pPr>
      <w:r w:rsidRPr="00087644">
        <w:t>Proposta de regulamento</w:t>
      </w:r>
    </w:p>
    <w:p w14:paraId="33557B59" w14:textId="77777777" w:rsidR="004D2B5D" w:rsidRPr="00087644" w:rsidRDefault="004D2B5D" w:rsidP="004D2B5D">
      <w:pPr>
        <w:pStyle w:val="NormalBold"/>
      </w:pPr>
      <w:r w:rsidRPr="00087644">
        <w:t>Considerando 7</w:t>
      </w:r>
      <w:r w:rsidRPr="00087644">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026791E8" w14:textId="77777777" w:rsidTr="00D063A2">
        <w:trPr>
          <w:trHeight w:val="240"/>
          <w:jc w:val="center"/>
        </w:trPr>
        <w:tc>
          <w:tcPr>
            <w:tcW w:w="9752" w:type="dxa"/>
            <w:gridSpan w:val="2"/>
            <w:tcBorders>
              <w:top w:val="nil"/>
              <w:left w:val="nil"/>
              <w:bottom w:val="nil"/>
              <w:right w:val="nil"/>
            </w:tcBorders>
          </w:tcPr>
          <w:p w14:paraId="7169C997" w14:textId="77777777" w:rsidR="004D2B5D" w:rsidRPr="00087644" w:rsidRDefault="004D2B5D" w:rsidP="00D063A2"/>
        </w:tc>
      </w:tr>
      <w:tr w:rsidR="004D2B5D" w:rsidRPr="00087644" w14:paraId="53A8D622" w14:textId="77777777" w:rsidTr="00D063A2">
        <w:trPr>
          <w:trHeight w:val="240"/>
          <w:jc w:val="center"/>
        </w:trPr>
        <w:tc>
          <w:tcPr>
            <w:tcW w:w="4876" w:type="dxa"/>
            <w:tcBorders>
              <w:top w:val="nil"/>
              <w:left w:val="nil"/>
              <w:bottom w:val="nil"/>
              <w:right w:val="nil"/>
            </w:tcBorders>
            <w:hideMark/>
          </w:tcPr>
          <w:p w14:paraId="5A55220F"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0F087CCF" w14:textId="77777777" w:rsidR="004D2B5D" w:rsidRPr="00087644" w:rsidRDefault="004D2B5D" w:rsidP="00D063A2">
            <w:pPr>
              <w:pStyle w:val="AmColumnHeading"/>
            </w:pPr>
            <w:r w:rsidRPr="00087644">
              <w:t>Alteração</w:t>
            </w:r>
          </w:p>
        </w:tc>
      </w:tr>
      <w:tr w:rsidR="004D2B5D" w:rsidRPr="00087644" w14:paraId="092C3A3A" w14:textId="77777777" w:rsidTr="00D063A2">
        <w:trPr>
          <w:jc w:val="center"/>
        </w:trPr>
        <w:tc>
          <w:tcPr>
            <w:tcW w:w="4876" w:type="dxa"/>
            <w:tcBorders>
              <w:top w:val="nil"/>
              <w:left w:val="nil"/>
              <w:bottom w:val="nil"/>
              <w:right w:val="nil"/>
            </w:tcBorders>
          </w:tcPr>
          <w:p w14:paraId="0F2BB464" w14:textId="77777777" w:rsidR="004D2B5D" w:rsidRPr="00087644" w:rsidRDefault="004D2B5D" w:rsidP="00D063A2">
            <w:pPr>
              <w:pStyle w:val="Normal6a"/>
            </w:pPr>
          </w:p>
        </w:tc>
        <w:tc>
          <w:tcPr>
            <w:tcW w:w="4876" w:type="dxa"/>
            <w:tcBorders>
              <w:top w:val="nil"/>
              <w:left w:val="nil"/>
              <w:bottom w:val="nil"/>
              <w:right w:val="nil"/>
            </w:tcBorders>
            <w:hideMark/>
          </w:tcPr>
          <w:p w14:paraId="1AB4123C" w14:textId="77777777" w:rsidR="004D2B5D" w:rsidRPr="00087644" w:rsidRDefault="004D2B5D" w:rsidP="00D063A2">
            <w:pPr>
              <w:pStyle w:val="Normal6a"/>
            </w:pPr>
            <w:r w:rsidRPr="00087644">
              <w:rPr>
                <w:b/>
                <w:i/>
              </w:rPr>
              <w:t>(7</w:t>
            </w:r>
            <w:r w:rsidRPr="00087644">
              <w:rPr>
                <w:b/>
                <w:i/>
              </w:rPr>
              <w:noBreakHyphen/>
              <w:t>A)</w:t>
            </w:r>
            <w:r w:rsidRPr="00087644">
              <w:tab/>
            </w:r>
            <w:r w:rsidRPr="00087644">
              <w:rPr>
                <w:b/>
                <w:i/>
              </w:rPr>
              <w:t xml:space="preserve">O rótulo constitui a principal, e amiúde única, fonte de informação sobre perigos e orientação para uma utilização segura a que os consumidores podem facilmente aceder, ao passo que os utilizadores profissionais e industriais são também informados sobre os perigos associados a determinada substância ou mistura antes da sua utilização através de fichas de dados de segurança e de </w:t>
            </w:r>
            <w:r w:rsidRPr="00087644">
              <w:rPr>
                <w:b/>
                <w:i/>
              </w:rPr>
              <w:lastRenderedPageBreak/>
              <w:t>formação sobre segurança. Por conseguinte, é indispensável que os rótulos sejam facilmente legíveis não só em condições normais, mas também em circunstâncias excecionais, como em caso de acidente.</w:t>
            </w:r>
          </w:p>
        </w:tc>
      </w:tr>
    </w:tbl>
    <w:p w14:paraId="00C27FEB" w14:textId="77777777" w:rsidR="004D2B5D" w:rsidRPr="00087644" w:rsidRDefault="004D2B5D" w:rsidP="004D2B5D"/>
    <w:p w14:paraId="40B1FA5E" w14:textId="77777777" w:rsidR="004D2B5D" w:rsidRPr="00087644" w:rsidRDefault="004D2B5D" w:rsidP="004D2B5D">
      <w:pPr>
        <w:pStyle w:val="AmNumberTabs"/>
      </w:pPr>
      <w:r w:rsidRPr="00087644">
        <w:t>Alteração</w:t>
      </w:r>
      <w:r w:rsidRPr="00087644">
        <w:tab/>
      </w:r>
      <w:r w:rsidRPr="00087644">
        <w:tab/>
        <w:t>9</w:t>
      </w:r>
    </w:p>
    <w:p w14:paraId="06DEB122" w14:textId="77777777" w:rsidR="004D2B5D" w:rsidRPr="00087644" w:rsidRDefault="004D2B5D" w:rsidP="004D2B5D">
      <w:pPr>
        <w:pStyle w:val="NormalBold"/>
      </w:pPr>
      <w:r w:rsidRPr="00087644">
        <w:t>Proposta de regulamento</w:t>
      </w:r>
    </w:p>
    <w:p w14:paraId="283E2125" w14:textId="77777777" w:rsidR="004D2B5D" w:rsidRPr="00087644" w:rsidRDefault="004D2B5D" w:rsidP="004D2B5D">
      <w:pPr>
        <w:pStyle w:val="NormalBold"/>
      </w:pPr>
      <w:r w:rsidRPr="00087644">
        <w:t>Considerando 7</w:t>
      </w:r>
      <w:r w:rsidRPr="00087644">
        <w:noBreakHyphen/>
        <w:t>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419E7931" w14:textId="77777777" w:rsidTr="00D063A2">
        <w:trPr>
          <w:trHeight w:val="240"/>
          <w:jc w:val="center"/>
        </w:trPr>
        <w:tc>
          <w:tcPr>
            <w:tcW w:w="9752" w:type="dxa"/>
            <w:gridSpan w:val="2"/>
            <w:tcBorders>
              <w:top w:val="nil"/>
              <w:left w:val="nil"/>
              <w:bottom w:val="nil"/>
              <w:right w:val="nil"/>
            </w:tcBorders>
          </w:tcPr>
          <w:p w14:paraId="728A6054" w14:textId="77777777" w:rsidR="004D2B5D" w:rsidRPr="00087644" w:rsidRDefault="004D2B5D" w:rsidP="00D063A2"/>
        </w:tc>
      </w:tr>
      <w:tr w:rsidR="004D2B5D" w:rsidRPr="00087644" w14:paraId="5183A409" w14:textId="77777777" w:rsidTr="00D063A2">
        <w:trPr>
          <w:trHeight w:val="240"/>
          <w:jc w:val="center"/>
        </w:trPr>
        <w:tc>
          <w:tcPr>
            <w:tcW w:w="4876" w:type="dxa"/>
            <w:tcBorders>
              <w:top w:val="nil"/>
              <w:left w:val="nil"/>
              <w:bottom w:val="nil"/>
              <w:right w:val="nil"/>
            </w:tcBorders>
            <w:hideMark/>
          </w:tcPr>
          <w:p w14:paraId="779C1E3F"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3B4141BC" w14:textId="77777777" w:rsidR="004D2B5D" w:rsidRPr="00087644" w:rsidRDefault="004D2B5D" w:rsidP="00D063A2">
            <w:pPr>
              <w:pStyle w:val="AmColumnHeading"/>
            </w:pPr>
            <w:r w:rsidRPr="00087644">
              <w:t>Alteração</w:t>
            </w:r>
          </w:p>
        </w:tc>
      </w:tr>
      <w:tr w:rsidR="004D2B5D" w:rsidRPr="00087644" w14:paraId="069F85B9" w14:textId="77777777" w:rsidTr="00D063A2">
        <w:trPr>
          <w:jc w:val="center"/>
        </w:trPr>
        <w:tc>
          <w:tcPr>
            <w:tcW w:w="4876" w:type="dxa"/>
            <w:tcBorders>
              <w:top w:val="nil"/>
              <w:left w:val="nil"/>
              <w:bottom w:val="nil"/>
              <w:right w:val="nil"/>
            </w:tcBorders>
          </w:tcPr>
          <w:p w14:paraId="4238C5D6" w14:textId="77777777" w:rsidR="004D2B5D" w:rsidRPr="00087644" w:rsidRDefault="004D2B5D" w:rsidP="00D063A2">
            <w:pPr>
              <w:pStyle w:val="Normal6a"/>
            </w:pPr>
          </w:p>
        </w:tc>
        <w:tc>
          <w:tcPr>
            <w:tcW w:w="4876" w:type="dxa"/>
            <w:tcBorders>
              <w:top w:val="nil"/>
              <w:left w:val="nil"/>
              <w:bottom w:val="nil"/>
              <w:right w:val="nil"/>
            </w:tcBorders>
            <w:hideMark/>
          </w:tcPr>
          <w:p w14:paraId="170A710C" w14:textId="77777777" w:rsidR="004D2B5D" w:rsidRPr="00087644" w:rsidRDefault="004D2B5D" w:rsidP="00D063A2">
            <w:pPr>
              <w:pStyle w:val="Normal6a"/>
            </w:pPr>
            <w:r w:rsidRPr="00087644">
              <w:rPr>
                <w:b/>
                <w:i/>
              </w:rPr>
              <w:t>(7</w:t>
            </w:r>
            <w:r w:rsidRPr="00087644">
              <w:rPr>
                <w:b/>
                <w:i/>
              </w:rPr>
              <w:noBreakHyphen/>
              <w:t>B)</w:t>
            </w:r>
            <w:r w:rsidRPr="00087644">
              <w:tab/>
            </w:r>
            <w:r w:rsidRPr="00087644">
              <w:rPr>
                <w:b/>
                <w:i/>
              </w:rPr>
              <w:t xml:space="preserve">Para garantir que os rótulos sejam devidamente legíveis, deverão, pelo menos, apresentar um contraste nítido entre o texto e o fundo do rótulo, um tipo e tamanho de letra adequados, um espaçamento adequado entre as linhas e entre os caracteres, um desenho geral apropriado e outros elementos de formatação pertinentes. Em particular, no caso das substâncias ou misturas disponíveis no mercado para o público em geral, os elementos do rótulo referidos no artigo 17.º, n.º 1, deverão utilizar um tamanho de letra cuja altura x seja igual ou superior a 1,2 mm. Não obstante, se o conteúdo da embalagem não exceder 125 ml, os elementos do rótulo referidos no artigo 17.º, n.º 1, poderão utilizar um tamanho de letra cuja altura x seja igual ou superior a 0,9 mm. A Agência Europeia dos Produtos Químicos (ECHA) deverá atualizar as suas orientações sobre a formatação dos rótulos e incluir exemplos claros do que constitui um exemplo aceitável e inaceitável de formatação dos rótulos. As orientações deverão ter em conta os formatos de rotulagem estabelecidos noutros atos legislativos pertinentes da União, bem como as melhores práticas de «conceção acessível» e as normas de legibilidade aceites, em que se incluem as combinações de cores aceitáveis e inaceitáveis para garantir o contraste. As orientações deverão ajudar as autoridades nacionais competentes a garantir a aplicação da legislação, ser elaboradas </w:t>
            </w:r>
            <w:r w:rsidRPr="00087644">
              <w:rPr>
                <w:b/>
                <w:i/>
              </w:rPr>
              <w:lastRenderedPageBreak/>
              <w:t>em conformidade com os princípios «legislar melhor» e ter por base uma consulta adequada das partes interessadas, contribuir para a competitividade através da redução dos encargos desnecessários, proporcionar segurança aos fornecedores e assegurar uma concorrência leal no mercado interno.</w:t>
            </w:r>
          </w:p>
        </w:tc>
      </w:tr>
    </w:tbl>
    <w:p w14:paraId="30D9ABB4" w14:textId="77777777" w:rsidR="004D2B5D" w:rsidRPr="00087644" w:rsidRDefault="004D2B5D" w:rsidP="004D2B5D"/>
    <w:p w14:paraId="299CD349" w14:textId="77777777" w:rsidR="004D2B5D" w:rsidRPr="00087644" w:rsidRDefault="004D2B5D" w:rsidP="004D2B5D">
      <w:pPr>
        <w:pStyle w:val="AmNumberTabs"/>
      </w:pPr>
      <w:r w:rsidRPr="00087644">
        <w:t>Alteração</w:t>
      </w:r>
      <w:r w:rsidRPr="00087644">
        <w:tab/>
      </w:r>
      <w:r w:rsidRPr="00087644">
        <w:tab/>
        <w:t>10</w:t>
      </w:r>
    </w:p>
    <w:p w14:paraId="00626885" w14:textId="77777777" w:rsidR="004D2B5D" w:rsidRPr="00087644" w:rsidRDefault="004D2B5D" w:rsidP="004D2B5D">
      <w:pPr>
        <w:pStyle w:val="NormalBold"/>
      </w:pPr>
      <w:r w:rsidRPr="00087644">
        <w:t>Proposta de regulamento</w:t>
      </w:r>
    </w:p>
    <w:p w14:paraId="5A50775A" w14:textId="77777777" w:rsidR="004D2B5D" w:rsidRPr="00087644" w:rsidRDefault="004D2B5D" w:rsidP="004D2B5D">
      <w:pPr>
        <w:pStyle w:val="NormalBold"/>
      </w:pPr>
      <w:r w:rsidRPr="00087644">
        <w:t>Considerando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7A5068DB" w14:textId="77777777" w:rsidTr="00D063A2">
        <w:trPr>
          <w:trHeight w:val="240"/>
          <w:jc w:val="center"/>
        </w:trPr>
        <w:tc>
          <w:tcPr>
            <w:tcW w:w="9752" w:type="dxa"/>
            <w:gridSpan w:val="2"/>
            <w:tcBorders>
              <w:top w:val="nil"/>
              <w:left w:val="nil"/>
              <w:bottom w:val="nil"/>
              <w:right w:val="nil"/>
            </w:tcBorders>
          </w:tcPr>
          <w:p w14:paraId="5BFFAB03" w14:textId="77777777" w:rsidR="004D2B5D" w:rsidRPr="00087644" w:rsidRDefault="004D2B5D" w:rsidP="00D063A2"/>
        </w:tc>
      </w:tr>
      <w:tr w:rsidR="004D2B5D" w:rsidRPr="00087644" w14:paraId="24054EE2" w14:textId="77777777" w:rsidTr="00D063A2">
        <w:trPr>
          <w:trHeight w:val="240"/>
          <w:jc w:val="center"/>
        </w:trPr>
        <w:tc>
          <w:tcPr>
            <w:tcW w:w="4876" w:type="dxa"/>
            <w:tcBorders>
              <w:top w:val="nil"/>
              <w:left w:val="nil"/>
              <w:bottom w:val="nil"/>
              <w:right w:val="nil"/>
            </w:tcBorders>
            <w:hideMark/>
          </w:tcPr>
          <w:p w14:paraId="79D3806F"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41F30B4D" w14:textId="77777777" w:rsidR="004D2B5D" w:rsidRPr="00087644" w:rsidRDefault="004D2B5D" w:rsidP="00D063A2">
            <w:pPr>
              <w:pStyle w:val="AmColumnHeading"/>
            </w:pPr>
            <w:r w:rsidRPr="00087644">
              <w:t>Alteração</w:t>
            </w:r>
          </w:p>
        </w:tc>
      </w:tr>
      <w:tr w:rsidR="004D2B5D" w:rsidRPr="00087644" w14:paraId="039F53CE" w14:textId="77777777" w:rsidTr="00D063A2">
        <w:trPr>
          <w:jc w:val="center"/>
        </w:trPr>
        <w:tc>
          <w:tcPr>
            <w:tcW w:w="4876" w:type="dxa"/>
            <w:tcBorders>
              <w:top w:val="nil"/>
              <w:left w:val="nil"/>
              <w:bottom w:val="nil"/>
              <w:right w:val="nil"/>
            </w:tcBorders>
            <w:hideMark/>
          </w:tcPr>
          <w:p w14:paraId="7AAFF9A2" w14:textId="77777777" w:rsidR="004D2B5D" w:rsidRPr="00087644" w:rsidRDefault="004D2B5D" w:rsidP="00D063A2">
            <w:pPr>
              <w:pStyle w:val="Normal6a"/>
            </w:pPr>
            <w:r w:rsidRPr="00087644">
              <w:t>(8)</w:t>
            </w:r>
            <w:r w:rsidRPr="00087644">
              <w:tab/>
              <w:t xml:space="preserve">A fim de aliviar os encargos para a indústria e melhorar a livre circulação de substâncias e misturas no mercado interno, é conveniente alterar o Regulamento (CE) n.º 1272/2008 no que diz respeito às regras em matéria de publicidade e </w:t>
            </w:r>
            <w:r w:rsidRPr="00087644">
              <w:rPr>
                <w:b/>
                <w:i/>
              </w:rPr>
              <w:t>vendas</w:t>
            </w:r>
            <w:r w:rsidRPr="00087644">
              <w:t xml:space="preserve"> à distância, tirando partido das disposições existentes noutros atos legislativos da União que visam os mesmos objetivos. A este respeito, os requisitos aplicáveis à publicidade e </w:t>
            </w:r>
            <w:r w:rsidRPr="00087644">
              <w:rPr>
                <w:b/>
                <w:i/>
              </w:rPr>
              <w:t>às vendas</w:t>
            </w:r>
            <w:r w:rsidRPr="00087644">
              <w:t xml:space="preserve"> à distância devem limitar</w:t>
            </w:r>
            <w:r w:rsidRPr="00087644">
              <w:noBreakHyphen/>
              <w:t>se aos produtos colocados no mercado para o público em geral, uma vez que o Regulamento (CE) n.º 1907/2006</w:t>
            </w:r>
            <w:r w:rsidRPr="00087644">
              <w:rPr>
                <w:vertAlign w:val="superscript"/>
              </w:rPr>
              <w:t>9</w:t>
            </w:r>
            <w:r w:rsidRPr="00087644">
              <w:t xml:space="preserve"> já prevê obrigações claras sobre os fluxos de informação nas cadeias de abastecimento de substâncias e misturas.</w:t>
            </w:r>
          </w:p>
        </w:tc>
        <w:tc>
          <w:tcPr>
            <w:tcW w:w="4876" w:type="dxa"/>
            <w:tcBorders>
              <w:top w:val="nil"/>
              <w:left w:val="nil"/>
              <w:bottom w:val="nil"/>
              <w:right w:val="nil"/>
            </w:tcBorders>
            <w:hideMark/>
          </w:tcPr>
          <w:p w14:paraId="4C08AB45" w14:textId="77777777" w:rsidR="004D2B5D" w:rsidRPr="00087644" w:rsidRDefault="004D2B5D" w:rsidP="00D063A2">
            <w:pPr>
              <w:pStyle w:val="Normal6a"/>
            </w:pPr>
            <w:r w:rsidRPr="00087644">
              <w:t>(8)</w:t>
            </w:r>
            <w:r w:rsidRPr="00087644">
              <w:tab/>
              <w:t xml:space="preserve">A fim de aliviar os encargos para a indústria e melhorar a livre circulação de substâncias e misturas no mercado interno, é conveniente alterar o Regulamento (CE) n.º 1272/2008 no que diz respeito às regras em matéria de publicidade e </w:t>
            </w:r>
            <w:r w:rsidRPr="00087644">
              <w:rPr>
                <w:b/>
                <w:i/>
              </w:rPr>
              <w:t>de disponibilização por venda</w:t>
            </w:r>
            <w:r w:rsidRPr="00087644">
              <w:t xml:space="preserve"> à distância, tirando partido das disposições existentes noutros atos legislativos da União que visam os mesmos objetivos. A este respeito, os requisitos aplicáveis à publicidade e </w:t>
            </w:r>
            <w:r w:rsidRPr="00087644">
              <w:rPr>
                <w:b/>
                <w:i/>
              </w:rPr>
              <w:t>à disponibilização por venda</w:t>
            </w:r>
            <w:r w:rsidRPr="00087644">
              <w:t xml:space="preserve"> à distância devem limitar</w:t>
            </w:r>
            <w:r w:rsidRPr="00087644">
              <w:noBreakHyphen/>
              <w:t>se aos produtos colocados no mercado para o público em geral, uma vez que o Regulamento (CE) n.º 1907/2006</w:t>
            </w:r>
            <w:r w:rsidRPr="00087644">
              <w:rPr>
                <w:vertAlign w:val="superscript"/>
              </w:rPr>
              <w:t>9</w:t>
            </w:r>
            <w:r w:rsidRPr="00087644">
              <w:t xml:space="preserve"> já prevê obrigações claras sobre os fluxos de informação nas cadeias de abastecimento de substâncias e misturas.</w:t>
            </w:r>
          </w:p>
        </w:tc>
      </w:tr>
      <w:tr w:rsidR="004D2B5D" w:rsidRPr="00087644" w14:paraId="466F55AD" w14:textId="77777777" w:rsidTr="00D063A2">
        <w:trPr>
          <w:jc w:val="center"/>
        </w:trPr>
        <w:tc>
          <w:tcPr>
            <w:tcW w:w="4876" w:type="dxa"/>
            <w:tcBorders>
              <w:top w:val="nil"/>
              <w:left w:val="nil"/>
              <w:bottom w:val="nil"/>
              <w:right w:val="nil"/>
            </w:tcBorders>
            <w:hideMark/>
          </w:tcPr>
          <w:p w14:paraId="125EC23B" w14:textId="77777777" w:rsidR="004D2B5D" w:rsidRPr="00087644" w:rsidRDefault="004D2B5D" w:rsidP="00D063A2">
            <w:pPr>
              <w:pStyle w:val="Normal6a"/>
            </w:pPr>
            <w:r w:rsidRPr="00087644">
              <w:rPr>
                <w:b/>
                <w:i/>
              </w:rPr>
              <w:t>_________________</w:t>
            </w:r>
          </w:p>
        </w:tc>
        <w:tc>
          <w:tcPr>
            <w:tcW w:w="4876" w:type="dxa"/>
            <w:tcBorders>
              <w:top w:val="nil"/>
              <w:left w:val="nil"/>
              <w:bottom w:val="nil"/>
              <w:right w:val="nil"/>
            </w:tcBorders>
            <w:hideMark/>
          </w:tcPr>
          <w:p w14:paraId="584E1458" w14:textId="77777777" w:rsidR="004D2B5D" w:rsidRPr="00087644" w:rsidRDefault="004D2B5D" w:rsidP="00D063A2">
            <w:pPr>
              <w:pStyle w:val="Normal6a"/>
            </w:pPr>
            <w:r w:rsidRPr="00087644">
              <w:rPr>
                <w:b/>
                <w:i/>
              </w:rPr>
              <w:t>_________________</w:t>
            </w:r>
          </w:p>
        </w:tc>
      </w:tr>
      <w:tr w:rsidR="004D2B5D" w:rsidRPr="00087644" w14:paraId="5B0D5DEF" w14:textId="77777777" w:rsidTr="00D063A2">
        <w:trPr>
          <w:jc w:val="center"/>
        </w:trPr>
        <w:tc>
          <w:tcPr>
            <w:tcW w:w="4876" w:type="dxa"/>
            <w:tcBorders>
              <w:top w:val="nil"/>
              <w:left w:val="nil"/>
              <w:bottom w:val="nil"/>
              <w:right w:val="nil"/>
            </w:tcBorders>
            <w:hideMark/>
          </w:tcPr>
          <w:p w14:paraId="3836A24B" w14:textId="158F6301" w:rsidR="004D2B5D" w:rsidRPr="00087644" w:rsidRDefault="004D2B5D" w:rsidP="00D063A2">
            <w:pPr>
              <w:pStyle w:val="Normal6a"/>
            </w:pPr>
            <w:r w:rsidRPr="00087644">
              <w:rPr>
                <w:vertAlign w:val="superscript"/>
              </w:rPr>
              <w:t>9</w:t>
            </w:r>
            <w:r w:rsidRPr="00087644">
              <w:t xml:space="preserve"> 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2000/21/CE da Comissão (JO </w:t>
            </w:r>
            <w:r w:rsidRPr="00087644">
              <w:lastRenderedPageBreak/>
              <w:t xml:space="preserve">L 396 de 30.12.2006, p. 1, ELI: </w:t>
            </w:r>
            <w:hyperlink r:id="rId17" w:history="1">
              <w:r w:rsidR="000C7B72" w:rsidRPr="00087644">
                <w:rPr>
                  <w:rStyle w:val="Hyperlink"/>
                </w:rPr>
                <w:t>http://data.europa.eu/eli/reg/2006/1907/oj</w:t>
              </w:r>
            </w:hyperlink>
            <w:r w:rsidRPr="00087644">
              <w:t>).</w:t>
            </w:r>
          </w:p>
        </w:tc>
        <w:tc>
          <w:tcPr>
            <w:tcW w:w="4876" w:type="dxa"/>
            <w:tcBorders>
              <w:top w:val="nil"/>
              <w:left w:val="nil"/>
              <w:bottom w:val="nil"/>
              <w:right w:val="nil"/>
            </w:tcBorders>
            <w:hideMark/>
          </w:tcPr>
          <w:p w14:paraId="22FCE5EC" w14:textId="2CD8D46C" w:rsidR="004D2B5D" w:rsidRPr="00087644" w:rsidRDefault="004D2B5D" w:rsidP="00D063A2">
            <w:pPr>
              <w:pStyle w:val="Normal6a"/>
            </w:pPr>
            <w:r w:rsidRPr="00087644">
              <w:rPr>
                <w:vertAlign w:val="superscript"/>
              </w:rPr>
              <w:lastRenderedPageBreak/>
              <w:t>9</w:t>
            </w:r>
            <w:r w:rsidRPr="00087644">
              <w:t xml:space="preserve"> 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2000/21/CE da Comissão (JO </w:t>
            </w:r>
            <w:r w:rsidRPr="00087644">
              <w:lastRenderedPageBreak/>
              <w:t xml:space="preserve">L 396 de 30.12.2006, p. 1, ELI: </w:t>
            </w:r>
            <w:hyperlink r:id="rId18" w:history="1">
              <w:r w:rsidR="000C7B72" w:rsidRPr="00087644">
                <w:rPr>
                  <w:rStyle w:val="Hyperlink"/>
                </w:rPr>
                <w:t>http://data.europa.eu/eli/reg/2006/1907/oj</w:t>
              </w:r>
            </w:hyperlink>
            <w:r w:rsidRPr="00087644">
              <w:t>).</w:t>
            </w:r>
          </w:p>
        </w:tc>
      </w:tr>
    </w:tbl>
    <w:p w14:paraId="2AD97371" w14:textId="77777777" w:rsidR="004D2B5D" w:rsidRPr="00087644" w:rsidRDefault="004D2B5D" w:rsidP="004D2B5D"/>
    <w:p w14:paraId="732E72D1" w14:textId="77777777" w:rsidR="004D2B5D" w:rsidRPr="00087644" w:rsidRDefault="004D2B5D" w:rsidP="004D2B5D">
      <w:pPr>
        <w:pStyle w:val="AmNumberTabs"/>
      </w:pPr>
      <w:r w:rsidRPr="00087644">
        <w:t>Alteração</w:t>
      </w:r>
      <w:r w:rsidRPr="00087644">
        <w:tab/>
      </w:r>
      <w:r w:rsidRPr="00087644">
        <w:tab/>
        <w:t>11</w:t>
      </w:r>
    </w:p>
    <w:p w14:paraId="57F7A1AD" w14:textId="77777777" w:rsidR="004D2B5D" w:rsidRPr="00087644" w:rsidRDefault="004D2B5D" w:rsidP="004D2B5D">
      <w:pPr>
        <w:pStyle w:val="NormalBold"/>
      </w:pPr>
      <w:r w:rsidRPr="00087644">
        <w:t>Proposta de regulamento</w:t>
      </w:r>
    </w:p>
    <w:p w14:paraId="52025D76" w14:textId="77777777" w:rsidR="004D2B5D" w:rsidRPr="00087644" w:rsidRDefault="004D2B5D" w:rsidP="004D2B5D">
      <w:pPr>
        <w:pStyle w:val="NormalBold"/>
      </w:pPr>
      <w:r w:rsidRPr="00087644">
        <w:t>Considerando 8</w:t>
      </w:r>
      <w:r w:rsidRPr="00087644">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0482EC74" w14:textId="77777777" w:rsidTr="00D063A2">
        <w:trPr>
          <w:trHeight w:val="240"/>
          <w:jc w:val="center"/>
        </w:trPr>
        <w:tc>
          <w:tcPr>
            <w:tcW w:w="9752" w:type="dxa"/>
            <w:gridSpan w:val="2"/>
            <w:tcBorders>
              <w:top w:val="nil"/>
              <w:left w:val="nil"/>
              <w:bottom w:val="nil"/>
              <w:right w:val="nil"/>
            </w:tcBorders>
          </w:tcPr>
          <w:p w14:paraId="3FC85C1F" w14:textId="77777777" w:rsidR="004D2B5D" w:rsidRPr="00087644" w:rsidRDefault="004D2B5D" w:rsidP="00D063A2"/>
        </w:tc>
      </w:tr>
      <w:tr w:rsidR="004D2B5D" w:rsidRPr="00087644" w14:paraId="6E33C6C1" w14:textId="77777777" w:rsidTr="00D063A2">
        <w:trPr>
          <w:trHeight w:val="240"/>
          <w:jc w:val="center"/>
        </w:trPr>
        <w:tc>
          <w:tcPr>
            <w:tcW w:w="4876" w:type="dxa"/>
            <w:tcBorders>
              <w:top w:val="nil"/>
              <w:left w:val="nil"/>
              <w:bottom w:val="nil"/>
              <w:right w:val="nil"/>
            </w:tcBorders>
            <w:hideMark/>
          </w:tcPr>
          <w:p w14:paraId="2DB5D3CA"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338AC852" w14:textId="77777777" w:rsidR="004D2B5D" w:rsidRPr="00087644" w:rsidRDefault="004D2B5D" w:rsidP="00D063A2">
            <w:pPr>
              <w:pStyle w:val="AmColumnHeading"/>
            </w:pPr>
            <w:r w:rsidRPr="00087644">
              <w:t>Alteração</w:t>
            </w:r>
          </w:p>
        </w:tc>
      </w:tr>
      <w:tr w:rsidR="004D2B5D" w:rsidRPr="00087644" w14:paraId="7F9B806F" w14:textId="77777777" w:rsidTr="00D063A2">
        <w:trPr>
          <w:jc w:val="center"/>
        </w:trPr>
        <w:tc>
          <w:tcPr>
            <w:tcW w:w="4876" w:type="dxa"/>
            <w:tcBorders>
              <w:top w:val="nil"/>
              <w:left w:val="nil"/>
              <w:bottom w:val="nil"/>
              <w:right w:val="nil"/>
            </w:tcBorders>
          </w:tcPr>
          <w:p w14:paraId="535CD991" w14:textId="77777777" w:rsidR="004D2B5D" w:rsidRPr="00087644" w:rsidRDefault="004D2B5D" w:rsidP="00D063A2">
            <w:pPr>
              <w:pStyle w:val="Normal6a"/>
            </w:pPr>
          </w:p>
        </w:tc>
        <w:tc>
          <w:tcPr>
            <w:tcW w:w="4876" w:type="dxa"/>
            <w:tcBorders>
              <w:top w:val="nil"/>
              <w:left w:val="nil"/>
              <w:bottom w:val="nil"/>
              <w:right w:val="nil"/>
            </w:tcBorders>
            <w:hideMark/>
          </w:tcPr>
          <w:p w14:paraId="2C136878" w14:textId="77777777" w:rsidR="004D2B5D" w:rsidRPr="00087644" w:rsidRDefault="004D2B5D" w:rsidP="00D063A2">
            <w:pPr>
              <w:pStyle w:val="Normal6a"/>
            </w:pPr>
            <w:r w:rsidRPr="00087644">
              <w:rPr>
                <w:b/>
                <w:i/>
              </w:rPr>
              <w:t>(8</w:t>
            </w:r>
            <w:r w:rsidRPr="00087644">
              <w:rPr>
                <w:b/>
                <w:i/>
              </w:rPr>
              <w:noBreakHyphen/>
              <w:t>A)</w:t>
            </w:r>
            <w:r w:rsidRPr="00087644">
              <w:tab/>
            </w:r>
            <w:r w:rsidRPr="00087644">
              <w:rPr>
                <w:b/>
                <w:i/>
              </w:rPr>
              <w:t>Os utilizadores profissionais e industriais estão geralmente mais bem informados sobre os perigos associados às substâncias e misturas do que os consumidores. Por conseguinte, convém diferenciar os requisitos de informação respeitantes à publicidade consoante os produtos se destinem a utilização profissional e industrial ou aos consumidores ou lhes sejam diretamente disponibilizados. Ao avaliar se determinada publicidade se dirige aos consumidores ou lhes é disponibilizada, as autoridades competentes deverão ter em conta elementos objetivos, entre os quais se é claramente indicado que a substância ou mistura se destina exclusivamente a utilização profissional, bem como o contexto em que a publicidade ou oferta é disponibilizada, como feiras comerciais, publicações comerciais ou plataformas digitais dirigidas a utilizadores profissionais. Já existem disposições semelhantes no direito da União.</w:t>
            </w:r>
          </w:p>
        </w:tc>
      </w:tr>
    </w:tbl>
    <w:p w14:paraId="0B9B0F0C" w14:textId="77777777" w:rsidR="004D2B5D" w:rsidRPr="00087644" w:rsidRDefault="004D2B5D" w:rsidP="004D2B5D"/>
    <w:p w14:paraId="569D086A" w14:textId="77777777" w:rsidR="004D2B5D" w:rsidRPr="00087644" w:rsidRDefault="004D2B5D" w:rsidP="004D2B5D">
      <w:pPr>
        <w:pStyle w:val="AmNumberTabs"/>
      </w:pPr>
      <w:r w:rsidRPr="00087644">
        <w:t>Alteração</w:t>
      </w:r>
      <w:r w:rsidRPr="00087644">
        <w:tab/>
      </w:r>
      <w:r w:rsidRPr="00087644">
        <w:tab/>
        <w:t>12</w:t>
      </w:r>
    </w:p>
    <w:p w14:paraId="6158A82B" w14:textId="77777777" w:rsidR="004D2B5D" w:rsidRPr="00087644" w:rsidRDefault="004D2B5D" w:rsidP="004D2B5D">
      <w:pPr>
        <w:pStyle w:val="NormalBold"/>
      </w:pPr>
      <w:r w:rsidRPr="00087644">
        <w:t>Proposta de regulamento</w:t>
      </w:r>
    </w:p>
    <w:p w14:paraId="21385569" w14:textId="77777777" w:rsidR="004D2B5D" w:rsidRPr="00087644" w:rsidRDefault="004D2B5D" w:rsidP="004D2B5D">
      <w:pPr>
        <w:pStyle w:val="NormalBold"/>
      </w:pPr>
      <w:r w:rsidRPr="00087644">
        <w:t>Considerando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46DCF3AE" w14:textId="77777777" w:rsidTr="00D063A2">
        <w:trPr>
          <w:trHeight w:val="240"/>
          <w:jc w:val="center"/>
        </w:trPr>
        <w:tc>
          <w:tcPr>
            <w:tcW w:w="9752" w:type="dxa"/>
            <w:gridSpan w:val="2"/>
            <w:tcBorders>
              <w:top w:val="nil"/>
              <w:left w:val="nil"/>
              <w:bottom w:val="nil"/>
              <w:right w:val="nil"/>
            </w:tcBorders>
          </w:tcPr>
          <w:p w14:paraId="0931642E" w14:textId="77777777" w:rsidR="004D2B5D" w:rsidRPr="00087644" w:rsidRDefault="004D2B5D" w:rsidP="00D063A2"/>
        </w:tc>
      </w:tr>
      <w:tr w:rsidR="004D2B5D" w:rsidRPr="00087644" w14:paraId="0662ACD1" w14:textId="77777777" w:rsidTr="00D063A2">
        <w:trPr>
          <w:trHeight w:val="240"/>
          <w:jc w:val="center"/>
        </w:trPr>
        <w:tc>
          <w:tcPr>
            <w:tcW w:w="4876" w:type="dxa"/>
            <w:tcBorders>
              <w:top w:val="nil"/>
              <w:left w:val="nil"/>
              <w:bottom w:val="nil"/>
              <w:right w:val="nil"/>
            </w:tcBorders>
            <w:hideMark/>
          </w:tcPr>
          <w:p w14:paraId="257D322E"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4EFACBA1" w14:textId="77777777" w:rsidR="004D2B5D" w:rsidRPr="00087644" w:rsidRDefault="004D2B5D" w:rsidP="00D063A2">
            <w:pPr>
              <w:pStyle w:val="AmColumnHeading"/>
            </w:pPr>
            <w:r w:rsidRPr="00087644">
              <w:t>Alteração</w:t>
            </w:r>
          </w:p>
        </w:tc>
      </w:tr>
      <w:tr w:rsidR="004D2B5D" w:rsidRPr="00087644" w14:paraId="20582862" w14:textId="77777777" w:rsidTr="00D063A2">
        <w:trPr>
          <w:jc w:val="center"/>
        </w:trPr>
        <w:tc>
          <w:tcPr>
            <w:tcW w:w="4876" w:type="dxa"/>
            <w:tcBorders>
              <w:top w:val="nil"/>
              <w:left w:val="nil"/>
              <w:bottom w:val="nil"/>
              <w:right w:val="nil"/>
            </w:tcBorders>
            <w:hideMark/>
          </w:tcPr>
          <w:p w14:paraId="128C92CA" w14:textId="77777777" w:rsidR="004D2B5D" w:rsidRPr="00087644" w:rsidRDefault="004D2B5D" w:rsidP="00D063A2">
            <w:pPr>
              <w:pStyle w:val="Normal6a"/>
            </w:pPr>
            <w:r w:rsidRPr="00087644">
              <w:t>(9)</w:t>
            </w:r>
            <w:r w:rsidRPr="00087644">
              <w:tab/>
              <w:t xml:space="preserve">Antes das alterações introduzidas pelo Regulamento (UE) 2024/2865, o Regulamento (CE) n.º 1272/2008 exigia que a publicidade a misturas perigosas que permita à população em geral celebrar um contrato de compra sem que antes tenha visto o rótulo mencionasse o tipo ou os tipos de perigos indicados no rótulo e que a </w:t>
            </w:r>
            <w:r w:rsidRPr="00087644">
              <w:lastRenderedPageBreak/>
              <w:t>publicidade às substâncias mencionasse as classes ou categorias de perigo em causa. O Regulamento (UE) 2024/2865 introduziu um novo requisito que obriga a que todas as vendas à distância de substâncias e misturas perigosas incluam todas as informações de rotulagem na oferta, assegurando assim que o comprador seja sempre informado sobre os perigos antes de comprar o produto. O referido regulamento também alargou os requisitos aplicáveis à publicidade, exigindo que esta indique os pictogramas de perigo, as palavras</w:t>
            </w:r>
            <w:r w:rsidRPr="00087644">
              <w:noBreakHyphen/>
              <w:t>sinal, as advertências de perigo e as advertências suplementares e que, além disso, convide o público em geral a seguir as informações constantes do rótulo do produto. A publicidade é um meio de promover a venda ou a utilização de produtos químicos e, no momento da venda, o rótulo aposto na embalagem da substância ou mistura ou as informações constantes do rótulo na disponibilização por venda à distância fornecem informações completas sobre os perigos associados a essa substância ou mistura. Por conseguinte, seria adequado exigir que a publicidade convide os clientes a ler o rótulo e as informações sobre o produto antes da utilização, mas não que duplique as informações sobre os perigos constantes do rótulo.</w:t>
            </w:r>
          </w:p>
        </w:tc>
        <w:tc>
          <w:tcPr>
            <w:tcW w:w="4876" w:type="dxa"/>
            <w:tcBorders>
              <w:top w:val="nil"/>
              <w:left w:val="nil"/>
              <w:bottom w:val="nil"/>
              <w:right w:val="nil"/>
            </w:tcBorders>
            <w:hideMark/>
          </w:tcPr>
          <w:p w14:paraId="35E80016" w14:textId="77777777" w:rsidR="004D2B5D" w:rsidRPr="00087644" w:rsidRDefault="004D2B5D" w:rsidP="00D063A2">
            <w:pPr>
              <w:pStyle w:val="Normal6a"/>
            </w:pPr>
            <w:r w:rsidRPr="00087644">
              <w:lastRenderedPageBreak/>
              <w:t>(9)</w:t>
            </w:r>
            <w:r w:rsidRPr="00087644">
              <w:tab/>
              <w:t xml:space="preserve">Antes das alterações introduzidas pelo Regulamento (UE) 2024/2865, o Regulamento (CE) n.º 1272/2008 exigia que a publicidade a misturas perigosas que permita à população em geral celebrar um contrato de compra sem que antes tenha visto o rótulo mencionasse o tipo ou os tipos de perigos indicados no rótulo e que a </w:t>
            </w:r>
            <w:r w:rsidRPr="00087644">
              <w:lastRenderedPageBreak/>
              <w:t>publicidade às substâncias mencionasse as classes ou categorias de perigo em causa. O Regulamento (UE) 2024/2865 introduziu um novo requisito que obriga a que todas as vendas à distância de substâncias e misturas perigosas incluam todas as informações de rotulagem na oferta, assegurando assim que o comprador seja sempre informado sobre os perigos antes de comprar o produto. O referido regulamento também alargou os requisitos aplicáveis à publicidade, exigindo que esta indique os pictogramas de perigo, as palavras</w:t>
            </w:r>
            <w:r w:rsidRPr="00087644">
              <w:noBreakHyphen/>
              <w:t xml:space="preserve">sinal, as advertências de perigo e as advertências suplementares e que, além disso, convide o público em geral a seguir as informações constantes do rótulo do produto. A publicidade é um meio de promover a venda ou a utilização de produtos químicos e, no momento da venda, o rótulo aposto na embalagem da substância ou mistura ou as informações constantes do rótulo na disponibilização por venda à distância fornecem informações completas sobre os perigos associados a essa substância ou mistura. Por conseguinte, seria adequado exigir que a publicidade convide os clientes a ler o rótulo e as informações sobre o produto antes da utilização </w:t>
            </w:r>
            <w:r w:rsidRPr="00087644">
              <w:rPr>
                <w:b/>
                <w:i/>
              </w:rPr>
              <w:t>e incluir a palavra</w:t>
            </w:r>
            <w:r w:rsidRPr="00087644">
              <w:rPr>
                <w:b/>
                <w:i/>
              </w:rPr>
              <w:noBreakHyphen/>
              <w:t>sinal ou o pictograma</w:t>
            </w:r>
            <w:r w:rsidRPr="00087644">
              <w:t xml:space="preserve">, mas não que duplique </w:t>
            </w:r>
            <w:r w:rsidRPr="00087644">
              <w:rPr>
                <w:b/>
                <w:i/>
              </w:rPr>
              <w:t>todas</w:t>
            </w:r>
            <w:r w:rsidRPr="00087644">
              <w:t xml:space="preserve"> as informações sobre os perigos constantes do rótulo. </w:t>
            </w:r>
            <w:r w:rsidRPr="00087644">
              <w:rPr>
                <w:b/>
                <w:i/>
              </w:rPr>
              <w:t>Esta estratégia garante que as publicidades continuem a ser suficientemente informativas para alertar os potenciais utilizadores quanto à natureza perigosa dos produtos, sem impor requisitos que as tornem confusas, difíceis de interpretar ou comercialmente inviáveis. Dada a grande diversidade de tipos de publicidade, os fornecedores deverão dispor de certo grau de flexibilidade quanto à forma como esta informação deve ser transmitida na publicidade.</w:t>
            </w:r>
          </w:p>
        </w:tc>
      </w:tr>
    </w:tbl>
    <w:p w14:paraId="7111E9A7" w14:textId="77777777" w:rsidR="004D2B5D" w:rsidRPr="00087644" w:rsidRDefault="004D2B5D" w:rsidP="004D2B5D"/>
    <w:p w14:paraId="573D9265" w14:textId="77777777" w:rsidR="004D2B5D" w:rsidRPr="00087644" w:rsidRDefault="004D2B5D" w:rsidP="004D2B5D">
      <w:pPr>
        <w:pStyle w:val="AmNumberTabs"/>
      </w:pPr>
      <w:r w:rsidRPr="00087644">
        <w:t>Alteração</w:t>
      </w:r>
      <w:r w:rsidRPr="00087644">
        <w:tab/>
      </w:r>
      <w:r w:rsidRPr="00087644">
        <w:tab/>
        <w:t>13</w:t>
      </w:r>
    </w:p>
    <w:p w14:paraId="702607BA" w14:textId="77777777" w:rsidR="004D2B5D" w:rsidRPr="00087644" w:rsidRDefault="004D2B5D" w:rsidP="004D2B5D">
      <w:pPr>
        <w:pStyle w:val="NormalBold"/>
      </w:pPr>
      <w:r w:rsidRPr="00087644">
        <w:t>Proposta de regulamento</w:t>
      </w:r>
    </w:p>
    <w:p w14:paraId="7E035F01" w14:textId="77777777" w:rsidR="004D2B5D" w:rsidRPr="00087644" w:rsidRDefault="004D2B5D" w:rsidP="004D2B5D">
      <w:pPr>
        <w:pStyle w:val="NormalBold"/>
      </w:pPr>
      <w:r w:rsidRPr="00087644">
        <w:t>Considerando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32E85F51" w14:textId="77777777" w:rsidTr="00D063A2">
        <w:trPr>
          <w:trHeight w:val="240"/>
          <w:jc w:val="center"/>
        </w:trPr>
        <w:tc>
          <w:tcPr>
            <w:tcW w:w="9752" w:type="dxa"/>
            <w:gridSpan w:val="2"/>
            <w:tcBorders>
              <w:top w:val="nil"/>
              <w:left w:val="nil"/>
              <w:bottom w:val="nil"/>
              <w:right w:val="nil"/>
            </w:tcBorders>
          </w:tcPr>
          <w:p w14:paraId="6260B40E" w14:textId="77777777" w:rsidR="004D2B5D" w:rsidRPr="00087644" w:rsidRDefault="004D2B5D" w:rsidP="00D063A2"/>
        </w:tc>
      </w:tr>
      <w:tr w:rsidR="004D2B5D" w:rsidRPr="00087644" w14:paraId="0B5A2CF1" w14:textId="77777777" w:rsidTr="00D063A2">
        <w:trPr>
          <w:trHeight w:val="240"/>
          <w:jc w:val="center"/>
        </w:trPr>
        <w:tc>
          <w:tcPr>
            <w:tcW w:w="4876" w:type="dxa"/>
            <w:tcBorders>
              <w:top w:val="nil"/>
              <w:left w:val="nil"/>
              <w:bottom w:val="nil"/>
              <w:right w:val="nil"/>
            </w:tcBorders>
            <w:hideMark/>
          </w:tcPr>
          <w:p w14:paraId="179D854A" w14:textId="77777777" w:rsidR="004D2B5D" w:rsidRPr="00087644" w:rsidRDefault="004D2B5D" w:rsidP="00D063A2">
            <w:pPr>
              <w:pStyle w:val="AmColumnHeading"/>
            </w:pPr>
            <w:r w:rsidRPr="00087644">
              <w:lastRenderedPageBreak/>
              <w:t>Texto da Comissão</w:t>
            </w:r>
          </w:p>
        </w:tc>
        <w:tc>
          <w:tcPr>
            <w:tcW w:w="4876" w:type="dxa"/>
            <w:tcBorders>
              <w:top w:val="nil"/>
              <w:left w:val="nil"/>
              <w:bottom w:val="nil"/>
              <w:right w:val="nil"/>
            </w:tcBorders>
            <w:hideMark/>
          </w:tcPr>
          <w:p w14:paraId="110F19B7" w14:textId="77777777" w:rsidR="004D2B5D" w:rsidRPr="00087644" w:rsidRDefault="004D2B5D" w:rsidP="00D063A2">
            <w:pPr>
              <w:pStyle w:val="AmColumnHeading"/>
            </w:pPr>
            <w:r w:rsidRPr="00087644">
              <w:t>Alteração</w:t>
            </w:r>
          </w:p>
        </w:tc>
      </w:tr>
      <w:tr w:rsidR="004D2B5D" w:rsidRPr="00087644" w14:paraId="495926B0" w14:textId="77777777" w:rsidTr="00D063A2">
        <w:trPr>
          <w:jc w:val="center"/>
        </w:trPr>
        <w:tc>
          <w:tcPr>
            <w:tcW w:w="4876" w:type="dxa"/>
            <w:tcBorders>
              <w:top w:val="nil"/>
              <w:left w:val="nil"/>
              <w:bottom w:val="nil"/>
              <w:right w:val="nil"/>
            </w:tcBorders>
            <w:hideMark/>
          </w:tcPr>
          <w:p w14:paraId="1D7ADA84" w14:textId="77777777" w:rsidR="004D2B5D" w:rsidRPr="00087644" w:rsidRDefault="004D2B5D" w:rsidP="00D063A2">
            <w:pPr>
              <w:pStyle w:val="Normal6a"/>
            </w:pPr>
            <w:r w:rsidRPr="00087644">
              <w:t>(10)</w:t>
            </w:r>
            <w:r w:rsidRPr="00087644">
              <w:tab/>
              <w:t>Uma vez que o Regulamento (CE) n.º 1107/2009 do Parlamento Europeu e do Conselho</w:t>
            </w:r>
            <w:r w:rsidRPr="00087644">
              <w:rPr>
                <w:vertAlign w:val="superscript"/>
              </w:rPr>
              <w:t>10</w:t>
            </w:r>
            <w:r w:rsidRPr="00087644">
              <w:t xml:space="preserve"> e o Regulamento (UE) n.º 528/2012 do Parlamento Europeu e do Conselho</w:t>
            </w:r>
            <w:r w:rsidRPr="00087644">
              <w:rPr>
                <w:vertAlign w:val="superscript"/>
              </w:rPr>
              <w:t>11</w:t>
            </w:r>
            <w:r w:rsidRPr="00087644">
              <w:t xml:space="preserve"> exigem que a publicidade de produtos fitofarmacêuticos e produtos biocidas autorizados contenha a menção «Leia sempre o rótulo e a informação relativa ao produto antes de o utilizar», seria conveniente </w:t>
            </w:r>
            <w:r w:rsidRPr="00087644">
              <w:rPr>
                <w:b/>
                <w:i/>
              </w:rPr>
              <w:t>aplicar o mesmo requisito à</w:t>
            </w:r>
            <w:r w:rsidRPr="00087644">
              <w:t xml:space="preserve"> publicidade de substâncias e misturas perigosas, a fim de garantir a coerência, especialmente nos casos em que as substâncias e misturas perigosas publicitadas sejam também produtos fitofarmacêuticos ou biocidas autorizados.</w:t>
            </w:r>
          </w:p>
        </w:tc>
        <w:tc>
          <w:tcPr>
            <w:tcW w:w="4876" w:type="dxa"/>
            <w:tcBorders>
              <w:top w:val="nil"/>
              <w:left w:val="nil"/>
              <w:bottom w:val="nil"/>
              <w:right w:val="nil"/>
            </w:tcBorders>
            <w:hideMark/>
          </w:tcPr>
          <w:p w14:paraId="0D1DBFF1" w14:textId="77777777" w:rsidR="004D2B5D" w:rsidRPr="00087644" w:rsidRDefault="004D2B5D" w:rsidP="00D063A2">
            <w:pPr>
              <w:pStyle w:val="Normal6a"/>
            </w:pPr>
            <w:r w:rsidRPr="00087644">
              <w:t>(10)</w:t>
            </w:r>
            <w:r w:rsidRPr="00087644">
              <w:tab/>
              <w:t>Uma vez que o Regulamento (CE) n.º 1107/2009 do Parlamento Europeu e do Conselho</w:t>
            </w:r>
            <w:r w:rsidRPr="00087644">
              <w:rPr>
                <w:vertAlign w:val="superscript"/>
              </w:rPr>
              <w:t>10</w:t>
            </w:r>
            <w:r w:rsidRPr="00087644">
              <w:t xml:space="preserve"> e o Regulamento (UE) n.º 528/2012 do Parlamento Europeu e do Conselho</w:t>
            </w:r>
            <w:r w:rsidRPr="00087644">
              <w:rPr>
                <w:vertAlign w:val="superscript"/>
              </w:rPr>
              <w:t>11</w:t>
            </w:r>
            <w:r w:rsidRPr="00087644">
              <w:t xml:space="preserve"> exigem que a publicidade de produtos fitofarmacêuticos e produtos biocidas autorizados contenha a menção «Leia sempre o rótulo e a informação relativa ao produto antes de o utilizar», seria conveniente </w:t>
            </w:r>
            <w:r w:rsidRPr="00087644">
              <w:rPr>
                <w:b/>
                <w:i/>
              </w:rPr>
              <w:t>os anunciantes incluírem a mesma indicação na</w:t>
            </w:r>
            <w:r w:rsidRPr="00087644">
              <w:t xml:space="preserve"> publicidade de substâncias e misturas perigosas, a fim de garantir a coerência, especialmente nos casos em que as substâncias e misturas perigosas publicitadas sejam também produtos fitofarmacêuticos ou biocidas autorizados.</w:t>
            </w:r>
          </w:p>
        </w:tc>
      </w:tr>
      <w:tr w:rsidR="004D2B5D" w:rsidRPr="00087644" w14:paraId="6045F3B8" w14:textId="77777777" w:rsidTr="00D063A2">
        <w:trPr>
          <w:jc w:val="center"/>
        </w:trPr>
        <w:tc>
          <w:tcPr>
            <w:tcW w:w="4876" w:type="dxa"/>
            <w:tcBorders>
              <w:top w:val="nil"/>
              <w:left w:val="nil"/>
              <w:bottom w:val="nil"/>
              <w:right w:val="nil"/>
            </w:tcBorders>
            <w:hideMark/>
          </w:tcPr>
          <w:p w14:paraId="7C2E193B" w14:textId="77777777" w:rsidR="004D2B5D" w:rsidRPr="00087644" w:rsidRDefault="004D2B5D" w:rsidP="00D063A2">
            <w:pPr>
              <w:pStyle w:val="Normal6a"/>
            </w:pPr>
            <w:r w:rsidRPr="00087644">
              <w:rPr>
                <w:b/>
                <w:i/>
              </w:rPr>
              <w:t>_________________</w:t>
            </w:r>
          </w:p>
        </w:tc>
        <w:tc>
          <w:tcPr>
            <w:tcW w:w="4876" w:type="dxa"/>
            <w:tcBorders>
              <w:top w:val="nil"/>
              <w:left w:val="nil"/>
              <w:bottom w:val="nil"/>
              <w:right w:val="nil"/>
            </w:tcBorders>
            <w:hideMark/>
          </w:tcPr>
          <w:p w14:paraId="0F8AF0D6" w14:textId="77777777" w:rsidR="004D2B5D" w:rsidRPr="00087644" w:rsidRDefault="004D2B5D" w:rsidP="00D063A2">
            <w:pPr>
              <w:pStyle w:val="Normal6a"/>
            </w:pPr>
            <w:r w:rsidRPr="00087644">
              <w:rPr>
                <w:b/>
                <w:i/>
              </w:rPr>
              <w:t>_________________</w:t>
            </w:r>
          </w:p>
        </w:tc>
      </w:tr>
      <w:tr w:rsidR="004D2B5D" w:rsidRPr="00087644" w14:paraId="5A5081B6" w14:textId="77777777" w:rsidTr="00D063A2">
        <w:trPr>
          <w:jc w:val="center"/>
        </w:trPr>
        <w:tc>
          <w:tcPr>
            <w:tcW w:w="4876" w:type="dxa"/>
            <w:tcBorders>
              <w:top w:val="nil"/>
              <w:left w:val="nil"/>
              <w:bottom w:val="nil"/>
              <w:right w:val="nil"/>
            </w:tcBorders>
            <w:hideMark/>
          </w:tcPr>
          <w:p w14:paraId="76A3B999" w14:textId="1E0AF146" w:rsidR="004D2B5D" w:rsidRPr="00087644" w:rsidRDefault="004D2B5D" w:rsidP="00D063A2">
            <w:pPr>
              <w:pStyle w:val="Normal6a"/>
            </w:pPr>
            <w:r w:rsidRPr="00087644">
              <w:rPr>
                <w:vertAlign w:val="superscript"/>
              </w:rPr>
              <w:t>10</w:t>
            </w:r>
            <w:r w:rsidRPr="00087644">
              <w:t xml:space="preserve"> Regulamento (CE) n.º 1107/2009 do Parlamento Europeu e do Conselho, de 21 de outubro de 2009, relativo à colocação dos produtos fitofarmacêuticos no mercado e que revoga as Diretivas 79/117/CEE e 91/414/CEE do Conselho (JO L 309 de 24.11.2009, p. 1, ELI: </w:t>
            </w:r>
            <w:hyperlink r:id="rId19" w:history="1">
              <w:r w:rsidR="000C7B72" w:rsidRPr="00087644">
                <w:rPr>
                  <w:rStyle w:val="Hyperlink"/>
                </w:rPr>
                <w:t>http://data.europa.eu/eli/reg/2009/1107/oj</w:t>
              </w:r>
            </w:hyperlink>
            <w:r w:rsidRPr="00087644">
              <w:t>).</w:t>
            </w:r>
          </w:p>
        </w:tc>
        <w:tc>
          <w:tcPr>
            <w:tcW w:w="4876" w:type="dxa"/>
            <w:tcBorders>
              <w:top w:val="nil"/>
              <w:left w:val="nil"/>
              <w:bottom w:val="nil"/>
              <w:right w:val="nil"/>
            </w:tcBorders>
            <w:hideMark/>
          </w:tcPr>
          <w:p w14:paraId="02142809" w14:textId="63B56DBE" w:rsidR="004D2B5D" w:rsidRPr="00087644" w:rsidRDefault="004D2B5D" w:rsidP="00D063A2">
            <w:pPr>
              <w:pStyle w:val="Normal6a"/>
            </w:pPr>
            <w:r w:rsidRPr="00087644">
              <w:rPr>
                <w:vertAlign w:val="superscript"/>
              </w:rPr>
              <w:t>10</w:t>
            </w:r>
            <w:r w:rsidRPr="00087644">
              <w:t xml:space="preserve"> Regulamento (CE) n.º 1107/2009 do Parlamento Europeu e do Conselho, de 21 de outubro de 2009, relativo à colocação dos produtos fitofarmacêuticos no mercado e que revoga as Diretivas 79/117/CEE e 91/414/CEE do Conselho (JO L 309 de 24.11.2009, p. 1, ELI: </w:t>
            </w:r>
            <w:hyperlink r:id="rId20" w:history="1">
              <w:r w:rsidR="000C7B72" w:rsidRPr="00087644">
                <w:rPr>
                  <w:rStyle w:val="Hyperlink"/>
                </w:rPr>
                <w:t>http://data.europa.eu/eli/reg/2009/1107/oj</w:t>
              </w:r>
            </w:hyperlink>
            <w:r w:rsidRPr="00087644">
              <w:t>).</w:t>
            </w:r>
          </w:p>
        </w:tc>
      </w:tr>
      <w:tr w:rsidR="004D2B5D" w:rsidRPr="00087644" w14:paraId="591D4020" w14:textId="77777777" w:rsidTr="00D063A2">
        <w:trPr>
          <w:jc w:val="center"/>
        </w:trPr>
        <w:tc>
          <w:tcPr>
            <w:tcW w:w="4876" w:type="dxa"/>
            <w:tcBorders>
              <w:top w:val="nil"/>
              <w:left w:val="nil"/>
              <w:bottom w:val="nil"/>
              <w:right w:val="nil"/>
            </w:tcBorders>
            <w:hideMark/>
          </w:tcPr>
          <w:p w14:paraId="5D8D15E8" w14:textId="080FFA50" w:rsidR="004D2B5D" w:rsidRPr="00087644" w:rsidRDefault="004D2B5D" w:rsidP="00D063A2">
            <w:pPr>
              <w:pStyle w:val="Normal6a"/>
            </w:pPr>
            <w:r w:rsidRPr="00087644">
              <w:rPr>
                <w:vertAlign w:val="superscript"/>
              </w:rPr>
              <w:t>11</w:t>
            </w:r>
            <w:r w:rsidRPr="00087644">
              <w:t xml:space="preserve"> Regulamento (UE) n.º 528/2012 do Parlamento Europeu e do Conselho, de 22 de maio de 2012, relativo à disponibilização no mercado e à utilização de produtos biocidas (JO L 167 de 27.6.2012, p. 1, ELI: </w:t>
            </w:r>
            <w:hyperlink r:id="rId21" w:history="1">
              <w:r w:rsidR="000C7B72" w:rsidRPr="00087644">
                <w:rPr>
                  <w:rStyle w:val="Hyperlink"/>
                </w:rPr>
                <w:t>http://data.europa.eu/eli/reg/2012/528/oj</w:t>
              </w:r>
            </w:hyperlink>
            <w:r w:rsidRPr="00087644">
              <w:t>).</w:t>
            </w:r>
          </w:p>
        </w:tc>
        <w:tc>
          <w:tcPr>
            <w:tcW w:w="4876" w:type="dxa"/>
            <w:tcBorders>
              <w:top w:val="nil"/>
              <w:left w:val="nil"/>
              <w:bottom w:val="nil"/>
              <w:right w:val="nil"/>
            </w:tcBorders>
            <w:hideMark/>
          </w:tcPr>
          <w:p w14:paraId="088E609E" w14:textId="216DC46D" w:rsidR="004D2B5D" w:rsidRPr="00087644" w:rsidRDefault="004D2B5D" w:rsidP="00D063A2">
            <w:pPr>
              <w:pStyle w:val="Normal6a"/>
            </w:pPr>
            <w:r w:rsidRPr="00087644">
              <w:rPr>
                <w:vertAlign w:val="superscript"/>
              </w:rPr>
              <w:t>11</w:t>
            </w:r>
            <w:r w:rsidRPr="00087644">
              <w:t xml:space="preserve"> Regulamento (UE) n.º 528/2012 do Parlamento Europeu e do Conselho, de 22 de maio de 2012, relativo à disponibilização no mercado e à utilização de produtos biocidas (JO L 167 de 27.6.2012, p. 1, ELI: </w:t>
            </w:r>
            <w:hyperlink r:id="rId22" w:history="1">
              <w:r w:rsidR="000C7B72" w:rsidRPr="00087644">
                <w:rPr>
                  <w:rStyle w:val="Hyperlink"/>
                </w:rPr>
                <w:t>http://data.europa.eu/eli/reg/2012/528/oj</w:t>
              </w:r>
            </w:hyperlink>
            <w:r w:rsidRPr="00087644">
              <w:t>).</w:t>
            </w:r>
          </w:p>
        </w:tc>
      </w:tr>
    </w:tbl>
    <w:p w14:paraId="5231E457" w14:textId="77777777" w:rsidR="004D2B5D" w:rsidRPr="00087644" w:rsidRDefault="004D2B5D" w:rsidP="004D2B5D"/>
    <w:p w14:paraId="5F11B9D7" w14:textId="77777777" w:rsidR="004D2B5D" w:rsidRPr="00087644" w:rsidRDefault="004D2B5D" w:rsidP="004D2B5D">
      <w:pPr>
        <w:pStyle w:val="AmNumberTabs"/>
      </w:pPr>
      <w:r w:rsidRPr="00087644">
        <w:t>Alteração</w:t>
      </w:r>
      <w:r w:rsidRPr="00087644">
        <w:tab/>
      </w:r>
      <w:r w:rsidRPr="00087644">
        <w:tab/>
        <w:t>14</w:t>
      </w:r>
    </w:p>
    <w:p w14:paraId="46135DF3" w14:textId="77777777" w:rsidR="004D2B5D" w:rsidRPr="00087644" w:rsidRDefault="004D2B5D" w:rsidP="004D2B5D">
      <w:pPr>
        <w:pStyle w:val="NormalBold"/>
      </w:pPr>
      <w:r w:rsidRPr="00087644">
        <w:t>Proposta de regulamento</w:t>
      </w:r>
    </w:p>
    <w:p w14:paraId="7007FBE1" w14:textId="77777777" w:rsidR="004D2B5D" w:rsidRPr="00087644" w:rsidRDefault="004D2B5D" w:rsidP="004D2B5D">
      <w:pPr>
        <w:pStyle w:val="NormalBold"/>
      </w:pPr>
      <w:r w:rsidRPr="00087644">
        <w:t>Considerando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09F4DC94" w14:textId="77777777" w:rsidTr="00D063A2">
        <w:trPr>
          <w:trHeight w:val="240"/>
          <w:jc w:val="center"/>
        </w:trPr>
        <w:tc>
          <w:tcPr>
            <w:tcW w:w="9752" w:type="dxa"/>
            <w:gridSpan w:val="2"/>
            <w:tcBorders>
              <w:top w:val="nil"/>
              <w:left w:val="nil"/>
              <w:bottom w:val="nil"/>
              <w:right w:val="nil"/>
            </w:tcBorders>
          </w:tcPr>
          <w:p w14:paraId="7D56E750" w14:textId="77777777" w:rsidR="004D2B5D" w:rsidRPr="00087644" w:rsidRDefault="004D2B5D" w:rsidP="00D063A2"/>
        </w:tc>
      </w:tr>
      <w:tr w:rsidR="004D2B5D" w:rsidRPr="00087644" w14:paraId="693C6F2F" w14:textId="77777777" w:rsidTr="00D063A2">
        <w:trPr>
          <w:trHeight w:val="240"/>
          <w:jc w:val="center"/>
        </w:trPr>
        <w:tc>
          <w:tcPr>
            <w:tcW w:w="4876" w:type="dxa"/>
            <w:tcBorders>
              <w:top w:val="nil"/>
              <w:left w:val="nil"/>
              <w:bottom w:val="nil"/>
              <w:right w:val="nil"/>
            </w:tcBorders>
            <w:hideMark/>
          </w:tcPr>
          <w:p w14:paraId="11BEDEA1"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626F7731" w14:textId="77777777" w:rsidR="004D2B5D" w:rsidRPr="00087644" w:rsidRDefault="004D2B5D" w:rsidP="00D063A2">
            <w:pPr>
              <w:pStyle w:val="AmColumnHeading"/>
            </w:pPr>
            <w:r w:rsidRPr="00087644">
              <w:t>Alteração</w:t>
            </w:r>
          </w:p>
        </w:tc>
      </w:tr>
      <w:tr w:rsidR="004D2B5D" w:rsidRPr="00087644" w14:paraId="448A21B3" w14:textId="77777777" w:rsidTr="00D063A2">
        <w:trPr>
          <w:jc w:val="center"/>
        </w:trPr>
        <w:tc>
          <w:tcPr>
            <w:tcW w:w="4876" w:type="dxa"/>
            <w:tcBorders>
              <w:top w:val="nil"/>
              <w:left w:val="nil"/>
              <w:bottom w:val="nil"/>
              <w:right w:val="nil"/>
            </w:tcBorders>
            <w:hideMark/>
          </w:tcPr>
          <w:p w14:paraId="4E825CDA" w14:textId="77777777" w:rsidR="004D2B5D" w:rsidRPr="00087644" w:rsidRDefault="004D2B5D" w:rsidP="00D063A2">
            <w:pPr>
              <w:pStyle w:val="Normal6a"/>
            </w:pPr>
            <w:r w:rsidRPr="00087644">
              <w:t>(12)</w:t>
            </w:r>
            <w:r w:rsidRPr="00087644">
              <w:tab/>
              <w:t xml:space="preserve">O Regulamento (UE) 2024/2865 introduziu a possibilidade de incluir determinados elementos de rotulagem apenas no rótulo digital. A fim de assegurar uma utilização mais ampla da tecnologia e permitir uma abordagem mais simples e flexível da rotulagem, os </w:t>
            </w:r>
            <w:r w:rsidRPr="00087644">
              <w:lastRenderedPageBreak/>
              <w:t>fornecedores devem ser autorizados a incluir os dados de contacto de quaisquer fornecedores adicionais apenas no rótulo digital. A inclusão do contacto digital também seria adequada sempre que os dados de contacto de fornecedores adicionais constem do rótulo digital.</w:t>
            </w:r>
          </w:p>
        </w:tc>
        <w:tc>
          <w:tcPr>
            <w:tcW w:w="4876" w:type="dxa"/>
            <w:tcBorders>
              <w:top w:val="nil"/>
              <w:left w:val="nil"/>
              <w:bottom w:val="nil"/>
              <w:right w:val="nil"/>
            </w:tcBorders>
            <w:hideMark/>
          </w:tcPr>
          <w:p w14:paraId="7A30FDEB" w14:textId="77777777" w:rsidR="004D2B5D" w:rsidRPr="00087644" w:rsidRDefault="004D2B5D" w:rsidP="00D063A2">
            <w:pPr>
              <w:pStyle w:val="Normal6a"/>
            </w:pPr>
            <w:r w:rsidRPr="00087644">
              <w:lastRenderedPageBreak/>
              <w:t>(12)</w:t>
            </w:r>
            <w:r w:rsidRPr="00087644">
              <w:tab/>
              <w:t xml:space="preserve">O Regulamento (UE) 2024/2865 introduziu a possibilidade de incluir determinados elementos de rotulagem apenas no rótulo digital. A fim de assegurar uma utilização mais ampla da tecnologia e permitir uma abordagem mais simples e flexível da rotulagem, os </w:t>
            </w:r>
            <w:r w:rsidRPr="00087644">
              <w:lastRenderedPageBreak/>
              <w:t xml:space="preserve">fornecedores devem ser autorizados a incluir os dados de contacto de quaisquer fornecedores adicionais apenas no rótulo digital. A inclusão do contacto digital também seria adequada sempre que os dados de contacto de fornecedores adicionais constem do rótulo digital. </w:t>
            </w:r>
            <w:r w:rsidRPr="00087644">
              <w:rPr>
                <w:b/>
                <w:i/>
              </w:rPr>
              <w:t>A fim de assegurar a possibilidade de contacto rápido, que é essencial em determinadas situações, como em casos de emergência, a presença de um contacto digital não deverá excluir a disponibilização de um número de telefone.</w:t>
            </w:r>
          </w:p>
        </w:tc>
      </w:tr>
    </w:tbl>
    <w:p w14:paraId="023B974A" w14:textId="77777777" w:rsidR="004D2B5D" w:rsidRPr="00087644" w:rsidRDefault="004D2B5D" w:rsidP="004D2B5D"/>
    <w:p w14:paraId="43279B65" w14:textId="77777777" w:rsidR="004D2B5D" w:rsidRPr="00087644" w:rsidRDefault="004D2B5D" w:rsidP="004D2B5D">
      <w:pPr>
        <w:pStyle w:val="AmNumberTabs"/>
      </w:pPr>
      <w:r w:rsidRPr="00087644">
        <w:t>Alteração</w:t>
      </w:r>
      <w:r w:rsidRPr="00087644">
        <w:tab/>
      </w:r>
      <w:r w:rsidRPr="00087644">
        <w:tab/>
        <w:t>15</w:t>
      </w:r>
    </w:p>
    <w:p w14:paraId="61813D4B" w14:textId="77777777" w:rsidR="004D2B5D" w:rsidRPr="00087644" w:rsidRDefault="004D2B5D" w:rsidP="004D2B5D">
      <w:pPr>
        <w:pStyle w:val="NormalBold"/>
      </w:pPr>
      <w:r w:rsidRPr="00087644">
        <w:t>Proposta de regulamento</w:t>
      </w:r>
    </w:p>
    <w:p w14:paraId="361961A7" w14:textId="77777777" w:rsidR="004D2B5D" w:rsidRPr="00087644" w:rsidRDefault="004D2B5D" w:rsidP="004D2B5D">
      <w:pPr>
        <w:pStyle w:val="NormalBold"/>
      </w:pPr>
      <w:r w:rsidRPr="00087644">
        <w:t>Considerando 12</w:t>
      </w:r>
      <w:r w:rsidRPr="00087644">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2D9B6B2A" w14:textId="77777777" w:rsidTr="00D063A2">
        <w:trPr>
          <w:trHeight w:val="240"/>
          <w:jc w:val="center"/>
        </w:trPr>
        <w:tc>
          <w:tcPr>
            <w:tcW w:w="9752" w:type="dxa"/>
            <w:gridSpan w:val="2"/>
            <w:tcBorders>
              <w:top w:val="nil"/>
              <w:left w:val="nil"/>
              <w:bottom w:val="nil"/>
              <w:right w:val="nil"/>
            </w:tcBorders>
          </w:tcPr>
          <w:p w14:paraId="06C423BB" w14:textId="77777777" w:rsidR="004D2B5D" w:rsidRPr="00087644" w:rsidRDefault="004D2B5D" w:rsidP="00D063A2"/>
        </w:tc>
      </w:tr>
      <w:tr w:rsidR="004D2B5D" w:rsidRPr="00087644" w14:paraId="55B58775" w14:textId="77777777" w:rsidTr="00D063A2">
        <w:trPr>
          <w:trHeight w:val="240"/>
          <w:jc w:val="center"/>
        </w:trPr>
        <w:tc>
          <w:tcPr>
            <w:tcW w:w="4876" w:type="dxa"/>
            <w:tcBorders>
              <w:top w:val="nil"/>
              <w:left w:val="nil"/>
              <w:bottom w:val="nil"/>
              <w:right w:val="nil"/>
            </w:tcBorders>
            <w:hideMark/>
          </w:tcPr>
          <w:p w14:paraId="3E6B06DF"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2AF35FF8" w14:textId="77777777" w:rsidR="004D2B5D" w:rsidRPr="00087644" w:rsidRDefault="004D2B5D" w:rsidP="00D063A2">
            <w:pPr>
              <w:pStyle w:val="AmColumnHeading"/>
            </w:pPr>
            <w:r w:rsidRPr="00087644">
              <w:t>Alteração</w:t>
            </w:r>
          </w:p>
        </w:tc>
      </w:tr>
      <w:tr w:rsidR="004D2B5D" w:rsidRPr="00087644" w14:paraId="5636C7B0" w14:textId="77777777" w:rsidTr="00D063A2">
        <w:trPr>
          <w:jc w:val="center"/>
        </w:trPr>
        <w:tc>
          <w:tcPr>
            <w:tcW w:w="4876" w:type="dxa"/>
            <w:tcBorders>
              <w:top w:val="nil"/>
              <w:left w:val="nil"/>
              <w:bottom w:val="nil"/>
              <w:right w:val="nil"/>
            </w:tcBorders>
          </w:tcPr>
          <w:p w14:paraId="301A6F98" w14:textId="77777777" w:rsidR="004D2B5D" w:rsidRPr="00087644" w:rsidRDefault="004D2B5D" w:rsidP="00D063A2">
            <w:pPr>
              <w:pStyle w:val="Normal6a"/>
            </w:pPr>
          </w:p>
        </w:tc>
        <w:tc>
          <w:tcPr>
            <w:tcW w:w="4876" w:type="dxa"/>
            <w:tcBorders>
              <w:top w:val="nil"/>
              <w:left w:val="nil"/>
              <w:bottom w:val="nil"/>
              <w:right w:val="nil"/>
            </w:tcBorders>
            <w:hideMark/>
          </w:tcPr>
          <w:p w14:paraId="0137D6C4" w14:textId="77777777" w:rsidR="004D2B5D" w:rsidRPr="00087644" w:rsidRDefault="004D2B5D" w:rsidP="00D063A2">
            <w:pPr>
              <w:pStyle w:val="Normal6a"/>
            </w:pPr>
            <w:r w:rsidRPr="00087644">
              <w:rPr>
                <w:b/>
                <w:i/>
              </w:rPr>
              <w:t>(12</w:t>
            </w:r>
            <w:r w:rsidRPr="00087644">
              <w:rPr>
                <w:b/>
                <w:i/>
              </w:rPr>
              <w:noBreakHyphen/>
              <w:t>A)</w:t>
            </w:r>
            <w:r w:rsidRPr="00087644">
              <w:tab/>
            </w:r>
            <w:r w:rsidRPr="00087644">
              <w:rPr>
                <w:b/>
                <w:i/>
              </w:rPr>
              <w:t>Os cartuchos de tinta (≤ 150 ml) (fornecidos em embalagens exteriores e concebidos para serem instalados num dispositivo por um consumidor ou utilizador profissional) têm uma superfície utilizável muito limitada para rotulagem, o que torna inviável a opção de rótulo desdobrável que possibilita as soluções multilingues. Neste caso, os fornecedores deverão ser autorizados a reduzir as informações sobre os perigos constantes dos rótulos em determinadas condições.</w:t>
            </w:r>
          </w:p>
        </w:tc>
      </w:tr>
    </w:tbl>
    <w:p w14:paraId="0E978468" w14:textId="77777777" w:rsidR="004D2B5D" w:rsidRPr="00087644" w:rsidRDefault="004D2B5D" w:rsidP="004D2B5D"/>
    <w:p w14:paraId="65BF4413" w14:textId="77777777" w:rsidR="004D2B5D" w:rsidRPr="00087644" w:rsidRDefault="004D2B5D" w:rsidP="004D2B5D">
      <w:pPr>
        <w:pStyle w:val="AmNumberTabs"/>
      </w:pPr>
      <w:r w:rsidRPr="00087644">
        <w:t>Alteração</w:t>
      </w:r>
      <w:r w:rsidRPr="00087644">
        <w:tab/>
      </w:r>
      <w:r w:rsidRPr="00087644">
        <w:tab/>
        <w:t>16</w:t>
      </w:r>
    </w:p>
    <w:p w14:paraId="75A372E0" w14:textId="77777777" w:rsidR="004D2B5D" w:rsidRPr="00087644" w:rsidRDefault="004D2B5D" w:rsidP="004D2B5D">
      <w:pPr>
        <w:pStyle w:val="NormalBold"/>
      </w:pPr>
      <w:r w:rsidRPr="00087644">
        <w:t>Proposta de regulamento</w:t>
      </w:r>
    </w:p>
    <w:p w14:paraId="1A7B03BF" w14:textId="77777777" w:rsidR="004D2B5D" w:rsidRPr="00087644" w:rsidRDefault="004D2B5D" w:rsidP="004D2B5D">
      <w:pPr>
        <w:pStyle w:val="NormalBold"/>
      </w:pPr>
      <w:r w:rsidRPr="00087644">
        <w:t>Considerando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77876E28" w14:textId="77777777" w:rsidTr="00D063A2">
        <w:trPr>
          <w:trHeight w:val="240"/>
          <w:jc w:val="center"/>
        </w:trPr>
        <w:tc>
          <w:tcPr>
            <w:tcW w:w="9752" w:type="dxa"/>
            <w:gridSpan w:val="2"/>
            <w:tcBorders>
              <w:top w:val="nil"/>
              <w:left w:val="nil"/>
              <w:bottom w:val="nil"/>
              <w:right w:val="nil"/>
            </w:tcBorders>
          </w:tcPr>
          <w:p w14:paraId="7C4B8056" w14:textId="77777777" w:rsidR="004D2B5D" w:rsidRPr="00087644" w:rsidRDefault="004D2B5D" w:rsidP="00D063A2"/>
        </w:tc>
      </w:tr>
      <w:tr w:rsidR="004D2B5D" w:rsidRPr="00087644" w14:paraId="74A9BD79" w14:textId="77777777" w:rsidTr="00D063A2">
        <w:trPr>
          <w:trHeight w:val="240"/>
          <w:jc w:val="center"/>
        </w:trPr>
        <w:tc>
          <w:tcPr>
            <w:tcW w:w="4876" w:type="dxa"/>
            <w:tcBorders>
              <w:top w:val="nil"/>
              <w:left w:val="nil"/>
              <w:bottom w:val="nil"/>
              <w:right w:val="nil"/>
            </w:tcBorders>
            <w:hideMark/>
          </w:tcPr>
          <w:p w14:paraId="2199EBBF"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28F5B191" w14:textId="77777777" w:rsidR="004D2B5D" w:rsidRPr="00087644" w:rsidRDefault="004D2B5D" w:rsidP="00D063A2">
            <w:pPr>
              <w:pStyle w:val="AmColumnHeading"/>
            </w:pPr>
            <w:r w:rsidRPr="00087644">
              <w:t>Alteração</w:t>
            </w:r>
          </w:p>
        </w:tc>
      </w:tr>
      <w:tr w:rsidR="004D2B5D" w:rsidRPr="00087644" w14:paraId="3319F185" w14:textId="77777777" w:rsidTr="00D063A2">
        <w:trPr>
          <w:jc w:val="center"/>
        </w:trPr>
        <w:tc>
          <w:tcPr>
            <w:tcW w:w="4876" w:type="dxa"/>
            <w:tcBorders>
              <w:top w:val="nil"/>
              <w:left w:val="nil"/>
              <w:bottom w:val="nil"/>
              <w:right w:val="nil"/>
            </w:tcBorders>
            <w:hideMark/>
          </w:tcPr>
          <w:p w14:paraId="2ED6B4D5" w14:textId="77777777" w:rsidR="004D2B5D" w:rsidRPr="00087644" w:rsidRDefault="004D2B5D" w:rsidP="00D063A2">
            <w:pPr>
              <w:pStyle w:val="Normal6a"/>
            </w:pPr>
            <w:r w:rsidRPr="00087644">
              <w:t>(14)</w:t>
            </w:r>
            <w:r w:rsidRPr="00087644">
              <w:tab/>
              <w:t>De acordo com as disposições transitórias do Regulamento (CE) n.º 1272/2008, deverá facultar</w:t>
            </w:r>
            <w:r w:rsidRPr="00087644">
              <w:noBreakHyphen/>
              <w:t xml:space="preserve">se aos fornecedores a possibilidade de aplicarem as novas disposições de classificação, rotulagem e embalagem introduzidas pelo presente regulamento, de forma voluntária, antes da data da aplicação diferida dessas </w:t>
            </w:r>
            <w:r w:rsidRPr="00087644">
              <w:lastRenderedPageBreak/>
              <w:t>disposições.</w:t>
            </w:r>
          </w:p>
        </w:tc>
        <w:tc>
          <w:tcPr>
            <w:tcW w:w="4876" w:type="dxa"/>
            <w:tcBorders>
              <w:top w:val="nil"/>
              <w:left w:val="nil"/>
              <w:bottom w:val="nil"/>
              <w:right w:val="nil"/>
            </w:tcBorders>
            <w:hideMark/>
          </w:tcPr>
          <w:p w14:paraId="7DE41C2D" w14:textId="77777777" w:rsidR="004D2B5D" w:rsidRPr="00087644" w:rsidRDefault="004D2B5D" w:rsidP="00D063A2">
            <w:pPr>
              <w:pStyle w:val="Normal6a"/>
            </w:pPr>
            <w:r w:rsidRPr="00087644">
              <w:lastRenderedPageBreak/>
              <w:t>(14)</w:t>
            </w:r>
            <w:r w:rsidRPr="00087644">
              <w:tab/>
              <w:t>De acordo com as disposições transitórias do Regulamento (CE) n.º 1272/2008, deverá facultar</w:t>
            </w:r>
            <w:r w:rsidRPr="00087644">
              <w:noBreakHyphen/>
              <w:t>se aos fornecedores a possibilidade de aplicarem as novas disposições de classificação, rotulagem e embalagem introduzidas pelo presente regulamento, de forma voluntária, antes da data da aplicação diferida dessas disposições</w:t>
            </w:r>
            <w:r w:rsidRPr="00087644">
              <w:rPr>
                <w:b/>
                <w:i/>
              </w:rPr>
              <w:t xml:space="preserve">, e as autoridades nacionais </w:t>
            </w:r>
            <w:r w:rsidRPr="00087644">
              <w:rPr>
                <w:b/>
                <w:i/>
              </w:rPr>
              <w:lastRenderedPageBreak/>
              <w:t>deverão incentivá</w:t>
            </w:r>
            <w:r w:rsidRPr="00087644">
              <w:rPr>
                <w:b/>
                <w:i/>
              </w:rPr>
              <w:noBreakHyphen/>
              <w:t>los a fazê</w:t>
            </w:r>
            <w:r w:rsidRPr="00087644">
              <w:rPr>
                <w:b/>
                <w:i/>
              </w:rPr>
              <w:noBreakHyphen/>
              <w:t>lo</w:t>
            </w:r>
            <w:r w:rsidRPr="00087644">
              <w:t>.</w:t>
            </w:r>
          </w:p>
        </w:tc>
      </w:tr>
    </w:tbl>
    <w:p w14:paraId="055348DF" w14:textId="77777777" w:rsidR="004D2B5D" w:rsidRPr="00087644" w:rsidRDefault="004D2B5D" w:rsidP="004D2B5D"/>
    <w:p w14:paraId="671F4669" w14:textId="77777777" w:rsidR="004D2B5D" w:rsidRPr="00087644" w:rsidRDefault="004D2B5D" w:rsidP="004D2B5D">
      <w:pPr>
        <w:pStyle w:val="AmNumberTabs"/>
      </w:pPr>
      <w:r w:rsidRPr="00087644">
        <w:t>Alteração</w:t>
      </w:r>
      <w:r w:rsidRPr="00087644">
        <w:tab/>
      </w:r>
      <w:r w:rsidRPr="00087644">
        <w:tab/>
        <w:t>17</w:t>
      </w:r>
    </w:p>
    <w:p w14:paraId="35DD1B36" w14:textId="77777777" w:rsidR="004D2B5D" w:rsidRPr="00087644" w:rsidRDefault="004D2B5D" w:rsidP="004D2B5D">
      <w:pPr>
        <w:pStyle w:val="NormalBold"/>
      </w:pPr>
      <w:r w:rsidRPr="00087644">
        <w:t>Proposta de regulamento</w:t>
      </w:r>
    </w:p>
    <w:p w14:paraId="7E69C420" w14:textId="77777777" w:rsidR="004D2B5D" w:rsidRPr="00087644" w:rsidRDefault="004D2B5D" w:rsidP="004D2B5D">
      <w:pPr>
        <w:pStyle w:val="NormalBold"/>
      </w:pPr>
      <w:r w:rsidRPr="00087644">
        <w:t>Considerando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25B84E75" w14:textId="77777777" w:rsidTr="00D063A2">
        <w:trPr>
          <w:trHeight w:val="240"/>
          <w:jc w:val="center"/>
        </w:trPr>
        <w:tc>
          <w:tcPr>
            <w:tcW w:w="9752" w:type="dxa"/>
            <w:gridSpan w:val="2"/>
            <w:tcBorders>
              <w:top w:val="nil"/>
              <w:left w:val="nil"/>
              <w:bottom w:val="nil"/>
              <w:right w:val="nil"/>
            </w:tcBorders>
          </w:tcPr>
          <w:p w14:paraId="3A95F3D7" w14:textId="77777777" w:rsidR="004D2B5D" w:rsidRPr="00087644" w:rsidRDefault="004D2B5D" w:rsidP="00D063A2"/>
        </w:tc>
      </w:tr>
      <w:tr w:rsidR="004D2B5D" w:rsidRPr="00087644" w14:paraId="71FE2BF0" w14:textId="77777777" w:rsidTr="00D063A2">
        <w:trPr>
          <w:trHeight w:val="240"/>
          <w:jc w:val="center"/>
        </w:trPr>
        <w:tc>
          <w:tcPr>
            <w:tcW w:w="4876" w:type="dxa"/>
            <w:tcBorders>
              <w:top w:val="nil"/>
              <w:left w:val="nil"/>
              <w:bottom w:val="nil"/>
              <w:right w:val="nil"/>
            </w:tcBorders>
            <w:hideMark/>
          </w:tcPr>
          <w:p w14:paraId="2AA69FB1"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55492430" w14:textId="77777777" w:rsidR="004D2B5D" w:rsidRPr="00087644" w:rsidRDefault="004D2B5D" w:rsidP="00D063A2">
            <w:pPr>
              <w:pStyle w:val="AmColumnHeading"/>
            </w:pPr>
            <w:r w:rsidRPr="00087644">
              <w:t>Alteração</w:t>
            </w:r>
          </w:p>
        </w:tc>
      </w:tr>
      <w:tr w:rsidR="004D2B5D" w:rsidRPr="00087644" w14:paraId="617C2220" w14:textId="77777777" w:rsidTr="00D063A2">
        <w:trPr>
          <w:jc w:val="center"/>
        </w:trPr>
        <w:tc>
          <w:tcPr>
            <w:tcW w:w="4876" w:type="dxa"/>
            <w:tcBorders>
              <w:top w:val="nil"/>
              <w:left w:val="nil"/>
              <w:bottom w:val="nil"/>
              <w:right w:val="nil"/>
            </w:tcBorders>
            <w:hideMark/>
          </w:tcPr>
          <w:p w14:paraId="3EE8829C" w14:textId="77777777" w:rsidR="004D2B5D" w:rsidRPr="00087644" w:rsidRDefault="004D2B5D" w:rsidP="00D063A2">
            <w:pPr>
              <w:pStyle w:val="Normal6a"/>
            </w:pPr>
            <w:r w:rsidRPr="00087644">
              <w:t>(17)</w:t>
            </w:r>
            <w:r w:rsidRPr="00087644">
              <w:tab/>
              <w:t>As condições que permitem derrogações à proibição da utilização dessas substâncias em produtos cosméticos devem ser simplificadas e o seu âmbito de aplicação deve ser definido de forma mais pormenorizada. Além disso, o cumprimento dos requisitos de segurança dos géneros alimentícios não é compatível com os progressos científicos e técnicos que permitem o desenvolvimento de novas substâncias para utilização em produtos cosméticos que não são utilizadas nem estão presentes nos alimentos. O cumprimento dos requisitos de segurança dos géneros alimentícios não reforça a segurança dos produtos cosméticos, dado que as duas categorias de produtos são intrinsecamente diferentes. Por conseguinte, é conveniente suprimir esta condição.</w:t>
            </w:r>
          </w:p>
        </w:tc>
        <w:tc>
          <w:tcPr>
            <w:tcW w:w="4876" w:type="dxa"/>
            <w:tcBorders>
              <w:top w:val="nil"/>
              <w:left w:val="nil"/>
              <w:bottom w:val="nil"/>
              <w:right w:val="nil"/>
            </w:tcBorders>
            <w:hideMark/>
          </w:tcPr>
          <w:p w14:paraId="78E76E37" w14:textId="77777777" w:rsidR="004D2B5D" w:rsidRPr="00087644" w:rsidRDefault="004D2B5D" w:rsidP="00D063A2">
            <w:pPr>
              <w:pStyle w:val="Normal6a"/>
            </w:pPr>
            <w:r w:rsidRPr="00087644">
              <w:t>(17)</w:t>
            </w:r>
            <w:r w:rsidRPr="00087644">
              <w:tab/>
              <w:t xml:space="preserve">As condições que permitem derrogações à proibição da utilização dessas substâncias em produtos cosméticos devem ser simplificadas </w:t>
            </w:r>
            <w:r w:rsidRPr="00087644">
              <w:rPr>
                <w:b/>
                <w:i/>
              </w:rPr>
              <w:t>sem reduzir o elevado nível de proteção da saúde e segurança humanas e de proteção dos consumidores,</w:t>
            </w:r>
            <w:r w:rsidRPr="00087644">
              <w:t xml:space="preserve"> e o seu âmbito de aplicação deve ser definido de forma mais pormenorizada. Além disso, o cumprimento dos requisitos de segurança dos géneros alimentícios não é compatível com os progressos científicos e técnicos que permitem o desenvolvimento de novas substâncias para utilização em produtos cosméticos que não são utilizadas nem estão presentes nos alimentos. O cumprimento dos requisitos de segurança dos géneros alimentícios não reforça </w:t>
            </w:r>
            <w:r w:rsidRPr="00087644">
              <w:rPr>
                <w:b/>
                <w:i/>
              </w:rPr>
              <w:t>necessariamente</w:t>
            </w:r>
            <w:r w:rsidRPr="00087644">
              <w:t xml:space="preserve"> a segurança dos produtos cosméticos, dado que as duas categorias de produtos são intrinsecamente diferentes. Por conseguinte, é conveniente suprimir esta condição.</w:t>
            </w:r>
          </w:p>
        </w:tc>
      </w:tr>
    </w:tbl>
    <w:p w14:paraId="72360010" w14:textId="77777777" w:rsidR="004D2B5D" w:rsidRPr="00087644" w:rsidRDefault="004D2B5D" w:rsidP="004D2B5D"/>
    <w:p w14:paraId="1CAD48DF" w14:textId="77777777" w:rsidR="004D2B5D" w:rsidRPr="00087644" w:rsidRDefault="004D2B5D" w:rsidP="004D2B5D">
      <w:pPr>
        <w:pStyle w:val="AmNumberTabs"/>
      </w:pPr>
      <w:r w:rsidRPr="00087644">
        <w:t>Alteração</w:t>
      </w:r>
      <w:r w:rsidRPr="00087644">
        <w:tab/>
      </w:r>
      <w:r w:rsidRPr="00087644">
        <w:tab/>
        <w:t>18</w:t>
      </w:r>
    </w:p>
    <w:p w14:paraId="3ED14B95" w14:textId="77777777" w:rsidR="004D2B5D" w:rsidRPr="00087644" w:rsidRDefault="004D2B5D" w:rsidP="004D2B5D">
      <w:pPr>
        <w:pStyle w:val="NormalBold"/>
      </w:pPr>
      <w:r w:rsidRPr="00087644">
        <w:t>Proposta de regulamento</w:t>
      </w:r>
    </w:p>
    <w:p w14:paraId="7E4D7249" w14:textId="77777777" w:rsidR="004D2B5D" w:rsidRPr="00087644" w:rsidRDefault="004D2B5D" w:rsidP="004D2B5D">
      <w:pPr>
        <w:pStyle w:val="NormalBold"/>
      </w:pPr>
      <w:r w:rsidRPr="00087644">
        <w:t>Considerando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64A191E7" w14:textId="77777777" w:rsidTr="00D063A2">
        <w:trPr>
          <w:trHeight w:val="240"/>
          <w:jc w:val="center"/>
        </w:trPr>
        <w:tc>
          <w:tcPr>
            <w:tcW w:w="9752" w:type="dxa"/>
            <w:gridSpan w:val="2"/>
            <w:tcBorders>
              <w:top w:val="nil"/>
              <w:left w:val="nil"/>
              <w:bottom w:val="nil"/>
              <w:right w:val="nil"/>
            </w:tcBorders>
          </w:tcPr>
          <w:p w14:paraId="7C264E95" w14:textId="77777777" w:rsidR="004D2B5D" w:rsidRPr="00087644" w:rsidRDefault="004D2B5D" w:rsidP="00D063A2"/>
        </w:tc>
      </w:tr>
      <w:tr w:rsidR="004D2B5D" w:rsidRPr="00087644" w14:paraId="358F3F0D" w14:textId="77777777" w:rsidTr="00D063A2">
        <w:trPr>
          <w:trHeight w:val="240"/>
          <w:jc w:val="center"/>
        </w:trPr>
        <w:tc>
          <w:tcPr>
            <w:tcW w:w="4876" w:type="dxa"/>
            <w:tcBorders>
              <w:top w:val="nil"/>
              <w:left w:val="nil"/>
              <w:bottom w:val="nil"/>
              <w:right w:val="nil"/>
            </w:tcBorders>
            <w:hideMark/>
          </w:tcPr>
          <w:p w14:paraId="25673ACA"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04471221" w14:textId="77777777" w:rsidR="004D2B5D" w:rsidRPr="00087644" w:rsidRDefault="004D2B5D" w:rsidP="00D063A2">
            <w:pPr>
              <w:pStyle w:val="AmColumnHeading"/>
            </w:pPr>
            <w:r w:rsidRPr="00087644">
              <w:t>Alteração</w:t>
            </w:r>
          </w:p>
        </w:tc>
      </w:tr>
      <w:tr w:rsidR="004D2B5D" w:rsidRPr="00087644" w14:paraId="20244B1A" w14:textId="77777777" w:rsidTr="00D063A2">
        <w:trPr>
          <w:jc w:val="center"/>
        </w:trPr>
        <w:tc>
          <w:tcPr>
            <w:tcW w:w="4876" w:type="dxa"/>
            <w:tcBorders>
              <w:top w:val="nil"/>
              <w:left w:val="nil"/>
              <w:bottom w:val="nil"/>
              <w:right w:val="nil"/>
            </w:tcBorders>
            <w:hideMark/>
          </w:tcPr>
          <w:p w14:paraId="53729F00" w14:textId="77777777" w:rsidR="004D2B5D" w:rsidRPr="00087644" w:rsidRDefault="004D2B5D" w:rsidP="00D063A2">
            <w:pPr>
              <w:pStyle w:val="Normal6a"/>
            </w:pPr>
            <w:r w:rsidRPr="00087644">
              <w:t>(18)</w:t>
            </w:r>
            <w:r w:rsidRPr="00087644">
              <w:tab/>
              <w:t xml:space="preserve">Além disso, importa </w:t>
            </w:r>
            <w:r w:rsidRPr="00087644">
              <w:rPr>
                <w:b/>
                <w:i/>
              </w:rPr>
              <w:t>especificar</w:t>
            </w:r>
            <w:r w:rsidRPr="00087644">
              <w:t xml:space="preserve"> os elementos a ter em conta no âmbito da condição relativa à disponibilidade de alternativas adequadas. Em especial, deve estabelecer</w:t>
            </w:r>
            <w:r w:rsidRPr="00087644">
              <w:noBreakHyphen/>
              <w:t xml:space="preserve">se que a utilização de </w:t>
            </w:r>
            <w:r w:rsidRPr="00087644">
              <w:rPr>
                <w:b/>
                <w:i/>
              </w:rPr>
              <w:t>uma</w:t>
            </w:r>
            <w:r w:rsidRPr="00087644">
              <w:t xml:space="preserve"> substância alternativa </w:t>
            </w:r>
            <w:r w:rsidRPr="00087644">
              <w:rPr>
                <w:b/>
                <w:i/>
              </w:rPr>
              <w:t>resulte numa redução do risco global</w:t>
            </w:r>
            <w:r w:rsidRPr="00087644">
              <w:t xml:space="preserve"> para a saúde humana </w:t>
            </w:r>
            <w:r w:rsidRPr="00087644">
              <w:rPr>
                <w:b/>
                <w:i/>
              </w:rPr>
              <w:t xml:space="preserve">e para o ambiente e que essa substância desempenhe </w:t>
            </w:r>
            <w:r w:rsidRPr="00087644">
              <w:t xml:space="preserve">uma função equivalente </w:t>
            </w:r>
            <w:r w:rsidRPr="00087644">
              <w:rPr>
                <w:b/>
                <w:i/>
              </w:rPr>
              <w:t>ou semelhante num produto cosmético</w:t>
            </w:r>
            <w:r w:rsidRPr="00087644">
              <w:t xml:space="preserve"> e </w:t>
            </w:r>
            <w:r w:rsidRPr="00087644">
              <w:rPr>
                <w:b/>
                <w:i/>
              </w:rPr>
              <w:t>esteja</w:t>
            </w:r>
            <w:r w:rsidRPr="00087644">
              <w:t xml:space="preserve"> disponível no mercado </w:t>
            </w:r>
            <w:r w:rsidRPr="00087644">
              <w:lastRenderedPageBreak/>
              <w:t xml:space="preserve">em quantidades suficientes, para </w:t>
            </w:r>
            <w:r w:rsidRPr="00087644">
              <w:rPr>
                <w:b/>
                <w:i/>
              </w:rPr>
              <w:t>que possa ser tecnicamente exequível</w:t>
            </w:r>
            <w:r w:rsidRPr="00087644">
              <w:t xml:space="preserve"> e economicamente viável para as empresas e, em especial, para as PME</w:t>
            </w:r>
            <w:r w:rsidRPr="00087644">
              <w:rPr>
                <w:b/>
                <w:i/>
              </w:rPr>
              <w:t>. Além disso, o acesso à substância não deve ser restringido por patentes ou restrições às matérias</w:t>
            </w:r>
            <w:r w:rsidRPr="00087644">
              <w:rPr>
                <w:b/>
                <w:i/>
              </w:rPr>
              <w:noBreakHyphen/>
              <w:t>primas. Deverá também</w:t>
            </w:r>
            <w:r w:rsidRPr="00087644">
              <w:t xml:space="preserve"> ser </w:t>
            </w:r>
            <w:r w:rsidRPr="00087644">
              <w:rPr>
                <w:b/>
                <w:i/>
              </w:rPr>
              <w:t>possível considerar</w:t>
            </w:r>
            <w:r w:rsidRPr="00087644">
              <w:t xml:space="preserve"> os aspetos económicos, como os custos de reformulação e a contribuição comparativa com os custos globais de produção, como fatores pertinentes na análise da adequação das alternativas.</w:t>
            </w:r>
          </w:p>
        </w:tc>
        <w:tc>
          <w:tcPr>
            <w:tcW w:w="4876" w:type="dxa"/>
            <w:tcBorders>
              <w:top w:val="nil"/>
              <w:left w:val="nil"/>
              <w:bottom w:val="nil"/>
              <w:right w:val="nil"/>
            </w:tcBorders>
            <w:hideMark/>
          </w:tcPr>
          <w:p w14:paraId="6F4AB590" w14:textId="77777777" w:rsidR="004D2B5D" w:rsidRPr="00087644" w:rsidRDefault="004D2B5D" w:rsidP="00D063A2">
            <w:pPr>
              <w:pStyle w:val="Normal6a"/>
            </w:pPr>
            <w:r w:rsidRPr="00087644">
              <w:lastRenderedPageBreak/>
              <w:t>(18)</w:t>
            </w:r>
            <w:r w:rsidRPr="00087644">
              <w:tab/>
              <w:t xml:space="preserve">Além disso, importa </w:t>
            </w:r>
            <w:r w:rsidRPr="00087644">
              <w:rPr>
                <w:b/>
                <w:i/>
              </w:rPr>
              <w:t>descrever</w:t>
            </w:r>
            <w:r w:rsidRPr="00087644">
              <w:t xml:space="preserve"> os elementos a ter em conta no âmbito da condição relativa à disponibilidade de alternativas adequadas. Em especial, deve estabelecer</w:t>
            </w:r>
            <w:r w:rsidRPr="00087644">
              <w:noBreakHyphen/>
              <w:t xml:space="preserve">se que a utilização de </w:t>
            </w:r>
            <w:r w:rsidRPr="00087644">
              <w:rPr>
                <w:b/>
                <w:i/>
              </w:rPr>
              <w:t>qualquer</w:t>
            </w:r>
            <w:r w:rsidRPr="00087644">
              <w:t xml:space="preserve"> substância alternativa </w:t>
            </w:r>
            <w:r w:rsidRPr="00087644">
              <w:rPr>
                <w:b/>
                <w:i/>
              </w:rPr>
              <w:t>para substituir a substância classificada é segura</w:t>
            </w:r>
            <w:r w:rsidRPr="00087644">
              <w:t xml:space="preserve"> para a saúde humana</w:t>
            </w:r>
            <w:r w:rsidRPr="00087644">
              <w:rPr>
                <w:b/>
                <w:i/>
              </w:rPr>
              <w:t xml:space="preserve">. A alternativa deve desempenhar </w:t>
            </w:r>
            <w:r w:rsidRPr="00087644">
              <w:t xml:space="preserve">uma função equivalente </w:t>
            </w:r>
            <w:r w:rsidRPr="00087644">
              <w:rPr>
                <w:b/>
                <w:i/>
              </w:rPr>
              <w:t>e proporcionar um nível comparável de eficácia e desempenho</w:t>
            </w:r>
            <w:r w:rsidRPr="00087644">
              <w:t xml:space="preserve"> e </w:t>
            </w:r>
            <w:r w:rsidRPr="00087644">
              <w:rPr>
                <w:b/>
                <w:i/>
              </w:rPr>
              <w:t>estar</w:t>
            </w:r>
            <w:r w:rsidRPr="00087644">
              <w:t xml:space="preserve"> disponível </w:t>
            </w:r>
            <w:r w:rsidRPr="00087644">
              <w:lastRenderedPageBreak/>
              <w:t xml:space="preserve">no mercado em quantidades suficientes, </w:t>
            </w:r>
            <w:r w:rsidRPr="00087644">
              <w:rPr>
                <w:b/>
                <w:i/>
              </w:rPr>
              <w:t>ou ser suscetível de estar disponível em quantidades suficientes</w:t>
            </w:r>
            <w:r w:rsidRPr="00087644">
              <w:t xml:space="preserve"> para </w:t>
            </w:r>
            <w:r w:rsidRPr="00087644">
              <w:rPr>
                <w:b/>
                <w:i/>
              </w:rPr>
              <w:t>dar resposta à procura no momento, e poder comprovadamente dar resposta à procura prevista num prazo razoável. A sua utilização deve ser técnica</w:t>
            </w:r>
            <w:r w:rsidRPr="00087644">
              <w:t xml:space="preserve"> e economicamente viável para as empresas e, em especial, para as PME, </w:t>
            </w:r>
            <w:r w:rsidRPr="00087644">
              <w:rPr>
                <w:b/>
                <w:i/>
              </w:rPr>
              <w:t>a fim de permitir uma produção duradoura. Para avaliar a viabilidade económica, podem</w:t>
            </w:r>
            <w:r w:rsidRPr="00087644">
              <w:t xml:space="preserve"> ser </w:t>
            </w:r>
            <w:r w:rsidRPr="00087644">
              <w:rPr>
                <w:b/>
                <w:i/>
              </w:rPr>
              <w:t>considerados</w:t>
            </w:r>
            <w:r w:rsidRPr="00087644">
              <w:t xml:space="preserve"> os aspetos económicos, como os custos de reformulação e a contribuição comparativa com os custos globais de produção, como fatores pertinentes na análise da adequação das alternativas.</w:t>
            </w:r>
          </w:p>
        </w:tc>
      </w:tr>
    </w:tbl>
    <w:p w14:paraId="2B61EC9A" w14:textId="77777777" w:rsidR="004D2B5D" w:rsidRPr="00087644" w:rsidRDefault="004D2B5D" w:rsidP="004D2B5D"/>
    <w:p w14:paraId="66BEA6B6" w14:textId="77777777" w:rsidR="004D2B5D" w:rsidRPr="00087644" w:rsidRDefault="004D2B5D" w:rsidP="004D2B5D">
      <w:pPr>
        <w:pStyle w:val="AmNumberTabs"/>
      </w:pPr>
      <w:r w:rsidRPr="00087644">
        <w:t>Alteração</w:t>
      </w:r>
      <w:r w:rsidRPr="00087644">
        <w:tab/>
      </w:r>
      <w:r w:rsidRPr="00087644">
        <w:tab/>
        <w:t>19</w:t>
      </w:r>
    </w:p>
    <w:p w14:paraId="3B0E7AFF" w14:textId="77777777" w:rsidR="004D2B5D" w:rsidRPr="00087644" w:rsidRDefault="004D2B5D" w:rsidP="004D2B5D">
      <w:pPr>
        <w:pStyle w:val="NormalBold"/>
      </w:pPr>
      <w:r w:rsidRPr="00087644">
        <w:t>Proposta de regulamento</w:t>
      </w:r>
    </w:p>
    <w:p w14:paraId="35914B2D" w14:textId="77777777" w:rsidR="004D2B5D" w:rsidRPr="00087644" w:rsidRDefault="004D2B5D" w:rsidP="004D2B5D">
      <w:pPr>
        <w:pStyle w:val="NormalBold"/>
      </w:pPr>
      <w:r w:rsidRPr="00087644">
        <w:t>Considerando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1E2A4CAB" w14:textId="77777777" w:rsidTr="00D063A2">
        <w:trPr>
          <w:trHeight w:val="240"/>
          <w:jc w:val="center"/>
        </w:trPr>
        <w:tc>
          <w:tcPr>
            <w:tcW w:w="9752" w:type="dxa"/>
            <w:gridSpan w:val="2"/>
            <w:tcBorders>
              <w:top w:val="nil"/>
              <w:left w:val="nil"/>
              <w:bottom w:val="nil"/>
              <w:right w:val="nil"/>
            </w:tcBorders>
          </w:tcPr>
          <w:p w14:paraId="21FDBC37" w14:textId="77777777" w:rsidR="004D2B5D" w:rsidRPr="00087644" w:rsidRDefault="004D2B5D" w:rsidP="00D063A2"/>
        </w:tc>
      </w:tr>
      <w:tr w:rsidR="004D2B5D" w:rsidRPr="00087644" w14:paraId="2DF6700C" w14:textId="77777777" w:rsidTr="00D063A2">
        <w:trPr>
          <w:trHeight w:val="240"/>
          <w:jc w:val="center"/>
        </w:trPr>
        <w:tc>
          <w:tcPr>
            <w:tcW w:w="4876" w:type="dxa"/>
            <w:tcBorders>
              <w:top w:val="nil"/>
              <w:left w:val="nil"/>
              <w:bottom w:val="nil"/>
              <w:right w:val="nil"/>
            </w:tcBorders>
            <w:hideMark/>
          </w:tcPr>
          <w:p w14:paraId="57CC08EC"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497F268B" w14:textId="77777777" w:rsidR="004D2B5D" w:rsidRPr="00087644" w:rsidRDefault="004D2B5D" w:rsidP="00D063A2">
            <w:pPr>
              <w:pStyle w:val="AmColumnHeading"/>
            </w:pPr>
            <w:r w:rsidRPr="00087644">
              <w:t>Alteração</w:t>
            </w:r>
          </w:p>
        </w:tc>
      </w:tr>
      <w:tr w:rsidR="004D2B5D" w:rsidRPr="00087644" w14:paraId="331F7807" w14:textId="77777777" w:rsidTr="00D063A2">
        <w:trPr>
          <w:jc w:val="center"/>
        </w:trPr>
        <w:tc>
          <w:tcPr>
            <w:tcW w:w="4876" w:type="dxa"/>
            <w:tcBorders>
              <w:top w:val="nil"/>
              <w:left w:val="nil"/>
              <w:bottom w:val="nil"/>
              <w:right w:val="nil"/>
            </w:tcBorders>
            <w:hideMark/>
          </w:tcPr>
          <w:p w14:paraId="6235561F" w14:textId="77777777" w:rsidR="004D2B5D" w:rsidRPr="00087644" w:rsidRDefault="004D2B5D" w:rsidP="00D063A2">
            <w:pPr>
              <w:pStyle w:val="Normal6a"/>
            </w:pPr>
            <w:r w:rsidRPr="00087644">
              <w:t>(19)</w:t>
            </w:r>
            <w:r w:rsidRPr="00087644">
              <w:tab/>
              <w:t>Além disso, a fim de simplificar o procedimento de derrogação, a condição de o pedido de derrogação ser feito para uma utilização particular de uma categoria de produtos, com uma exposição conhecida, deve passar a fazer parte do critério de avaliação do Comité Científico da Segurança dos Consumidores (CCSC). Atualmente, o comité científico já avalia a segurança da substância em função das suas propriedades perigosas e a sua exposição (ou seja, a utilização específica numa determinada categoria de produtos), pelo que um critério separado é redundante.</w:t>
            </w:r>
          </w:p>
        </w:tc>
        <w:tc>
          <w:tcPr>
            <w:tcW w:w="4876" w:type="dxa"/>
            <w:tcBorders>
              <w:top w:val="nil"/>
              <w:left w:val="nil"/>
              <w:bottom w:val="nil"/>
              <w:right w:val="nil"/>
            </w:tcBorders>
            <w:hideMark/>
          </w:tcPr>
          <w:p w14:paraId="3335D454" w14:textId="77777777" w:rsidR="004D2B5D" w:rsidRPr="00087644" w:rsidRDefault="004D2B5D" w:rsidP="00D063A2">
            <w:pPr>
              <w:pStyle w:val="Normal6a"/>
            </w:pPr>
            <w:r w:rsidRPr="00087644">
              <w:rPr>
                <w:i/>
              </w:rPr>
              <w:t>(Não se aplica à versão portuguesa.)</w:t>
            </w:r>
            <w:r w:rsidRPr="00087644">
              <w:tab/>
              <w:t xml:space="preserve">   </w:t>
            </w:r>
          </w:p>
        </w:tc>
      </w:tr>
    </w:tbl>
    <w:p w14:paraId="594C7264" w14:textId="77777777" w:rsidR="004D2B5D" w:rsidRPr="00087644" w:rsidRDefault="004D2B5D" w:rsidP="004D2B5D"/>
    <w:p w14:paraId="64CD5BF7" w14:textId="77777777" w:rsidR="004D2B5D" w:rsidRPr="00087644" w:rsidRDefault="004D2B5D" w:rsidP="004D2B5D">
      <w:pPr>
        <w:pStyle w:val="AmNumberTabs"/>
      </w:pPr>
      <w:r w:rsidRPr="00087644">
        <w:t>Alteração</w:t>
      </w:r>
      <w:r w:rsidRPr="00087644">
        <w:tab/>
      </w:r>
      <w:r w:rsidRPr="00087644">
        <w:tab/>
        <w:t>20</w:t>
      </w:r>
    </w:p>
    <w:p w14:paraId="354DF350" w14:textId="77777777" w:rsidR="004D2B5D" w:rsidRPr="00087644" w:rsidRDefault="004D2B5D" w:rsidP="004D2B5D">
      <w:pPr>
        <w:pStyle w:val="NormalBold"/>
      </w:pPr>
      <w:r w:rsidRPr="00087644">
        <w:t>Proposta de regulamento</w:t>
      </w:r>
    </w:p>
    <w:p w14:paraId="0A7C2313" w14:textId="77777777" w:rsidR="004D2B5D" w:rsidRPr="00087644" w:rsidRDefault="004D2B5D" w:rsidP="004D2B5D">
      <w:pPr>
        <w:pStyle w:val="NormalBold"/>
      </w:pPr>
      <w:r w:rsidRPr="00087644">
        <w:t>Considerando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3EAF1CB3" w14:textId="77777777" w:rsidTr="00D063A2">
        <w:trPr>
          <w:trHeight w:val="240"/>
          <w:jc w:val="center"/>
        </w:trPr>
        <w:tc>
          <w:tcPr>
            <w:tcW w:w="9752" w:type="dxa"/>
            <w:gridSpan w:val="2"/>
            <w:tcBorders>
              <w:top w:val="nil"/>
              <w:left w:val="nil"/>
              <w:bottom w:val="nil"/>
              <w:right w:val="nil"/>
            </w:tcBorders>
          </w:tcPr>
          <w:p w14:paraId="575A4FAA" w14:textId="77777777" w:rsidR="004D2B5D" w:rsidRPr="00087644" w:rsidRDefault="004D2B5D" w:rsidP="00D063A2"/>
        </w:tc>
      </w:tr>
      <w:tr w:rsidR="004D2B5D" w:rsidRPr="00087644" w14:paraId="35CB5068" w14:textId="77777777" w:rsidTr="00D063A2">
        <w:trPr>
          <w:trHeight w:val="240"/>
          <w:jc w:val="center"/>
        </w:trPr>
        <w:tc>
          <w:tcPr>
            <w:tcW w:w="4876" w:type="dxa"/>
            <w:tcBorders>
              <w:top w:val="nil"/>
              <w:left w:val="nil"/>
              <w:bottom w:val="nil"/>
              <w:right w:val="nil"/>
            </w:tcBorders>
            <w:hideMark/>
          </w:tcPr>
          <w:p w14:paraId="5EECE71A"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416AB5C0" w14:textId="77777777" w:rsidR="004D2B5D" w:rsidRPr="00087644" w:rsidRDefault="004D2B5D" w:rsidP="00D063A2">
            <w:pPr>
              <w:pStyle w:val="AmColumnHeading"/>
            </w:pPr>
            <w:r w:rsidRPr="00087644">
              <w:t>Alteração</w:t>
            </w:r>
          </w:p>
        </w:tc>
      </w:tr>
      <w:tr w:rsidR="004D2B5D" w:rsidRPr="00087644" w14:paraId="2EAD6AC1" w14:textId="77777777" w:rsidTr="00D063A2">
        <w:trPr>
          <w:jc w:val="center"/>
        </w:trPr>
        <w:tc>
          <w:tcPr>
            <w:tcW w:w="4876" w:type="dxa"/>
            <w:tcBorders>
              <w:top w:val="nil"/>
              <w:left w:val="nil"/>
              <w:bottom w:val="nil"/>
              <w:right w:val="nil"/>
            </w:tcBorders>
            <w:hideMark/>
          </w:tcPr>
          <w:p w14:paraId="53D86E76" w14:textId="77777777" w:rsidR="004D2B5D" w:rsidRPr="00087644" w:rsidRDefault="004D2B5D" w:rsidP="00D063A2">
            <w:pPr>
              <w:pStyle w:val="Normal6a"/>
            </w:pPr>
            <w:r w:rsidRPr="00087644">
              <w:t>(21)</w:t>
            </w:r>
            <w:r w:rsidRPr="00087644">
              <w:tab/>
            </w:r>
            <w:r w:rsidRPr="00087644">
              <w:rPr>
                <w:b/>
                <w:i/>
              </w:rPr>
              <w:t>Muitas vezes, uma substância pode também ser</w:t>
            </w:r>
            <w:r w:rsidRPr="00087644">
              <w:t xml:space="preserve"> um constituinte </w:t>
            </w:r>
            <w:r w:rsidRPr="00087644">
              <w:rPr>
                <w:b/>
                <w:bCs/>
                <w:i/>
                <w:iCs/>
              </w:rPr>
              <w:t>de</w:t>
            </w:r>
            <w:r w:rsidRPr="00087644">
              <w:t xml:space="preserve"> </w:t>
            </w:r>
            <w:r w:rsidRPr="00087644">
              <w:rPr>
                <w:b/>
                <w:i/>
              </w:rPr>
              <w:t>substâncias</w:t>
            </w:r>
            <w:r w:rsidRPr="00087644">
              <w:t xml:space="preserve"> complexas </w:t>
            </w:r>
            <w:r w:rsidRPr="00087644">
              <w:rPr>
                <w:b/>
                <w:i/>
              </w:rPr>
              <w:t>naturais</w:t>
            </w:r>
            <w:r w:rsidRPr="00087644">
              <w:t xml:space="preserve">, </w:t>
            </w:r>
            <w:r w:rsidRPr="00087644">
              <w:rPr>
                <w:b/>
                <w:i/>
              </w:rPr>
              <w:t xml:space="preserve">por exemplo óleos </w:t>
            </w:r>
            <w:r w:rsidRPr="00087644">
              <w:rPr>
                <w:b/>
                <w:i/>
              </w:rPr>
              <w:lastRenderedPageBreak/>
              <w:t>essenciais</w:t>
            </w:r>
            <w:r w:rsidRPr="00087644">
              <w:t>.</w:t>
            </w:r>
            <w:r w:rsidRPr="00087644">
              <w:rPr>
                <w:b/>
                <w:i/>
              </w:rPr>
              <w:t xml:space="preserve"> Nesses casos</w:t>
            </w:r>
            <w:r w:rsidRPr="00087644">
              <w:t xml:space="preserve">, a proibição de utilização em produtos cosméticos nos termos do artigo 15.º do Regulamento (CE) n.º 1223/2009 só é </w:t>
            </w:r>
            <w:r w:rsidRPr="00087644">
              <w:rPr>
                <w:b/>
                <w:i/>
              </w:rPr>
              <w:t>pertinente para a</w:t>
            </w:r>
            <w:r w:rsidRPr="00087644">
              <w:t xml:space="preserve"> substância tal como consta da parte 3 do anexo VI do Regulamento (CE) n.º 1272/2008</w:t>
            </w:r>
            <w:r w:rsidRPr="00087644">
              <w:rPr>
                <w:b/>
                <w:i/>
              </w:rPr>
              <w:t>.</w:t>
            </w:r>
            <w:r w:rsidRPr="00087644">
              <w:t xml:space="preserve"> </w:t>
            </w:r>
            <w:r w:rsidRPr="00087644">
              <w:rPr>
                <w:b/>
                <w:i/>
              </w:rPr>
              <w:t>Isto significa que</w:t>
            </w:r>
            <w:r w:rsidRPr="00087644">
              <w:t xml:space="preserve"> as substâncias complexas naturais que contêm um constituinte classificado como CMR não estão sujeitas à proibição, exceto se </w:t>
            </w:r>
            <w:r w:rsidRPr="00087644">
              <w:rPr>
                <w:b/>
                <w:i/>
              </w:rPr>
              <w:t>essa</w:t>
            </w:r>
            <w:r w:rsidRPr="00087644">
              <w:t xml:space="preserve"> substância complexa natural estiver, ela própria, </w:t>
            </w:r>
            <w:r w:rsidRPr="00087644">
              <w:rPr>
                <w:b/>
                <w:i/>
              </w:rPr>
              <w:t>enumerada</w:t>
            </w:r>
            <w:r w:rsidRPr="00087644">
              <w:t xml:space="preserve"> como substância CMR das categorias 1A, 1B ou 2 na parte 3 do anexo VI do Regulamento (CE) n.º 1272/2008. No entanto, atendendo a que a classificação harmonizada de um constituinte </w:t>
            </w:r>
            <w:r w:rsidRPr="00087644">
              <w:rPr>
                <w:b/>
                <w:i/>
              </w:rPr>
              <w:t>pode suscitar</w:t>
            </w:r>
            <w:r w:rsidRPr="00087644">
              <w:t xml:space="preserve"> preocupações quanto à segurança das substâncias complexas naturais quando utilizadas em produtos cosméticos, a Comissão deve encarregar o CCSC de avaliar </w:t>
            </w:r>
            <w:r w:rsidRPr="00087644">
              <w:rPr>
                <w:b/>
                <w:i/>
              </w:rPr>
              <w:t>o impacto desse constituinte na</w:t>
            </w:r>
            <w:r w:rsidRPr="00087644">
              <w:t xml:space="preserve"> segurança </w:t>
            </w:r>
            <w:r w:rsidRPr="00087644">
              <w:rPr>
                <w:b/>
                <w:i/>
              </w:rPr>
              <w:t>das</w:t>
            </w:r>
            <w:r w:rsidRPr="00087644">
              <w:t xml:space="preserve"> substâncias </w:t>
            </w:r>
            <w:r w:rsidRPr="00087644">
              <w:rPr>
                <w:b/>
                <w:i/>
              </w:rPr>
              <w:t>complexas naturais</w:t>
            </w:r>
            <w:r w:rsidRPr="00087644">
              <w:t xml:space="preserve">, </w:t>
            </w:r>
            <w:r w:rsidRPr="00087644">
              <w:rPr>
                <w:b/>
                <w:i/>
              </w:rPr>
              <w:t>caso surja uma preocupação de segurança</w:t>
            </w:r>
            <w:r w:rsidRPr="00087644">
              <w:t xml:space="preserve">, </w:t>
            </w:r>
            <w:r w:rsidRPr="00087644">
              <w:rPr>
                <w:b/>
                <w:i/>
              </w:rPr>
              <w:t>e dar seguimento às</w:t>
            </w:r>
            <w:r w:rsidRPr="00087644">
              <w:t xml:space="preserve"> medidas regulamentares adequadas, em conformidade com o artigo 31.º, n.º 1, do Regulamento (CE) n.º 1223/2009.</w:t>
            </w:r>
          </w:p>
        </w:tc>
        <w:tc>
          <w:tcPr>
            <w:tcW w:w="4876" w:type="dxa"/>
            <w:tcBorders>
              <w:top w:val="nil"/>
              <w:left w:val="nil"/>
              <w:bottom w:val="nil"/>
              <w:right w:val="nil"/>
            </w:tcBorders>
            <w:hideMark/>
          </w:tcPr>
          <w:p w14:paraId="3112860D" w14:textId="77777777" w:rsidR="004D2B5D" w:rsidRPr="00087644" w:rsidRDefault="004D2B5D" w:rsidP="00D063A2">
            <w:pPr>
              <w:pStyle w:val="Normal6a"/>
            </w:pPr>
            <w:r w:rsidRPr="00087644">
              <w:lastRenderedPageBreak/>
              <w:t>(21)</w:t>
            </w:r>
            <w:r w:rsidRPr="00087644">
              <w:tab/>
            </w:r>
            <w:r w:rsidRPr="00087644">
              <w:rPr>
                <w:b/>
                <w:i/>
              </w:rPr>
              <w:t>As substâncias que contêm mais do que</w:t>
            </w:r>
            <w:r w:rsidRPr="00087644">
              <w:t xml:space="preserve"> um constituinte </w:t>
            </w:r>
            <w:r w:rsidRPr="00087644">
              <w:rPr>
                <w:b/>
                <w:i/>
              </w:rPr>
              <w:t>e que são extraídas</w:t>
            </w:r>
            <w:r w:rsidRPr="00087644">
              <w:t xml:space="preserve"> </w:t>
            </w:r>
            <w:r w:rsidRPr="00087644">
              <w:rPr>
                <w:b/>
                <w:bCs/>
                <w:i/>
                <w:iCs/>
              </w:rPr>
              <w:t>de</w:t>
            </w:r>
            <w:r w:rsidRPr="00087644">
              <w:t xml:space="preserve"> </w:t>
            </w:r>
            <w:r w:rsidRPr="00087644">
              <w:rPr>
                <w:b/>
                <w:i/>
              </w:rPr>
              <w:t xml:space="preserve">plantas ou partes de plantas e não são </w:t>
            </w:r>
            <w:r w:rsidRPr="00087644">
              <w:rPr>
                <w:b/>
                <w:i/>
              </w:rPr>
              <w:lastRenderedPageBreak/>
              <w:t>quimicamente modificadas, na aceção do artigo 3.º, ponto 40, do Regulamento (CE) n.º 1907/2006, são amiúde designadas «substâncias</w:t>
            </w:r>
            <w:r w:rsidRPr="00087644">
              <w:t xml:space="preserve"> complexas </w:t>
            </w:r>
            <w:r w:rsidRPr="00087644">
              <w:rPr>
                <w:b/>
                <w:i/>
              </w:rPr>
              <w:t>naturais». Podem conter um ou mais constituintes classificados como substâncias CMR, ao passo que a substância complexa natural em geral não está, ela própria, classificada como substância CMR. É imperioso que se aplique um elevado nível de proteção dos consumidores a essas substâncias, que deve basear</w:t>
            </w:r>
            <w:r w:rsidRPr="00087644">
              <w:rPr>
                <w:b/>
                <w:i/>
              </w:rPr>
              <w:noBreakHyphen/>
              <w:t>se no conhecimento científico e nas condições reais de exposição decorrentes da sua utilização em produtos cosméticos.</w:t>
            </w:r>
            <w:r w:rsidRPr="00087644">
              <w:t xml:space="preserve"> A proibição de utilização em produtos cosméticos nos termos do artigo 15.º do Regulamento (CE) n.º 1223/2009 só é </w:t>
            </w:r>
            <w:r w:rsidRPr="00087644">
              <w:rPr>
                <w:b/>
                <w:i/>
              </w:rPr>
              <w:t>aplicável à</w:t>
            </w:r>
            <w:r w:rsidRPr="00087644">
              <w:t xml:space="preserve"> substância tal como consta da parte 3 do anexo VI do Regulamento (CE) n.º 1272/2008. As substâncias complexas naturais que contêm um constituinte classificado como CMR não estão sujeitas à proibição, exceto se </w:t>
            </w:r>
            <w:r w:rsidRPr="00087644">
              <w:rPr>
                <w:b/>
                <w:i/>
              </w:rPr>
              <w:t>a</w:t>
            </w:r>
            <w:r w:rsidRPr="00087644">
              <w:t xml:space="preserve"> substância complexa natural estiver, ela própria, </w:t>
            </w:r>
            <w:r w:rsidRPr="00087644">
              <w:rPr>
                <w:b/>
                <w:i/>
              </w:rPr>
              <w:t>classificada</w:t>
            </w:r>
            <w:r w:rsidRPr="00087644">
              <w:t xml:space="preserve"> como substância CMR das categorias 1A, 1B ou 2 na parte 3 do anexo VI do Regulamento (CE) n.º 1272/2008. No entanto, atendendo a que a classificação harmonizada de um constituinte </w:t>
            </w:r>
            <w:r w:rsidRPr="00087644">
              <w:rPr>
                <w:b/>
                <w:i/>
              </w:rPr>
              <w:t>suscita</w:t>
            </w:r>
            <w:r w:rsidRPr="00087644">
              <w:t xml:space="preserve"> preocupações quanto à </w:t>
            </w:r>
            <w:r w:rsidRPr="00087644">
              <w:rPr>
                <w:b/>
                <w:i/>
              </w:rPr>
              <w:t>utilização e à</w:t>
            </w:r>
            <w:r w:rsidRPr="00087644">
              <w:t xml:space="preserve"> segurança das substâncias complexas naturais quando utilizadas em produtos cosméticos, a Comissão deve encarregar </w:t>
            </w:r>
            <w:r w:rsidRPr="00087644">
              <w:rPr>
                <w:b/>
                <w:i/>
              </w:rPr>
              <w:t>sem demora</w:t>
            </w:r>
            <w:r w:rsidRPr="00087644">
              <w:t xml:space="preserve"> o CCSC de avaliar </w:t>
            </w:r>
            <w:r w:rsidRPr="00087644">
              <w:rPr>
                <w:b/>
                <w:i/>
              </w:rPr>
              <w:t>a</w:t>
            </w:r>
            <w:r w:rsidRPr="00087644">
              <w:t xml:space="preserve"> segurança </w:t>
            </w:r>
            <w:r w:rsidRPr="00087644">
              <w:rPr>
                <w:b/>
                <w:i/>
              </w:rPr>
              <w:t>dessas</w:t>
            </w:r>
            <w:r w:rsidRPr="00087644">
              <w:t xml:space="preserve"> substâncias </w:t>
            </w:r>
            <w:r w:rsidRPr="00087644">
              <w:rPr>
                <w:b/>
                <w:i/>
              </w:rPr>
              <w:t>e</w:t>
            </w:r>
            <w:r w:rsidRPr="00087644">
              <w:t xml:space="preserve">, </w:t>
            </w:r>
            <w:r w:rsidRPr="00087644">
              <w:rPr>
                <w:b/>
                <w:i/>
              </w:rPr>
              <w:t>se necessário</w:t>
            </w:r>
            <w:r w:rsidRPr="00087644">
              <w:t xml:space="preserve">, </w:t>
            </w:r>
            <w:r w:rsidRPr="00087644">
              <w:rPr>
                <w:b/>
                <w:i/>
              </w:rPr>
              <w:t>tomar</w:t>
            </w:r>
            <w:r w:rsidRPr="00087644">
              <w:t xml:space="preserve"> medidas regulamentares adequadas, em conformidade com o artigo 31.º, n.º 1, do Regulamento (CE) n.º 1223/2009. </w:t>
            </w:r>
            <w:r w:rsidRPr="00087644">
              <w:rPr>
                <w:b/>
                <w:i/>
              </w:rPr>
              <w:t>A avaliação do CCSC deve ser efetuada em tempo útil a fim de assegurar previsibilidade para o setor.</w:t>
            </w:r>
          </w:p>
        </w:tc>
      </w:tr>
    </w:tbl>
    <w:p w14:paraId="4DE53346" w14:textId="77777777" w:rsidR="004D2B5D" w:rsidRPr="00087644" w:rsidRDefault="004D2B5D" w:rsidP="004D2B5D"/>
    <w:p w14:paraId="6CECD101" w14:textId="77777777" w:rsidR="004D2B5D" w:rsidRPr="00087644" w:rsidRDefault="004D2B5D" w:rsidP="004D2B5D">
      <w:pPr>
        <w:pStyle w:val="AmNumberTabs"/>
      </w:pPr>
      <w:r w:rsidRPr="00087644">
        <w:t>Alteração</w:t>
      </w:r>
      <w:r w:rsidRPr="00087644">
        <w:tab/>
      </w:r>
      <w:r w:rsidRPr="00087644">
        <w:tab/>
        <w:t>21</w:t>
      </w:r>
    </w:p>
    <w:p w14:paraId="541B05A1" w14:textId="77777777" w:rsidR="004D2B5D" w:rsidRPr="00087644" w:rsidRDefault="004D2B5D" w:rsidP="004D2B5D">
      <w:pPr>
        <w:pStyle w:val="NormalBold"/>
      </w:pPr>
      <w:r w:rsidRPr="00087644">
        <w:t>Proposta de regulamento</w:t>
      </w:r>
    </w:p>
    <w:p w14:paraId="2BB3CB7B" w14:textId="77777777" w:rsidR="004D2B5D" w:rsidRPr="00087644" w:rsidRDefault="004D2B5D" w:rsidP="004D2B5D">
      <w:pPr>
        <w:pStyle w:val="NormalBold"/>
      </w:pPr>
      <w:r w:rsidRPr="00087644">
        <w:t>Considerando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1755099C" w14:textId="77777777" w:rsidTr="00D063A2">
        <w:trPr>
          <w:trHeight w:val="240"/>
          <w:jc w:val="center"/>
        </w:trPr>
        <w:tc>
          <w:tcPr>
            <w:tcW w:w="9752" w:type="dxa"/>
            <w:gridSpan w:val="2"/>
            <w:tcBorders>
              <w:top w:val="nil"/>
              <w:left w:val="nil"/>
              <w:bottom w:val="nil"/>
              <w:right w:val="nil"/>
            </w:tcBorders>
          </w:tcPr>
          <w:p w14:paraId="2B91E6EE" w14:textId="77777777" w:rsidR="004D2B5D" w:rsidRPr="00087644" w:rsidRDefault="004D2B5D" w:rsidP="00D063A2"/>
        </w:tc>
      </w:tr>
      <w:tr w:rsidR="004D2B5D" w:rsidRPr="00087644" w14:paraId="74056795" w14:textId="77777777" w:rsidTr="00D063A2">
        <w:trPr>
          <w:trHeight w:val="240"/>
          <w:jc w:val="center"/>
        </w:trPr>
        <w:tc>
          <w:tcPr>
            <w:tcW w:w="4876" w:type="dxa"/>
            <w:tcBorders>
              <w:top w:val="nil"/>
              <w:left w:val="nil"/>
              <w:bottom w:val="nil"/>
              <w:right w:val="nil"/>
            </w:tcBorders>
            <w:hideMark/>
          </w:tcPr>
          <w:p w14:paraId="345E74A6"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26ADC904" w14:textId="77777777" w:rsidR="004D2B5D" w:rsidRPr="00087644" w:rsidRDefault="004D2B5D" w:rsidP="00D063A2">
            <w:pPr>
              <w:pStyle w:val="AmColumnHeading"/>
            </w:pPr>
            <w:r w:rsidRPr="00087644">
              <w:t>Alteração</w:t>
            </w:r>
          </w:p>
        </w:tc>
      </w:tr>
      <w:tr w:rsidR="004D2B5D" w:rsidRPr="00087644" w14:paraId="2A9D2FB8" w14:textId="77777777" w:rsidTr="00D063A2">
        <w:trPr>
          <w:jc w:val="center"/>
        </w:trPr>
        <w:tc>
          <w:tcPr>
            <w:tcW w:w="4876" w:type="dxa"/>
            <w:tcBorders>
              <w:top w:val="nil"/>
              <w:left w:val="nil"/>
              <w:bottom w:val="nil"/>
              <w:right w:val="nil"/>
            </w:tcBorders>
            <w:hideMark/>
          </w:tcPr>
          <w:p w14:paraId="0E63A3C3" w14:textId="77777777" w:rsidR="004D2B5D" w:rsidRPr="00087644" w:rsidRDefault="004D2B5D" w:rsidP="00D063A2">
            <w:pPr>
              <w:pStyle w:val="Normal6a"/>
            </w:pPr>
            <w:r w:rsidRPr="00087644">
              <w:t>(22)</w:t>
            </w:r>
            <w:r w:rsidRPr="00087644">
              <w:tab/>
              <w:t xml:space="preserve">Sempre que uma substância seja </w:t>
            </w:r>
            <w:r w:rsidRPr="00087644">
              <w:lastRenderedPageBreak/>
              <w:t xml:space="preserve">objeto de proibição ou restrição de utilização em produtos cosméticos, os fabricantes, importadores, distribuidores e pessoas responsáveis devem dispor de um prazo adequado para tomarem as medidas necessárias para reformular e rotular de novo os seus produtos, retirar da distribuição e destruir os produtos não vendidos que não cumpram os novos requisitos. </w:t>
            </w:r>
            <w:r w:rsidRPr="00087644">
              <w:rPr>
                <w:b/>
                <w:i/>
              </w:rPr>
              <w:t>Por conseguinte</w:t>
            </w:r>
            <w:r w:rsidRPr="00087644">
              <w:t xml:space="preserve">, </w:t>
            </w:r>
            <w:r w:rsidRPr="00087644">
              <w:rPr>
                <w:b/>
                <w:i/>
              </w:rPr>
              <w:t>devem ser previstos períodos</w:t>
            </w:r>
            <w:r w:rsidRPr="00087644">
              <w:t xml:space="preserve"> de </w:t>
            </w:r>
            <w:r w:rsidRPr="00087644">
              <w:rPr>
                <w:b/>
                <w:i/>
              </w:rPr>
              <w:t>12</w:t>
            </w:r>
            <w:r w:rsidRPr="00087644">
              <w:t xml:space="preserve"> meses para a colocação no mercado e de </w:t>
            </w:r>
            <w:r w:rsidRPr="00087644">
              <w:rPr>
                <w:b/>
                <w:i/>
              </w:rPr>
              <w:t>24</w:t>
            </w:r>
            <w:r w:rsidRPr="00087644">
              <w:t xml:space="preserve"> meses para a disponibilização no mercado de produtos cosméticos que contenham a substância em causa na sequência da entrada em vigor das respetivas alterações ao Regulamento (CE) n.º 1223/2009.</w:t>
            </w:r>
          </w:p>
        </w:tc>
        <w:tc>
          <w:tcPr>
            <w:tcW w:w="4876" w:type="dxa"/>
            <w:tcBorders>
              <w:top w:val="nil"/>
              <w:left w:val="nil"/>
              <w:bottom w:val="nil"/>
              <w:right w:val="nil"/>
            </w:tcBorders>
            <w:hideMark/>
          </w:tcPr>
          <w:p w14:paraId="1F8E2138" w14:textId="77777777" w:rsidR="004D2B5D" w:rsidRPr="00087644" w:rsidRDefault="004D2B5D" w:rsidP="00D063A2">
            <w:pPr>
              <w:pStyle w:val="Normal6a"/>
            </w:pPr>
            <w:r w:rsidRPr="00087644">
              <w:lastRenderedPageBreak/>
              <w:t>(22)</w:t>
            </w:r>
            <w:r w:rsidRPr="00087644">
              <w:tab/>
              <w:t xml:space="preserve">Sempre que uma substância seja </w:t>
            </w:r>
            <w:r w:rsidRPr="00087644">
              <w:lastRenderedPageBreak/>
              <w:t>objeto de proibição ou restrição de utilização em produtos cosméticos, os fabricantes, importadores, distribuidores e pessoas responsáveis devem dispor de um prazo adequado para tomarem as medidas necessárias para reformular</w:t>
            </w:r>
            <w:r w:rsidRPr="00087644">
              <w:rPr>
                <w:b/>
                <w:i/>
              </w:rPr>
              <w:t>, testar</w:t>
            </w:r>
            <w:r w:rsidRPr="00087644">
              <w:t xml:space="preserve"> e rotular de novo os seus produtos, retirar da distribuição e destruir os produtos não vendidos que não cumpram os novos requisitos. </w:t>
            </w:r>
            <w:r w:rsidRPr="00087644">
              <w:rPr>
                <w:b/>
                <w:i/>
              </w:rPr>
              <w:t>Neste sentido</w:t>
            </w:r>
            <w:r w:rsidRPr="00087644">
              <w:t xml:space="preserve">, </w:t>
            </w:r>
            <w:r w:rsidRPr="00087644">
              <w:rPr>
                <w:b/>
                <w:i/>
              </w:rPr>
              <w:t>caso não seja apresentado um pedido</w:t>
            </w:r>
            <w:r w:rsidRPr="00087644">
              <w:t xml:space="preserve"> de </w:t>
            </w:r>
            <w:r w:rsidRPr="00087644">
              <w:rPr>
                <w:b/>
                <w:i/>
              </w:rPr>
              <w:t>derrogação, deve prever</w:t>
            </w:r>
            <w:r w:rsidRPr="00087644">
              <w:rPr>
                <w:b/>
                <w:i/>
              </w:rPr>
              <w:noBreakHyphen/>
              <w:t>se um período de seis</w:t>
            </w:r>
            <w:r w:rsidRPr="00087644">
              <w:t xml:space="preserve"> meses para a colocação no mercado e de </w:t>
            </w:r>
            <w:r w:rsidRPr="00087644">
              <w:rPr>
                <w:b/>
                <w:i/>
              </w:rPr>
              <w:t>15</w:t>
            </w:r>
            <w:r w:rsidRPr="00087644">
              <w:t xml:space="preserve"> meses para a disponibilização no mercado de produtos cosméticos que contenham a substância em causa na sequência da entrada em vigor das respetivas alterações ao Regulamento (CE) n.º 1223/2009. </w:t>
            </w:r>
            <w:r w:rsidRPr="00087644">
              <w:rPr>
                <w:b/>
                <w:i/>
              </w:rPr>
              <w:t>Caso tenha sido apresentado um pedido de derrogação e o CCSC tenha considerado que a substância não é segura, esses prazos devem ser reduzidos para um período de três meses para a colocação no mercado e 12 meses para a disponibilização no mercado. Caso tenha sido apresentado um pedido de derrogação e o CCSC tenha considerado que a substância é segura, mas o pedido tenha sido recusado por existirem alternativas adequadas disponíveis, esses prazos devem ser prorrogados para um período de 24 meses para a colocação no mercado e 48 meses para a disponibilização no mercado, na condição de estar sempre disponível um relatório atualizado sobre a segurança dos produtos cosméticos.</w:t>
            </w:r>
          </w:p>
        </w:tc>
      </w:tr>
    </w:tbl>
    <w:p w14:paraId="6B3C7F88" w14:textId="77777777" w:rsidR="004D2B5D" w:rsidRPr="00087644" w:rsidRDefault="004D2B5D" w:rsidP="004D2B5D"/>
    <w:p w14:paraId="0AF56E82" w14:textId="77777777" w:rsidR="004D2B5D" w:rsidRPr="00087644" w:rsidRDefault="004D2B5D" w:rsidP="004D2B5D">
      <w:pPr>
        <w:pStyle w:val="AmNumberTabs"/>
      </w:pPr>
      <w:r w:rsidRPr="00087644">
        <w:t>Alteração</w:t>
      </w:r>
      <w:r w:rsidRPr="00087644">
        <w:tab/>
      </w:r>
      <w:r w:rsidRPr="00087644">
        <w:tab/>
        <w:t>22</w:t>
      </w:r>
    </w:p>
    <w:p w14:paraId="049D2C80" w14:textId="77777777" w:rsidR="004D2B5D" w:rsidRPr="00087644" w:rsidRDefault="004D2B5D" w:rsidP="004D2B5D">
      <w:pPr>
        <w:pStyle w:val="NormalBold"/>
      </w:pPr>
      <w:r w:rsidRPr="00087644">
        <w:t>Proposta de regulamento</w:t>
      </w:r>
    </w:p>
    <w:p w14:paraId="1CC0D19D" w14:textId="77777777" w:rsidR="004D2B5D" w:rsidRPr="00087644" w:rsidRDefault="004D2B5D" w:rsidP="004D2B5D">
      <w:pPr>
        <w:pStyle w:val="NormalBold"/>
      </w:pPr>
      <w:r w:rsidRPr="00087644">
        <w:t>Considerando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39482834" w14:textId="77777777" w:rsidTr="00D063A2">
        <w:trPr>
          <w:trHeight w:val="240"/>
          <w:jc w:val="center"/>
        </w:trPr>
        <w:tc>
          <w:tcPr>
            <w:tcW w:w="9752" w:type="dxa"/>
            <w:gridSpan w:val="2"/>
            <w:tcBorders>
              <w:top w:val="nil"/>
              <w:left w:val="nil"/>
              <w:bottom w:val="nil"/>
              <w:right w:val="nil"/>
            </w:tcBorders>
          </w:tcPr>
          <w:p w14:paraId="2C3646D5" w14:textId="77777777" w:rsidR="004D2B5D" w:rsidRPr="00087644" w:rsidRDefault="004D2B5D" w:rsidP="00D063A2"/>
        </w:tc>
      </w:tr>
      <w:tr w:rsidR="004D2B5D" w:rsidRPr="00087644" w14:paraId="4EEFEDE3" w14:textId="77777777" w:rsidTr="00D063A2">
        <w:trPr>
          <w:trHeight w:val="240"/>
          <w:jc w:val="center"/>
        </w:trPr>
        <w:tc>
          <w:tcPr>
            <w:tcW w:w="4876" w:type="dxa"/>
            <w:tcBorders>
              <w:top w:val="nil"/>
              <w:left w:val="nil"/>
              <w:bottom w:val="nil"/>
              <w:right w:val="nil"/>
            </w:tcBorders>
            <w:hideMark/>
          </w:tcPr>
          <w:p w14:paraId="203B3007"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19AE4DEB" w14:textId="77777777" w:rsidR="004D2B5D" w:rsidRPr="00087644" w:rsidRDefault="004D2B5D" w:rsidP="00D063A2">
            <w:pPr>
              <w:pStyle w:val="AmColumnHeading"/>
            </w:pPr>
            <w:r w:rsidRPr="00087644">
              <w:t>Alteração</w:t>
            </w:r>
          </w:p>
        </w:tc>
      </w:tr>
      <w:tr w:rsidR="004D2B5D" w:rsidRPr="00087644" w14:paraId="7CAB3201" w14:textId="77777777" w:rsidTr="00D063A2">
        <w:trPr>
          <w:jc w:val="center"/>
        </w:trPr>
        <w:tc>
          <w:tcPr>
            <w:tcW w:w="4876" w:type="dxa"/>
            <w:tcBorders>
              <w:top w:val="nil"/>
              <w:left w:val="nil"/>
              <w:bottom w:val="nil"/>
              <w:right w:val="nil"/>
            </w:tcBorders>
            <w:hideMark/>
          </w:tcPr>
          <w:p w14:paraId="6585FC2C" w14:textId="77777777" w:rsidR="004D2B5D" w:rsidRPr="00087644" w:rsidRDefault="004D2B5D" w:rsidP="00D063A2">
            <w:pPr>
              <w:pStyle w:val="Normal6a"/>
            </w:pPr>
            <w:r w:rsidRPr="00087644">
              <w:t>(23)</w:t>
            </w:r>
            <w:r w:rsidRPr="00087644">
              <w:tab/>
              <w:t xml:space="preserve">A fim de reduzir os encargos administrativos e de conformidade das empresas ativas no setor dos cosméticos, </w:t>
            </w:r>
            <w:r w:rsidRPr="00087644">
              <w:rPr>
                <w:b/>
                <w:i/>
              </w:rPr>
              <w:t>só deve</w:t>
            </w:r>
            <w:r w:rsidRPr="00087644">
              <w:t xml:space="preserve"> ser </w:t>
            </w:r>
            <w:r w:rsidRPr="00087644">
              <w:rPr>
                <w:b/>
                <w:i/>
              </w:rPr>
              <w:t>exigida uma notificação</w:t>
            </w:r>
            <w:r w:rsidRPr="00087644">
              <w:t xml:space="preserve"> dos produtos cosméticos antes da sua colocação no mercado da União. </w:t>
            </w:r>
            <w:r w:rsidRPr="00087644">
              <w:rPr>
                <w:b/>
                <w:i/>
              </w:rPr>
              <w:t xml:space="preserve">As </w:t>
            </w:r>
            <w:r w:rsidRPr="00087644">
              <w:rPr>
                <w:b/>
                <w:i/>
              </w:rPr>
              <w:lastRenderedPageBreak/>
              <w:t>condições dessa notificação devem aplicar</w:t>
            </w:r>
            <w:r w:rsidRPr="00087644">
              <w:rPr>
                <w:b/>
                <w:i/>
              </w:rPr>
              <w:noBreakHyphen/>
              <w:t xml:space="preserve">se de forma não discriminatória aos produtos cosméticos que contenham </w:t>
            </w:r>
            <w:proofErr w:type="spellStart"/>
            <w:r w:rsidRPr="00087644">
              <w:rPr>
                <w:b/>
                <w:i/>
              </w:rPr>
              <w:t>nanomateriais</w:t>
            </w:r>
            <w:proofErr w:type="spellEnd"/>
            <w:r w:rsidRPr="00087644">
              <w:rPr>
                <w:b/>
                <w:i/>
              </w:rPr>
              <w:t xml:space="preserve"> e aos produtos cosméticos que não os contenham.</w:t>
            </w:r>
            <w:r w:rsidRPr="00087644">
              <w:t xml:space="preserve"> A fim de manter a vigilância sobre os </w:t>
            </w:r>
            <w:proofErr w:type="spellStart"/>
            <w:r w:rsidRPr="00087644">
              <w:t>nanomateriais</w:t>
            </w:r>
            <w:proofErr w:type="spellEnd"/>
            <w:r w:rsidRPr="00087644">
              <w:t xml:space="preserve">, </w:t>
            </w:r>
            <w:r w:rsidRPr="00087644">
              <w:rPr>
                <w:b/>
                <w:i/>
              </w:rPr>
              <w:t>deve exigir</w:t>
            </w:r>
            <w:r w:rsidRPr="00087644">
              <w:rPr>
                <w:b/>
                <w:i/>
              </w:rPr>
              <w:noBreakHyphen/>
              <w:t>se</w:t>
            </w:r>
            <w:r w:rsidRPr="00087644">
              <w:t xml:space="preserve"> que as informações específicas sobre os </w:t>
            </w:r>
            <w:proofErr w:type="spellStart"/>
            <w:r w:rsidRPr="00087644">
              <w:t>nanomateriais</w:t>
            </w:r>
            <w:proofErr w:type="spellEnd"/>
            <w:r w:rsidRPr="00087644">
              <w:t xml:space="preserve"> utilizados num produto cosmético </w:t>
            </w:r>
            <w:r w:rsidRPr="00087644">
              <w:rPr>
                <w:b/>
                <w:i/>
              </w:rPr>
              <w:t>sejam fornecidas</w:t>
            </w:r>
            <w:r w:rsidRPr="00087644">
              <w:t xml:space="preserve"> no relatório de segurança do produto cosmético, </w:t>
            </w:r>
            <w:r w:rsidRPr="00087644">
              <w:rPr>
                <w:b/>
                <w:i/>
              </w:rPr>
              <w:t>para que possam ser consultadas</w:t>
            </w:r>
            <w:r w:rsidRPr="00087644">
              <w:t xml:space="preserve"> pelas autoridades competentes sempre que surjam preocupações quanto ao risco potencial para a saúde humana decorrente da utilização de um determinado </w:t>
            </w:r>
            <w:proofErr w:type="spellStart"/>
            <w:r w:rsidRPr="00087644">
              <w:t>nanomaterial</w:t>
            </w:r>
            <w:proofErr w:type="spellEnd"/>
            <w:r w:rsidRPr="00087644">
              <w:t>.</w:t>
            </w:r>
          </w:p>
        </w:tc>
        <w:tc>
          <w:tcPr>
            <w:tcW w:w="4876" w:type="dxa"/>
            <w:tcBorders>
              <w:top w:val="nil"/>
              <w:left w:val="nil"/>
              <w:bottom w:val="nil"/>
              <w:right w:val="nil"/>
            </w:tcBorders>
            <w:hideMark/>
          </w:tcPr>
          <w:p w14:paraId="6028149A" w14:textId="77777777" w:rsidR="004D2B5D" w:rsidRPr="00087644" w:rsidRDefault="004D2B5D" w:rsidP="00D063A2">
            <w:pPr>
              <w:pStyle w:val="Normal6a"/>
            </w:pPr>
            <w:r w:rsidRPr="00087644">
              <w:lastRenderedPageBreak/>
              <w:t>(23)</w:t>
            </w:r>
            <w:r w:rsidRPr="00087644">
              <w:tab/>
              <w:t xml:space="preserve">A fim de reduzir os encargos administrativos e de conformidade das empresas ativas no setor dos cosméticos, </w:t>
            </w:r>
            <w:r w:rsidRPr="00087644">
              <w:rPr>
                <w:b/>
                <w:i/>
              </w:rPr>
              <w:t>devem</w:t>
            </w:r>
            <w:r w:rsidRPr="00087644">
              <w:t xml:space="preserve"> ser </w:t>
            </w:r>
            <w:r w:rsidRPr="00087644">
              <w:rPr>
                <w:b/>
                <w:i/>
              </w:rPr>
              <w:t>exigidas notificações</w:t>
            </w:r>
            <w:r w:rsidRPr="00087644">
              <w:t xml:space="preserve"> dos produtos cosméticos </w:t>
            </w:r>
            <w:r w:rsidRPr="00087644">
              <w:rPr>
                <w:b/>
                <w:i/>
              </w:rPr>
              <w:t>à Comissão</w:t>
            </w:r>
            <w:r w:rsidRPr="00087644">
              <w:t xml:space="preserve"> antes da sua colocação no mercado da União. A fim </w:t>
            </w:r>
            <w:r w:rsidRPr="00087644">
              <w:lastRenderedPageBreak/>
              <w:t xml:space="preserve">de manter a vigilância sobre os </w:t>
            </w:r>
            <w:proofErr w:type="spellStart"/>
            <w:r w:rsidRPr="00087644">
              <w:t>nanomateriais</w:t>
            </w:r>
            <w:proofErr w:type="spellEnd"/>
            <w:r w:rsidRPr="00087644">
              <w:t xml:space="preserve"> </w:t>
            </w:r>
            <w:r w:rsidRPr="00087644">
              <w:rPr>
                <w:b/>
                <w:bCs/>
                <w:i/>
                <w:iCs/>
              </w:rPr>
              <w:t>presentes nos produtos cosméticos,</w:t>
            </w:r>
            <w:r w:rsidRPr="00087644">
              <w:rPr>
                <w:b/>
                <w:i/>
              </w:rPr>
              <w:t xml:space="preserve"> deve exigir</w:t>
            </w:r>
            <w:r w:rsidRPr="00087644">
              <w:rPr>
                <w:b/>
                <w:i/>
              </w:rPr>
              <w:noBreakHyphen/>
              <w:t>se</w:t>
            </w:r>
            <w:r w:rsidRPr="00087644">
              <w:t xml:space="preserve"> </w:t>
            </w:r>
            <w:r w:rsidRPr="00087644">
              <w:rPr>
                <w:b/>
                <w:bCs/>
                <w:i/>
                <w:iCs/>
              </w:rPr>
              <w:t>que</w:t>
            </w:r>
            <w:r w:rsidRPr="00087644">
              <w:t xml:space="preserve"> </w:t>
            </w:r>
            <w:r w:rsidRPr="00087644">
              <w:rPr>
                <w:b/>
                <w:i/>
              </w:rPr>
              <w:t>esta notificação inclua a</w:t>
            </w:r>
            <w:r w:rsidRPr="00087644">
              <w:rPr>
                <w:b/>
                <w:bCs/>
                <w:i/>
                <w:iCs/>
              </w:rPr>
              <w:t xml:space="preserve"> identificação do </w:t>
            </w:r>
            <w:proofErr w:type="spellStart"/>
            <w:r w:rsidRPr="00087644">
              <w:rPr>
                <w:b/>
                <w:bCs/>
                <w:i/>
                <w:iCs/>
              </w:rPr>
              <w:t>nanomaterial</w:t>
            </w:r>
            <w:proofErr w:type="spellEnd"/>
            <w:r w:rsidRPr="00087644">
              <w:rPr>
                <w:b/>
                <w:bCs/>
                <w:i/>
                <w:iCs/>
              </w:rPr>
              <w:t xml:space="preserve">, designadamente a sua denominação química (IUPAC) e outros descritores especificados no ponto 2 do preâmbulo aos anexos II a VI, e a especificação do </w:t>
            </w:r>
            <w:proofErr w:type="spellStart"/>
            <w:r w:rsidRPr="00087644">
              <w:rPr>
                <w:b/>
                <w:bCs/>
                <w:i/>
                <w:iCs/>
              </w:rPr>
              <w:t>nanomaterial</w:t>
            </w:r>
            <w:proofErr w:type="spellEnd"/>
            <w:r w:rsidRPr="00087644">
              <w:rPr>
                <w:b/>
                <w:bCs/>
                <w:i/>
                <w:iCs/>
              </w:rPr>
              <w:t>, em que s</w:t>
            </w:r>
            <w:r w:rsidRPr="00087644">
              <w:rPr>
                <w:b/>
                <w:i/>
              </w:rPr>
              <w:t>e inclui o tamanho das partículas e as propriedades físicas e químicas, destinado a ser colocado no mercado anualmente</w:t>
            </w:r>
            <w:r w:rsidRPr="00087644">
              <w:t>.</w:t>
            </w:r>
            <w:r w:rsidRPr="00087644">
              <w:rPr>
                <w:b/>
                <w:i/>
              </w:rPr>
              <w:t xml:space="preserve"> Estas informações são necessárias para que a Comissão possa solicitar uma avaliação da segurança caso surjam preocupações. De igual forma</w:t>
            </w:r>
            <w:r w:rsidRPr="00087644">
              <w:t xml:space="preserve">, </w:t>
            </w:r>
            <w:r w:rsidRPr="00087644">
              <w:rPr>
                <w:b/>
                <w:i/>
              </w:rPr>
              <w:t>importa exigir explicitamente</w:t>
            </w:r>
            <w:r w:rsidRPr="00087644">
              <w:t xml:space="preserve"> que as informações específicas sobre os </w:t>
            </w:r>
            <w:proofErr w:type="spellStart"/>
            <w:r w:rsidRPr="00087644">
              <w:t>nanomateriais</w:t>
            </w:r>
            <w:proofErr w:type="spellEnd"/>
            <w:r w:rsidRPr="00087644">
              <w:t xml:space="preserve"> utilizados num produto cosmético </w:t>
            </w:r>
            <w:r w:rsidRPr="00087644">
              <w:rPr>
                <w:b/>
                <w:i/>
              </w:rPr>
              <w:t>figurem na notificação ao portal de notificação de produtos cosméticos (CPNP) e</w:t>
            </w:r>
            <w:r w:rsidRPr="00087644">
              <w:t xml:space="preserve"> no relatório de segurança do produto cosmético, </w:t>
            </w:r>
            <w:r w:rsidRPr="00087644">
              <w:rPr>
                <w:b/>
                <w:i/>
              </w:rPr>
              <w:t>ambos passíveis de acesso e consulta</w:t>
            </w:r>
            <w:r w:rsidRPr="00087644">
              <w:t xml:space="preserve"> pelas autoridades competentes sempre que surjam preocupações quanto ao risco potencial para a saúde humana decorrente da utilização de um determinado </w:t>
            </w:r>
            <w:proofErr w:type="spellStart"/>
            <w:r w:rsidRPr="00087644">
              <w:t>nanomaterial</w:t>
            </w:r>
            <w:proofErr w:type="spellEnd"/>
            <w:r w:rsidRPr="00087644">
              <w:t xml:space="preserve"> </w:t>
            </w:r>
            <w:r w:rsidRPr="00087644">
              <w:rPr>
                <w:b/>
                <w:i/>
              </w:rPr>
              <w:t>em produtos cosméticos</w:t>
            </w:r>
            <w:r w:rsidRPr="00087644">
              <w:t>.</w:t>
            </w:r>
          </w:p>
        </w:tc>
      </w:tr>
    </w:tbl>
    <w:p w14:paraId="4EAA5D4E" w14:textId="77777777" w:rsidR="004D2B5D" w:rsidRPr="00087644" w:rsidRDefault="004D2B5D" w:rsidP="004D2B5D"/>
    <w:p w14:paraId="78CA466F" w14:textId="77777777" w:rsidR="004D2B5D" w:rsidRPr="00087644" w:rsidRDefault="004D2B5D" w:rsidP="004D2B5D">
      <w:pPr>
        <w:pStyle w:val="AmNumberTabs"/>
      </w:pPr>
      <w:r w:rsidRPr="00087644">
        <w:t>Alteração</w:t>
      </w:r>
      <w:r w:rsidRPr="00087644">
        <w:tab/>
      </w:r>
      <w:r w:rsidRPr="00087644">
        <w:tab/>
        <w:t>23</w:t>
      </w:r>
    </w:p>
    <w:p w14:paraId="02FD0D02" w14:textId="77777777" w:rsidR="004D2B5D" w:rsidRPr="00087644" w:rsidRDefault="004D2B5D" w:rsidP="004D2B5D">
      <w:pPr>
        <w:pStyle w:val="NormalBold"/>
      </w:pPr>
      <w:r w:rsidRPr="00087644">
        <w:t>Proposta de regulamento</w:t>
      </w:r>
    </w:p>
    <w:p w14:paraId="40E8C2CB" w14:textId="77777777" w:rsidR="004D2B5D" w:rsidRPr="00087644" w:rsidRDefault="004D2B5D" w:rsidP="004D2B5D">
      <w:pPr>
        <w:pStyle w:val="NormalBold"/>
      </w:pPr>
      <w:r w:rsidRPr="00087644">
        <w:t>Considerando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724A63B5" w14:textId="77777777" w:rsidTr="00D063A2">
        <w:trPr>
          <w:trHeight w:val="240"/>
          <w:jc w:val="center"/>
        </w:trPr>
        <w:tc>
          <w:tcPr>
            <w:tcW w:w="9752" w:type="dxa"/>
            <w:gridSpan w:val="2"/>
            <w:tcBorders>
              <w:top w:val="nil"/>
              <w:left w:val="nil"/>
              <w:bottom w:val="nil"/>
              <w:right w:val="nil"/>
            </w:tcBorders>
          </w:tcPr>
          <w:p w14:paraId="3C85C103" w14:textId="77777777" w:rsidR="004D2B5D" w:rsidRPr="00087644" w:rsidRDefault="004D2B5D" w:rsidP="00D063A2"/>
        </w:tc>
      </w:tr>
      <w:tr w:rsidR="004D2B5D" w:rsidRPr="00087644" w14:paraId="19D21C4B" w14:textId="77777777" w:rsidTr="00D063A2">
        <w:trPr>
          <w:trHeight w:val="240"/>
          <w:jc w:val="center"/>
        </w:trPr>
        <w:tc>
          <w:tcPr>
            <w:tcW w:w="4876" w:type="dxa"/>
            <w:tcBorders>
              <w:top w:val="nil"/>
              <w:left w:val="nil"/>
              <w:bottom w:val="nil"/>
              <w:right w:val="nil"/>
            </w:tcBorders>
            <w:hideMark/>
          </w:tcPr>
          <w:p w14:paraId="2AE00BDE"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703419E3" w14:textId="77777777" w:rsidR="004D2B5D" w:rsidRPr="00087644" w:rsidRDefault="004D2B5D" w:rsidP="00D063A2">
            <w:pPr>
              <w:pStyle w:val="AmColumnHeading"/>
            </w:pPr>
            <w:r w:rsidRPr="00087644">
              <w:t>Alteração</w:t>
            </w:r>
          </w:p>
        </w:tc>
      </w:tr>
      <w:tr w:rsidR="004D2B5D" w:rsidRPr="00087644" w14:paraId="77421ED1" w14:textId="77777777" w:rsidTr="00D063A2">
        <w:trPr>
          <w:jc w:val="center"/>
        </w:trPr>
        <w:tc>
          <w:tcPr>
            <w:tcW w:w="4876" w:type="dxa"/>
            <w:tcBorders>
              <w:top w:val="nil"/>
              <w:left w:val="nil"/>
              <w:bottom w:val="nil"/>
              <w:right w:val="nil"/>
            </w:tcBorders>
            <w:hideMark/>
          </w:tcPr>
          <w:p w14:paraId="2C94226B" w14:textId="77777777" w:rsidR="004D2B5D" w:rsidRPr="00087644" w:rsidRDefault="004D2B5D" w:rsidP="00D063A2">
            <w:pPr>
              <w:pStyle w:val="Normal6a"/>
            </w:pPr>
            <w:r w:rsidRPr="00087644">
              <w:t>(25)</w:t>
            </w:r>
            <w:r w:rsidRPr="00087644">
              <w:tab/>
              <w:t>Os cosméticos são produtos comercializados a nível mundial</w:t>
            </w:r>
            <w:r w:rsidRPr="00087644">
              <w:rPr>
                <w:b/>
                <w:i/>
              </w:rPr>
              <w:t>.</w:t>
            </w:r>
            <w:r w:rsidRPr="00087644">
              <w:t xml:space="preserve"> </w:t>
            </w:r>
            <w:r w:rsidRPr="00087644">
              <w:rPr>
                <w:b/>
                <w:i/>
              </w:rPr>
              <w:t>Por conseguinte</w:t>
            </w:r>
            <w:r w:rsidRPr="00087644">
              <w:t xml:space="preserve">, é </w:t>
            </w:r>
            <w:r w:rsidRPr="00087644">
              <w:rPr>
                <w:b/>
                <w:i/>
              </w:rPr>
              <w:t>importante</w:t>
            </w:r>
            <w:r w:rsidRPr="00087644">
              <w:t xml:space="preserve"> que as denominações dos ingredientes presentes nos seus rótulos reflitam o estado atual do desenvolvimento científico e tecnológico. A utilização de denominações de ingredientes cosméticos </w:t>
            </w:r>
            <w:r w:rsidRPr="00087644">
              <w:rPr>
                <w:b/>
                <w:i/>
              </w:rPr>
              <w:t>internacionalmente reconhecidas</w:t>
            </w:r>
            <w:r w:rsidRPr="00087644">
              <w:t xml:space="preserve"> é um fator importante que promove a transparência e facilita o comércio transfronteiriço de cosméticos. O presente regulamento deve permitir a utilização de </w:t>
            </w:r>
            <w:r w:rsidRPr="00087644">
              <w:rPr>
                <w:b/>
                <w:i/>
              </w:rPr>
              <w:t>denominações</w:t>
            </w:r>
            <w:r w:rsidRPr="00087644">
              <w:t xml:space="preserve"> internacionalmente </w:t>
            </w:r>
            <w:r w:rsidRPr="00087644">
              <w:rPr>
                <w:b/>
                <w:i/>
              </w:rPr>
              <w:t>reconhecidas</w:t>
            </w:r>
            <w:r w:rsidRPr="00087644">
              <w:t xml:space="preserve"> na rotulagem dos produtos </w:t>
            </w:r>
            <w:r w:rsidRPr="00087644">
              <w:lastRenderedPageBreak/>
              <w:t>cosméticos sem qualquer medida regulamentar adicional por parte da Comissão. Dado que um glossário de denominações comuns de ingredientes adotado pela Comissão abrandaria o processo de adoção das novas denominações, a disposição que exige que a Comissão adote esse glossário deve ser suprimida.</w:t>
            </w:r>
          </w:p>
        </w:tc>
        <w:tc>
          <w:tcPr>
            <w:tcW w:w="4876" w:type="dxa"/>
            <w:tcBorders>
              <w:top w:val="nil"/>
              <w:left w:val="nil"/>
              <w:bottom w:val="nil"/>
              <w:right w:val="nil"/>
            </w:tcBorders>
            <w:hideMark/>
          </w:tcPr>
          <w:p w14:paraId="49F92D0D" w14:textId="77777777" w:rsidR="004D2B5D" w:rsidRPr="00087644" w:rsidRDefault="004D2B5D" w:rsidP="00D063A2">
            <w:pPr>
              <w:pStyle w:val="Normal6a"/>
            </w:pPr>
            <w:r w:rsidRPr="00087644">
              <w:lastRenderedPageBreak/>
              <w:t>(25)</w:t>
            </w:r>
            <w:r w:rsidRPr="00087644">
              <w:tab/>
              <w:t xml:space="preserve">Os cosméticos são produtos comercializados a nível mundial, </w:t>
            </w:r>
            <w:r w:rsidRPr="00087644">
              <w:rPr>
                <w:b/>
                <w:i/>
              </w:rPr>
              <w:t>pelo que</w:t>
            </w:r>
            <w:r w:rsidRPr="00087644">
              <w:t xml:space="preserve"> é </w:t>
            </w:r>
            <w:r w:rsidRPr="00087644">
              <w:rPr>
                <w:b/>
                <w:i/>
              </w:rPr>
              <w:t>essencial</w:t>
            </w:r>
            <w:r w:rsidRPr="00087644">
              <w:t xml:space="preserve"> que as denominações dos ingredientes presentes nos seus rótulos reflitam </w:t>
            </w:r>
            <w:r w:rsidRPr="00087644">
              <w:rPr>
                <w:b/>
                <w:i/>
              </w:rPr>
              <w:t>oportunamente</w:t>
            </w:r>
            <w:r w:rsidRPr="00087644">
              <w:t xml:space="preserve"> o estado atual do desenvolvimento científico e tecnológico. A utilização de </w:t>
            </w:r>
            <w:r w:rsidRPr="00087644">
              <w:rPr>
                <w:b/>
                <w:i/>
              </w:rPr>
              <w:t>nomenclatura internacionalmente reconhecida, como as</w:t>
            </w:r>
            <w:r w:rsidRPr="00087644">
              <w:t xml:space="preserve"> denominações </w:t>
            </w:r>
            <w:r w:rsidRPr="00087644">
              <w:rPr>
                <w:b/>
                <w:i/>
              </w:rPr>
              <w:t>da Nomenclatura Internacional</w:t>
            </w:r>
            <w:r w:rsidRPr="00087644">
              <w:t xml:space="preserve"> de Ingredientes Cosméticos </w:t>
            </w:r>
            <w:r w:rsidRPr="00087644">
              <w:rPr>
                <w:b/>
                <w:i/>
              </w:rPr>
              <w:t>(INCI),</w:t>
            </w:r>
            <w:r w:rsidRPr="00087644">
              <w:t xml:space="preserve"> é um fator importante que promove a transparência </w:t>
            </w:r>
            <w:r w:rsidRPr="00087644">
              <w:rPr>
                <w:b/>
                <w:i/>
              </w:rPr>
              <w:t>dos ingredientes para os consumidores, assegura a coerência entre diferentes jurisdições</w:t>
            </w:r>
            <w:r w:rsidRPr="00087644">
              <w:t xml:space="preserve"> e facilita o comércio transfronteiriço de </w:t>
            </w:r>
            <w:r w:rsidRPr="00087644">
              <w:lastRenderedPageBreak/>
              <w:t xml:space="preserve">cosméticos. </w:t>
            </w:r>
            <w:r w:rsidRPr="00087644">
              <w:rPr>
                <w:b/>
                <w:i/>
              </w:rPr>
              <w:t xml:space="preserve">As denominações INCI são mantidas pelo </w:t>
            </w:r>
            <w:proofErr w:type="spellStart"/>
            <w:r w:rsidRPr="00087644">
              <w:rPr>
                <w:b/>
                <w:i/>
              </w:rPr>
              <w:t>Personal</w:t>
            </w:r>
            <w:proofErr w:type="spellEnd"/>
            <w:r w:rsidRPr="00087644">
              <w:rPr>
                <w:b/>
                <w:i/>
              </w:rPr>
              <w:t xml:space="preserve"> </w:t>
            </w:r>
            <w:proofErr w:type="spellStart"/>
            <w:r w:rsidRPr="00087644">
              <w:rPr>
                <w:b/>
                <w:i/>
              </w:rPr>
              <w:t>Care</w:t>
            </w:r>
            <w:proofErr w:type="spellEnd"/>
            <w:r w:rsidRPr="00087644">
              <w:rPr>
                <w:b/>
                <w:i/>
              </w:rPr>
              <w:t xml:space="preserve"> </w:t>
            </w:r>
            <w:proofErr w:type="spellStart"/>
            <w:r w:rsidRPr="00087644">
              <w:rPr>
                <w:b/>
                <w:i/>
              </w:rPr>
              <w:t>Products</w:t>
            </w:r>
            <w:proofErr w:type="spellEnd"/>
            <w:r w:rsidRPr="00087644">
              <w:rPr>
                <w:b/>
                <w:i/>
              </w:rPr>
              <w:t xml:space="preserve"> </w:t>
            </w:r>
            <w:proofErr w:type="spellStart"/>
            <w:r w:rsidRPr="00087644">
              <w:rPr>
                <w:b/>
                <w:i/>
              </w:rPr>
              <w:t>Council</w:t>
            </w:r>
            <w:proofErr w:type="spellEnd"/>
            <w:r w:rsidRPr="00087644">
              <w:rPr>
                <w:b/>
                <w:i/>
              </w:rPr>
              <w:t xml:space="preserve"> (PCPC) como norma internacional do setor e são amplamente reconhecidas pelas entidades reguladoras e pelas partes interessadas em todo o mundo.</w:t>
            </w:r>
            <w:r w:rsidRPr="00087644">
              <w:t xml:space="preserve"> O presente regulamento deve permitir a utilização </w:t>
            </w:r>
            <w:r w:rsidRPr="00087644">
              <w:rPr>
                <w:b/>
                <w:i/>
              </w:rPr>
              <w:t>direta</w:t>
            </w:r>
            <w:r w:rsidRPr="00087644">
              <w:t xml:space="preserve"> de </w:t>
            </w:r>
            <w:r w:rsidRPr="00087644">
              <w:rPr>
                <w:b/>
                <w:i/>
              </w:rPr>
              <w:t>uma nomenclatura</w:t>
            </w:r>
            <w:r w:rsidRPr="00087644">
              <w:t xml:space="preserve"> internacionalmente </w:t>
            </w:r>
            <w:r w:rsidRPr="00087644">
              <w:rPr>
                <w:b/>
                <w:i/>
              </w:rPr>
              <w:t>reconhecida, como a INCI,</w:t>
            </w:r>
            <w:r w:rsidRPr="00087644">
              <w:t xml:space="preserve"> na rotulagem dos produtos cosméticos sem qualquer </w:t>
            </w:r>
            <w:r w:rsidRPr="00087644">
              <w:rPr>
                <w:b/>
                <w:i/>
              </w:rPr>
              <w:t>outra</w:t>
            </w:r>
            <w:r w:rsidRPr="00087644">
              <w:t xml:space="preserve"> medida regulamentar adicional por parte da Comissão</w:t>
            </w:r>
            <w:r w:rsidRPr="00087644">
              <w:rPr>
                <w:b/>
                <w:i/>
              </w:rPr>
              <w:t>. Sempre que a denominação comum de um ingrediente não esteja disponível na INCI, deverá ser utilizada outra nomenclatura geralmente aceite, como, por exemplo, denominações estabelecidas em referências internacionais reconhecidas de produtos químicos ou de farmacopeia, ou noutras fontes fidedignas comummente utilizadas pela indústria e pelas entidades reguladoras. Esta abordagem proporciona flexibilidade, evita encargos administrativos desnecessários e garante que as denominações de ingredientes utilizadas na rotulagem dos produtos cosméticos permaneçam atualizadas, coerentes à escala internacional e facilmente compreensíveis para os consumidores</w:t>
            </w:r>
            <w:r w:rsidRPr="00087644">
              <w:t>. Dado que um glossário de denominações comuns de ingredientes adotado pela Comissão abrandaria o processo de adoção das novas denominações, a disposição que exige que a Comissão adote esse glossário deve ser suprimida.</w:t>
            </w:r>
          </w:p>
        </w:tc>
      </w:tr>
    </w:tbl>
    <w:p w14:paraId="3EA522A0" w14:textId="77777777" w:rsidR="004D2B5D" w:rsidRPr="00087644" w:rsidRDefault="004D2B5D" w:rsidP="004D2B5D"/>
    <w:p w14:paraId="602E20C6" w14:textId="77777777" w:rsidR="004D2B5D" w:rsidRPr="00087644" w:rsidRDefault="004D2B5D" w:rsidP="004D2B5D">
      <w:pPr>
        <w:pStyle w:val="AmNumberTabs"/>
      </w:pPr>
      <w:r w:rsidRPr="00087644">
        <w:t>Alteração</w:t>
      </w:r>
      <w:r w:rsidRPr="00087644">
        <w:tab/>
      </w:r>
      <w:r w:rsidRPr="00087644">
        <w:tab/>
        <w:t>24</w:t>
      </w:r>
    </w:p>
    <w:p w14:paraId="64AC4529" w14:textId="77777777" w:rsidR="004D2B5D" w:rsidRPr="00087644" w:rsidRDefault="004D2B5D" w:rsidP="004D2B5D">
      <w:pPr>
        <w:pStyle w:val="NormalBold"/>
      </w:pPr>
      <w:r w:rsidRPr="00087644">
        <w:t>Proposta de regulamento</w:t>
      </w:r>
    </w:p>
    <w:p w14:paraId="3FE6320D" w14:textId="77777777" w:rsidR="004D2B5D" w:rsidRPr="00087644" w:rsidRDefault="004D2B5D" w:rsidP="004D2B5D">
      <w:pPr>
        <w:pStyle w:val="NormalBold"/>
      </w:pPr>
      <w:r w:rsidRPr="00087644">
        <w:t>Considerando 25</w:t>
      </w:r>
      <w:r w:rsidRPr="00087644">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0E522569" w14:textId="77777777" w:rsidTr="00D063A2">
        <w:trPr>
          <w:trHeight w:val="240"/>
          <w:jc w:val="center"/>
        </w:trPr>
        <w:tc>
          <w:tcPr>
            <w:tcW w:w="9752" w:type="dxa"/>
            <w:gridSpan w:val="2"/>
            <w:tcBorders>
              <w:top w:val="nil"/>
              <w:left w:val="nil"/>
              <w:bottom w:val="nil"/>
              <w:right w:val="nil"/>
            </w:tcBorders>
          </w:tcPr>
          <w:p w14:paraId="7D1AF5BC" w14:textId="77777777" w:rsidR="004D2B5D" w:rsidRPr="00087644" w:rsidRDefault="004D2B5D" w:rsidP="00D063A2"/>
        </w:tc>
      </w:tr>
      <w:tr w:rsidR="004D2B5D" w:rsidRPr="00087644" w14:paraId="5BE8B318" w14:textId="77777777" w:rsidTr="00D063A2">
        <w:trPr>
          <w:trHeight w:val="240"/>
          <w:jc w:val="center"/>
        </w:trPr>
        <w:tc>
          <w:tcPr>
            <w:tcW w:w="4876" w:type="dxa"/>
            <w:tcBorders>
              <w:top w:val="nil"/>
              <w:left w:val="nil"/>
              <w:bottom w:val="nil"/>
              <w:right w:val="nil"/>
            </w:tcBorders>
            <w:hideMark/>
          </w:tcPr>
          <w:p w14:paraId="0071E738"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2CBFFA0E" w14:textId="77777777" w:rsidR="004D2B5D" w:rsidRPr="00087644" w:rsidRDefault="004D2B5D" w:rsidP="00D063A2">
            <w:pPr>
              <w:pStyle w:val="AmColumnHeading"/>
            </w:pPr>
            <w:r w:rsidRPr="00087644">
              <w:t>Alteração</w:t>
            </w:r>
          </w:p>
        </w:tc>
      </w:tr>
      <w:tr w:rsidR="004D2B5D" w:rsidRPr="00087644" w14:paraId="752DBA40" w14:textId="77777777" w:rsidTr="00D063A2">
        <w:trPr>
          <w:jc w:val="center"/>
        </w:trPr>
        <w:tc>
          <w:tcPr>
            <w:tcW w:w="4876" w:type="dxa"/>
            <w:tcBorders>
              <w:top w:val="nil"/>
              <w:left w:val="nil"/>
              <w:bottom w:val="nil"/>
              <w:right w:val="nil"/>
            </w:tcBorders>
          </w:tcPr>
          <w:p w14:paraId="092B740E" w14:textId="77777777" w:rsidR="004D2B5D" w:rsidRPr="00087644" w:rsidRDefault="004D2B5D" w:rsidP="00D063A2">
            <w:pPr>
              <w:pStyle w:val="Normal6a"/>
            </w:pPr>
          </w:p>
        </w:tc>
        <w:tc>
          <w:tcPr>
            <w:tcW w:w="4876" w:type="dxa"/>
            <w:tcBorders>
              <w:top w:val="nil"/>
              <w:left w:val="nil"/>
              <w:bottom w:val="nil"/>
              <w:right w:val="nil"/>
            </w:tcBorders>
            <w:hideMark/>
          </w:tcPr>
          <w:p w14:paraId="630FEE16" w14:textId="77777777" w:rsidR="004D2B5D" w:rsidRPr="00087644" w:rsidRDefault="004D2B5D" w:rsidP="00D063A2">
            <w:pPr>
              <w:pStyle w:val="Normal6a"/>
            </w:pPr>
            <w:r w:rsidRPr="00087644">
              <w:rPr>
                <w:b/>
                <w:i/>
              </w:rPr>
              <w:t>(25</w:t>
            </w:r>
            <w:r w:rsidRPr="00087644">
              <w:rPr>
                <w:b/>
                <w:i/>
              </w:rPr>
              <w:noBreakHyphen/>
              <w:t>A)</w:t>
            </w:r>
            <w:r w:rsidRPr="00087644">
              <w:tab/>
            </w:r>
            <w:r w:rsidRPr="00087644">
              <w:rPr>
                <w:b/>
                <w:i/>
              </w:rPr>
              <w:t xml:space="preserve">Com vista a assegurar um elevado nível de proteção da saúde humana, todos os operadores que colocam produtos cosméticos no mercado da União, em linha e fora de linha, devem estar sujeitos a obrigações equivalentes e a uma </w:t>
            </w:r>
            <w:r w:rsidRPr="00087644">
              <w:rPr>
                <w:b/>
                <w:i/>
              </w:rPr>
              <w:lastRenderedPageBreak/>
              <w:t>aplicação efetiva. Este aspeto é particularmente importante tendo em conta a crescente venda de cosméticos através de mercados em linha, incluindo produtos originários de países terceiros que não estão sujeitos aos mesmos requisitos de saúde e segurança. Por conseguinte, é necessário exigir que determinadas informações de rotulagem referidas no artigo 19.º sejam indicadas de forma clara e visível em caso de vendas à distância, nomeadamente através de mercados em linha. Este requisito simplificará a aplicação do Regulamento (CE) n.º 1223/2009 e contribuirá assim para uma concorrência leal e um elevado nível de proteção da saúde humana. Além disso, a fiscalização pós</w:t>
            </w:r>
            <w:r w:rsidRPr="00087644">
              <w:rPr>
                <w:b/>
                <w:i/>
              </w:rPr>
              <w:noBreakHyphen/>
              <w:t>comercialização deve ser reforçada, nomeadamente no que diz respeito às vendas e importações em linha, e os produtos cosméticos identificados como não conformes através do sistema de alerta rápido da União («Safety Gate») não podem ser incluídos na lista nem colocados à venda. Para o efeito, as plataformas em linha devem verificar a identidade da pessoa responsável antes de permitir a colocação de produtos no mercado da União, e a venda, a oferta para venda e a promoção em linha, inclusive através das redes sociais, de cosméticos proibidos, em especial de produtos com mercúrio adicionado, devem ser explicitamente proibidas.</w:t>
            </w:r>
          </w:p>
        </w:tc>
      </w:tr>
    </w:tbl>
    <w:p w14:paraId="764F178B" w14:textId="77777777" w:rsidR="004D2B5D" w:rsidRPr="00087644" w:rsidRDefault="004D2B5D" w:rsidP="004D2B5D"/>
    <w:p w14:paraId="534717B8" w14:textId="77777777" w:rsidR="004D2B5D" w:rsidRPr="00087644" w:rsidRDefault="004D2B5D" w:rsidP="004D2B5D">
      <w:pPr>
        <w:pStyle w:val="AmNumberTabs"/>
      </w:pPr>
      <w:r w:rsidRPr="00087644">
        <w:t>Alteração</w:t>
      </w:r>
      <w:r w:rsidRPr="00087644">
        <w:tab/>
      </w:r>
      <w:r w:rsidRPr="00087644">
        <w:tab/>
        <w:t>25</w:t>
      </w:r>
    </w:p>
    <w:p w14:paraId="6965E128" w14:textId="77777777" w:rsidR="004D2B5D" w:rsidRPr="00087644" w:rsidRDefault="004D2B5D" w:rsidP="004D2B5D">
      <w:pPr>
        <w:pStyle w:val="NormalBold"/>
      </w:pPr>
      <w:r w:rsidRPr="00087644">
        <w:t>Proposta de regulamento</w:t>
      </w:r>
    </w:p>
    <w:p w14:paraId="047BAA47" w14:textId="77777777" w:rsidR="004D2B5D" w:rsidRPr="00087644" w:rsidRDefault="004D2B5D" w:rsidP="004D2B5D">
      <w:pPr>
        <w:pStyle w:val="NormalBold"/>
      </w:pPr>
      <w:r w:rsidRPr="00087644">
        <w:t>Considerando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13C25EF6" w14:textId="77777777" w:rsidTr="00D063A2">
        <w:trPr>
          <w:trHeight w:val="240"/>
          <w:jc w:val="center"/>
        </w:trPr>
        <w:tc>
          <w:tcPr>
            <w:tcW w:w="9752" w:type="dxa"/>
            <w:gridSpan w:val="2"/>
            <w:tcBorders>
              <w:top w:val="nil"/>
              <w:left w:val="nil"/>
              <w:bottom w:val="nil"/>
              <w:right w:val="nil"/>
            </w:tcBorders>
          </w:tcPr>
          <w:p w14:paraId="17402B1B" w14:textId="77777777" w:rsidR="004D2B5D" w:rsidRPr="00087644" w:rsidRDefault="004D2B5D" w:rsidP="00D063A2"/>
        </w:tc>
      </w:tr>
      <w:tr w:rsidR="004D2B5D" w:rsidRPr="00087644" w14:paraId="527BECDA" w14:textId="77777777" w:rsidTr="00D063A2">
        <w:trPr>
          <w:trHeight w:val="240"/>
          <w:jc w:val="center"/>
        </w:trPr>
        <w:tc>
          <w:tcPr>
            <w:tcW w:w="4876" w:type="dxa"/>
            <w:tcBorders>
              <w:top w:val="nil"/>
              <w:left w:val="nil"/>
              <w:bottom w:val="nil"/>
              <w:right w:val="nil"/>
            </w:tcBorders>
            <w:hideMark/>
          </w:tcPr>
          <w:p w14:paraId="22C1C708"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7EFD3234" w14:textId="77777777" w:rsidR="004D2B5D" w:rsidRPr="00087644" w:rsidRDefault="004D2B5D" w:rsidP="00D063A2">
            <w:pPr>
              <w:pStyle w:val="AmColumnHeading"/>
            </w:pPr>
            <w:r w:rsidRPr="00087644">
              <w:t>Alteração</w:t>
            </w:r>
          </w:p>
        </w:tc>
      </w:tr>
      <w:tr w:rsidR="004D2B5D" w:rsidRPr="00087644" w14:paraId="7057B8A7" w14:textId="77777777" w:rsidTr="00D063A2">
        <w:trPr>
          <w:jc w:val="center"/>
        </w:trPr>
        <w:tc>
          <w:tcPr>
            <w:tcW w:w="4876" w:type="dxa"/>
            <w:tcBorders>
              <w:top w:val="nil"/>
              <w:left w:val="nil"/>
              <w:bottom w:val="nil"/>
              <w:right w:val="nil"/>
            </w:tcBorders>
            <w:hideMark/>
          </w:tcPr>
          <w:p w14:paraId="773A39B0" w14:textId="77777777" w:rsidR="004D2B5D" w:rsidRPr="00087644" w:rsidRDefault="004D2B5D" w:rsidP="00D063A2">
            <w:pPr>
              <w:pStyle w:val="Normal6a"/>
            </w:pPr>
            <w:r w:rsidRPr="00087644">
              <w:t>(26)</w:t>
            </w:r>
            <w:r w:rsidRPr="00087644">
              <w:tab/>
              <w:t xml:space="preserve">Em consonância com o objetivo da Comissão de racionalizar e simplificar os requisitos de comunicação de informações e de promover o princípio «digital como regra» para apoiar as transformações digitais, os operadores económicos que lidam com produtos fertilizantes UE em conformidade com o Regulamento (UE) </w:t>
            </w:r>
            <w:r w:rsidRPr="00087644">
              <w:lastRenderedPageBreak/>
              <w:t xml:space="preserve">2019/1009 devem fornecer um contacto digital através do qual possam </w:t>
            </w:r>
            <w:r w:rsidRPr="00087644">
              <w:rPr>
                <w:b/>
                <w:i/>
              </w:rPr>
              <w:t>ser contactados</w:t>
            </w:r>
            <w:r w:rsidRPr="00087644">
              <w:t>, elaborar a declaração UE de conformidade em formato eletrónico e torná</w:t>
            </w:r>
            <w:r w:rsidRPr="00087644">
              <w:noBreakHyphen/>
              <w:t>la acessível através de um endereço Internet ou de um suporte de dados, e facultar às autoridades, mediante pedido, todas as informações e documentação pertinentes em formato eletrónico. Os documentos e a correspondência de e para os organismos notificados relacionados com a avaliação da conformidade dos produtos fertilizantes UE devem também ser fornecidos em formato eletrónico. Sempre que seja utilizado um rótulo digital, os fabricantes devem utilizar o mesmo suporte de dados utilizado para o rótulo digital a fim de facultar o acesso à declaração de conformidade UE, de forma a evitar a presença de múltiplos suportes de dados no mesmo produto. Sempre que, ao abrigo de outra legislação da UE, seja exigido um passaporte digital de produto para os produtos fertilizantes UE, as informações de rotulagem digital e a declaração UE de conformidade devem ser fornecidas nesse passaporte digital de produto.</w:t>
            </w:r>
          </w:p>
        </w:tc>
        <w:tc>
          <w:tcPr>
            <w:tcW w:w="4876" w:type="dxa"/>
            <w:tcBorders>
              <w:top w:val="nil"/>
              <w:left w:val="nil"/>
              <w:bottom w:val="nil"/>
              <w:right w:val="nil"/>
            </w:tcBorders>
            <w:hideMark/>
          </w:tcPr>
          <w:p w14:paraId="0FC4149E" w14:textId="77777777" w:rsidR="004D2B5D" w:rsidRPr="00087644" w:rsidRDefault="004D2B5D" w:rsidP="00D063A2">
            <w:pPr>
              <w:pStyle w:val="Normal6a"/>
            </w:pPr>
            <w:r w:rsidRPr="00087644">
              <w:lastRenderedPageBreak/>
              <w:t>(26)</w:t>
            </w:r>
            <w:r w:rsidRPr="00087644">
              <w:tab/>
              <w:t xml:space="preserve">Em consonância com o objetivo da Comissão de racionalizar e simplificar os requisitos de comunicação de informações e de promover o princípio «digital como regra» para apoiar as transformações digitais, os operadores económicos que lidam com produtos fertilizantes UE em conformidade com o Regulamento (UE) </w:t>
            </w:r>
            <w:r w:rsidRPr="00087644">
              <w:lastRenderedPageBreak/>
              <w:t xml:space="preserve">2019/1009 devem fornecer um contacto digital através do qual </w:t>
            </w:r>
            <w:r w:rsidRPr="00087644">
              <w:rPr>
                <w:b/>
                <w:i/>
              </w:rPr>
              <w:t>as autoridades competentes e os utilizadores finais os</w:t>
            </w:r>
            <w:r w:rsidRPr="00087644">
              <w:t xml:space="preserve"> possam </w:t>
            </w:r>
            <w:r w:rsidRPr="00087644">
              <w:rPr>
                <w:b/>
                <w:i/>
              </w:rPr>
              <w:t>contactar e esclarecer devidamente eventuais dúvidas</w:t>
            </w:r>
            <w:r w:rsidRPr="00087644">
              <w:t>, elaborar a declaração UE de conformidade em formato eletrónico e torná</w:t>
            </w:r>
            <w:r w:rsidRPr="00087644">
              <w:noBreakHyphen/>
              <w:t xml:space="preserve">la acessível através de um endereço Internet ou de um suporte de dados, e facultar </w:t>
            </w:r>
            <w:r w:rsidRPr="00087644">
              <w:rPr>
                <w:b/>
                <w:i/>
              </w:rPr>
              <w:t>rapidamente</w:t>
            </w:r>
            <w:r w:rsidRPr="00087644">
              <w:t xml:space="preserve"> às autoridades </w:t>
            </w:r>
            <w:r w:rsidRPr="00087644">
              <w:rPr>
                <w:b/>
                <w:i/>
              </w:rPr>
              <w:t>competentes</w:t>
            </w:r>
            <w:r w:rsidRPr="00087644">
              <w:t xml:space="preserve">, mediante pedido, todas as informações e documentação pertinentes em formato eletrónico. Os documentos e a correspondência de e para os organismos notificados relacionados com a avaliação da conformidade dos produtos fertilizantes UE devem também ser fornecidos </w:t>
            </w:r>
            <w:r w:rsidRPr="00087644">
              <w:rPr>
                <w:b/>
                <w:i/>
              </w:rPr>
              <w:t>rapidamente</w:t>
            </w:r>
            <w:r w:rsidRPr="00087644">
              <w:t xml:space="preserve"> em formato eletrónico. Sempre que seja utilizado um rótulo digital, os fabricantes devem utilizar o mesmo suporte de dados utilizado para o rótulo digital a fim de facultar o acesso à declaração de conformidade UE, de forma a evitar a presença de múltiplos suportes de dados no mesmo produto. Sempre que, ao abrigo de outra legislação da UE, seja exigido um passaporte digital de produto para os produtos fertilizantes UE, as informações de rotulagem digital e a declaração UE de conformidade devem ser fornecidas nesse passaporte digital de produto.</w:t>
            </w:r>
          </w:p>
        </w:tc>
      </w:tr>
    </w:tbl>
    <w:p w14:paraId="7053D4E7" w14:textId="77777777" w:rsidR="004D2B5D" w:rsidRPr="00087644" w:rsidRDefault="004D2B5D" w:rsidP="004D2B5D"/>
    <w:p w14:paraId="5B1B9408" w14:textId="77777777" w:rsidR="004D2B5D" w:rsidRPr="00087644" w:rsidRDefault="004D2B5D" w:rsidP="004D2B5D">
      <w:pPr>
        <w:pStyle w:val="AmNumberTabs"/>
      </w:pPr>
      <w:r w:rsidRPr="00087644">
        <w:t>Alteração</w:t>
      </w:r>
      <w:r w:rsidRPr="00087644">
        <w:tab/>
      </w:r>
      <w:r w:rsidRPr="00087644">
        <w:tab/>
        <w:t>26</w:t>
      </w:r>
    </w:p>
    <w:p w14:paraId="4C0AE952" w14:textId="77777777" w:rsidR="004D2B5D" w:rsidRPr="00087644" w:rsidRDefault="004D2B5D" w:rsidP="004D2B5D">
      <w:pPr>
        <w:pStyle w:val="NormalBold"/>
      </w:pPr>
      <w:r w:rsidRPr="00087644">
        <w:t>Proposta de regulamento</w:t>
      </w:r>
    </w:p>
    <w:p w14:paraId="59A5D6A3" w14:textId="77777777" w:rsidR="004D2B5D" w:rsidRPr="00087644" w:rsidRDefault="004D2B5D" w:rsidP="004D2B5D">
      <w:pPr>
        <w:pStyle w:val="NormalBold"/>
      </w:pPr>
      <w:r w:rsidRPr="00087644">
        <w:t>Considerando 26</w:t>
      </w:r>
      <w:r w:rsidRPr="00087644">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00AC49D8" w14:textId="77777777" w:rsidTr="00D063A2">
        <w:trPr>
          <w:trHeight w:val="240"/>
          <w:jc w:val="center"/>
        </w:trPr>
        <w:tc>
          <w:tcPr>
            <w:tcW w:w="9752" w:type="dxa"/>
            <w:gridSpan w:val="2"/>
            <w:tcBorders>
              <w:top w:val="nil"/>
              <w:left w:val="nil"/>
              <w:bottom w:val="nil"/>
              <w:right w:val="nil"/>
            </w:tcBorders>
          </w:tcPr>
          <w:p w14:paraId="4A2821FA" w14:textId="77777777" w:rsidR="004D2B5D" w:rsidRPr="00087644" w:rsidRDefault="004D2B5D" w:rsidP="00D063A2"/>
        </w:tc>
      </w:tr>
      <w:tr w:rsidR="004D2B5D" w:rsidRPr="00087644" w14:paraId="3C4DD919" w14:textId="77777777" w:rsidTr="00D063A2">
        <w:trPr>
          <w:trHeight w:val="240"/>
          <w:jc w:val="center"/>
        </w:trPr>
        <w:tc>
          <w:tcPr>
            <w:tcW w:w="4876" w:type="dxa"/>
            <w:tcBorders>
              <w:top w:val="nil"/>
              <w:left w:val="nil"/>
              <w:bottom w:val="nil"/>
              <w:right w:val="nil"/>
            </w:tcBorders>
            <w:hideMark/>
          </w:tcPr>
          <w:p w14:paraId="6C9984A9"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58833324" w14:textId="77777777" w:rsidR="004D2B5D" w:rsidRPr="00087644" w:rsidRDefault="004D2B5D" w:rsidP="00D063A2">
            <w:pPr>
              <w:pStyle w:val="AmColumnHeading"/>
            </w:pPr>
            <w:r w:rsidRPr="00087644">
              <w:t>Alteração</w:t>
            </w:r>
          </w:p>
        </w:tc>
      </w:tr>
      <w:tr w:rsidR="004D2B5D" w:rsidRPr="00087644" w14:paraId="3752E519" w14:textId="77777777" w:rsidTr="00D063A2">
        <w:trPr>
          <w:jc w:val="center"/>
        </w:trPr>
        <w:tc>
          <w:tcPr>
            <w:tcW w:w="4876" w:type="dxa"/>
            <w:tcBorders>
              <w:top w:val="nil"/>
              <w:left w:val="nil"/>
              <w:bottom w:val="nil"/>
              <w:right w:val="nil"/>
            </w:tcBorders>
          </w:tcPr>
          <w:p w14:paraId="118E78F0" w14:textId="77777777" w:rsidR="004D2B5D" w:rsidRPr="00087644" w:rsidRDefault="004D2B5D" w:rsidP="00D063A2">
            <w:pPr>
              <w:pStyle w:val="Normal6a"/>
            </w:pPr>
          </w:p>
        </w:tc>
        <w:tc>
          <w:tcPr>
            <w:tcW w:w="4876" w:type="dxa"/>
            <w:tcBorders>
              <w:top w:val="nil"/>
              <w:left w:val="nil"/>
              <w:bottom w:val="nil"/>
              <w:right w:val="nil"/>
            </w:tcBorders>
            <w:hideMark/>
          </w:tcPr>
          <w:p w14:paraId="21C25566" w14:textId="77777777" w:rsidR="004D2B5D" w:rsidRPr="00087644" w:rsidRDefault="004D2B5D" w:rsidP="00D063A2">
            <w:pPr>
              <w:pStyle w:val="Normal6a"/>
            </w:pPr>
            <w:r w:rsidRPr="00087644">
              <w:rPr>
                <w:b/>
                <w:i/>
              </w:rPr>
              <w:t>(26</w:t>
            </w:r>
            <w:r w:rsidRPr="00087644">
              <w:rPr>
                <w:b/>
                <w:i/>
              </w:rPr>
              <w:noBreakHyphen/>
              <w:t>A)</w:t>
            </w:r>
            <w:r w:rsidRPr="00087644">
              <w:tab/>
            </w:r>
            <w:r w:rsidRPr="00087644">
              <w:rPr>
                <w:b/>
                <w:i/>
              </w:rPr>
              <w:t xml:space="preserve">Os produtos fertilizantes abrangidos pelo Regulamento (UE) 2019/1009 estão sujeitos a requisitos regulamentares e a encargos administrativos que, se aumentarem, podem acentuar a diferença entre os custos de produção agrícola na União e nos países terceiros. Por conseguinte, a revisão do presente regulamento deverá prever uma simplificação regulamentar para os produtores fertilizantes UE e beneficiar os agricultores da UE, para </w:t>
            </w:r>
            <w:r w:rsidRPr="00087644">
              <w:rPr>
                <w:b/>
                <w:i/>
              </w:rPr>
              <w:lastRenderedPageBreak/>
              <w:t>desta forma facilitar a entrada dos operadores no mercado da UE e o seu funcionamento além dos mercados nacionais, em benefício do mercado único. Assim, não deve comprometer um elevado nível de proteção dos consumidores, da saúde e do ambiente nem de gestão dos riscos. Demais, a flexibilização dos requisitos setoriais aplicáveis aos produtos fertilizantes não pode baixar os níveis de controlo desses produtos quando entram no mercado, nem pode suscitar preocupações quanto à rastreabilidade, à segurança e às repercussões na reputação.</w:t>
            </w:r>
          </w:p>
        </w:tc>
      </w:tr>
    </w:tbl>
    <w:p w14:paraId="022BCF05" w14:textId="77777777" w:rsidR="004D2B5D" w:rsidRPr="00087644" w:rsidRDefault="004D2B5D" w:rsidP="004D2B5D"/>
    <w:p w14:paraId="65B1AB9C" w14:textId="77777777" w:rsidR="004D2B5D" w:rsidRPr="00087644" w:rsidRDefault="004D2B5D" w:rsidP="004D2B5D">
      <w:pPr>
        <w:pStyle w:val="AmNumberTabs"/>
      </w:pPr>
      <w:r w:rsidRPr="00087644">
        <w:t>Alteração</w:t>
      </w:r>
      <w:r w:rsidRPr="00087644">
        <w:tab/>
      </w:r>
      <w:r w:rsidRPr="00087644">
        <w:tab/>
        <w:t>27</w:t>
      </w:r>
    </w:p>
    <w:p w14:paraId="6C1173BC" w14:textId="77777777" w:rsidR="004D2B5D" w:rsidRPr="00087644" w:rsidRDefault="004D2B5D" w:rsidP="004D2B5D">
      <w:pPr>
        <w:pStyle w:val="NormalBold"/>
      </w:pPr>
      <w:r w:rsidRPr="00087644">
        <w:t>Proposta de regulamento</w:t>
      </w:r>
    </w:p>
    <w:p w14:paraId="7491F1FF" w14:textId="77777777" w:rsidR="004D2B5D" w:rsidRPr="00087644" w:rsidRDefault="004D2B5D" w:rsidP="004D2B5D">
      <w:pPr>
        <w:pStyle w:val="NormalBold"/>
      </w:pPr>
      <w:r w:rsidRPr="00087644">
        <w:t>Considerando 26</w:t>
      </w:r>
      <w:r w:rsidRPr="00087644">
        <w:noBreakHyphen/>
        <w:t>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2C34D682" w14:textId="77777777" w:rsidTr="00D063A2">
        <w:trPr>
          <w:trHeight w:val="240"/>
          <w:jc w:val="center"/>
        </w:trPr>
        <w:tc>
          <w:tcPr>
            <w:tcW w:w="9752" w:type="dxa"/>
            <w:gridSpan w:val="2"/>
            <w:tcBorders>
              <w:top w:val="nil"/>
              <w:left w:val="nil"/>
              <w:bottom w:val="nil"/>
              <w:right w:val="nil"/>
            </w:tcBorders>
          </w:tcPr>
          <w:p w14:paraId="1DFDC9D6" w14:textId="77777777" w:rsidR="004D2B5D" w:rsidRPr="00087644" w:rsidRDefault="004D2B5D" w:rsidP="00D063A2"/>
        </w:tc>
      </w:tr>
      <w:tr w:rsidR="004D2B5D" w:rsidRPr="00087644" w14:paraId="5A3C4FF3" w14:textId="77777777" w:rsidTr="00D063A2">
        <w:trPr>
          <w:trHeight w:val="240"/>
          <w:jc w:val="center"/>
        </w:trPr>
        <w:tc>
          <w:tcPr>
            <w:tcW w:w="4876" w:type="dxa"/>
            <w:tcBorders>
              <w:top w:val="nil"/>
              <w:left w:val="nil"/>
              <w:bottom w:val="nil"/>
              <w:right w:val="nil"/>
            </w:tcBorders>
            <w:hideMark/>
          </w:tcPr>
          <w:p w14:paraId="021602CF"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217680EA" w14:textId="77777777" w:rsidR="004D2B5D" w:rsidRPr="00087644" w:rsidRDefault="004D2B5D" w:rsidP="00D063A2">
            <w:pPr>
              <w:pStyle w:val="AmColumnHeading"/>
            </w:pPr>
            <w:r w:rsidRPr="00087644">
              <w:t>Alteração</w:t>
            </w:r>
          </w:p>
        </w:tc>
      </w:tr>
      <w:tr w:rsidR="004D2B5D" w:rsidRPr="00087644" w14:paraId="281C5D7B" w14:textId="77777777" w:rsidTr="00D063A2">
        <w:trPr>
          <w:jc w:val="center"/>
        </w:trPr>
        <w:tc>
          <w:tcPr>
            <w:tcW w:w="4876" w:type="dxa"/>
            <w:tcBorders>
              <w:top w:val="nil"/>
              <w:left w:val="nil"/>
              <w:bottom w:val="nil"/>
              <w:right w:val="nil"/>
            </w:tcBorders>
          </w:tcPr>
          <w:p w14:paraId="56D3FDEF" w14:textId="77777777" w:rsidR="004D2B5D" w:rsidRPr="00087644" w:rsidRDefault="004D2B5D" w:rsidP="00D063A2">
            <w:pPr>
              <w:pStyle w:val="Normal6a"/>
            </w:pPr>
          </w:p>
        </w:tc>
        <w:tc>
          <w:tcPr>
            <w:tcW w:w="4876" w:type="dxa"/>
            <w:tcBorders>
              <w:top w:val="nil"/>
              <w:left w:val="nil"/>
              <w:bottom w:val="nil"/>
              <w:right w:val="nil"/>
            </w:tcBorders>
            <w:hideMark/>
          </w:tcPr>
          <w:p w14:paraId="1DC19FCE" w14:textId="77777777" w:rsidR="004D2B5D" w:rsidRPr="00087644" w:rsidRDefault="004D2B5D" w:rsidP="00D063A2">
            <w:pPr>
              <w:pStyle w:val="Normal6a"/>
            </w:pPr>
            <w:r w:rsidRPr="00087644">
              <w:rPr>
                <w:b/>
                <w:i/>
              </w:rPr>
              <w:t>(26</w:t>
            </w:r>
            <w:r w:rsidRPr="00087644">
              <w:rPr>
                <w:b/>
                <w:i/>
              </w:rPr>
              <w:noBreakHyphen/>
              <w:t>B)</w:t>
            </w:r>
            <w:r w:rsidRPr="00087644">
              <w:tab/>
            </w:r>
            <w:r w:rsidRPr="00087644">
              <w:rPr>
                <w:b/>
                <w:i/>
              </w:rPr>
              <w:t>A digitalização das declarações de conformidade e das informações técnicas dos produtos pode oferecer certas vantagens. Importa consagrar a devida atenção à cibersegurança, a uma supervisão eficaz e rápida da execução, à disponibilidade e interoperabilidade das infraestruturas digitais, aos potenciais custos de introdução e exploração desses sistemas e à diversidade dos operadores económicos e dos sistemas nacionais.</w:t>
            </w:r>
          </w:p>
        </w:tc>
      </w:tr>
    </w:tbl>
    <w:p w14:paraId="633B01A3" w14:textId="77777777" w:rsidR="004D2B5D" w:rsidRPr="00087644" w:rsidRDefault="004D2B5D" w:rsidP="004D2B5D"/>
    <w:p w14:paraId="69BAAEC4" w14:textId="77777777" w:rsidR="004D2B5D" w:rsidRPr="00087644" w:rsidRDefault="004D2B5D" w:rsidP="004D2B5D">
      <w:pPr>
        <w:pStyle w:val="AmNumberTabs"/>
      </w:pPr>
      <w:r w:rsidRPr="00087644">
        <w:t>Alteração</w:t>
      </w:r>
      <w:r w:rsidRPr="00087644">
        <w:tab/>
      </w:r>
      <w:r w:rsidRPr="00087644">
        <w:tab/>
        <w:t>28</w:t>
      </w:r>
    </w:p>
    <w:p w14:paraId="39CF8C44" w14:textId="77777777" w:rsidR="004D2B5D" w:rsidRPr="00087644" w:rsidRDefault="004D2B5D" w:rsidP="004D2B5D">
      <w:pPr>
        <w:pStyle w:val="NormalBold"/>
      </w:pPr>
      <w:r w:rsidRPr="00087644">
        <w:t>Proposta de regulamento</w:t>
      </w:r>
    </w:p>
    <w:p w14:paraId="6A44D83B" w14:textId="77777777" w:rsidR="004D2B5D" w:rsidRPr="00087644" w:rsidRDefault="004D2B5D" w:rsidP="004D2B5D">
      <w:pPr>
        <w:pStyle w:val="NormalBold"/>
      </w:pPr>
      <w:r w:rsidRPr="00087644">
        <w:t>Considerando 27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164E2DE6" w14:textId="77777777" w:rsidTr="00D063A2">
        <w:trPr>
          <w:trHeight w:val="240"/>
          <w:jc w:val="center"/>
        </w:trPr>
        <w:tc>
          <w:tcPr>
            <w:tcW w:w="9752" w:type="dxa"/>
            <w:gridSpan w:val="2"/>
            <w:tcBorders>
              <w:top w:val="nil"/>
              <w:left w:val="nil"/>
              <w:bottom w:val="nil"/>
              <w:right w:val="nil"/>
            </w:tcBorders>
          </w:tcPr>
          <w:p w14:paraId="6E282CDE" w14:textId="77777777" w:rsidR="004D2B5D" w:rsidRPr="00087644" w:rsidRDefault="004D2B5D" w:rsidP="00D063A2"/>
        </w:tc>
      </w:tr>
      <w:tr w:rsidR="004D2B5D" w:rsidRPr="00087644" w14:paraId="2E2E6057" w14:textId="77777777" w:rsidTr="00D063A2">
        <w:trPr>
          <w:trHeight w:val="240"/>
          <w:jc w:val="center"/>
        </w:trPr>
        <w:tc>
          <w:tcPr>
            <w:tcW w:w="4876" w:type="dxa"/>
            <w:tcBorders>
              <w:top w:val="nil"/>
              <w:left w:val="nil"/>
              <w:bottom w:val="nil"/>
              <w:right w:val="nil"/>
            </w:tcBorders>
            <w:hideMark/>
          </w:tcPr>
          <w:p w14:paraId="50437DBC"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483B8371" w14:textId="77777777" w:rsidR="004D2B5D" w:rsidRPr="00087644" w:rsidRDefault="004D2B5D" w:rsidP="00D063A2">
            <w:pPr>
              <w:pStyle w:val="AmColumnHeading"/>
            </w:pPr>
            <w:r w:rsidRPr="00087644">
              <w:t>Alteração</w:t>
            </w:r>
          </w:p>
        </w:tc>
      </w:tr>
      <w:tr w:rsidR="004D2B5D" w:rsidRPr="00087644" w14:paraId="44B51C45" w14:textId="77777777" w:rsidTr="00D063A2">
        <w:trPr>
          <w:jc w:val="center"/>
        </w:trPr>
        <w:tc>
          <w:tcPr>
            <w:tcW w:w="4876" w:type="dxa"/>
            <w:tcBorders>
              <w:top w:val="nil"/>
              <w:left w:val="nil"/>
              <w:bottom w:val="nil"/>
              <w:right w:val="nil"/>
            </w:tcBorders>
            <w:hideMark/>
          </w:tcPr>
          <w:p w14:paraId="4432BEB9" w14:textId="77777777" w:rsidR="004D2B5D" w:rsidRPr="00087644" w:rsidRDefault="004D2B5D" w:rsidP="00D063A2">
            <w:pPr>
              <w:pStyle w:val="Normal6a"/>
            </w:pPr>
            <w:r w:rsidRPr="00087644">
              <w:t>(27)</w:t>
            </w:r>
            <w:r w:rsidRPr="00087644">
              <w:tab/>
              <w:t xml:space="preserve">Nos termos do Regulamento (UE) 2019/1009, apenas os microrganismos enumerados numa lista positiva do anexo II desse regulamento podem ser utilizados como componentes em </w:t>
            </w:r>
            <w:proofErr w:type="spellStart"/>
            <w:r w:rsidRPr="00087644">
              <w:t>bioestimulantes</w:t>
            </w:r>
            <w:proofErr w:type="spellEnd"/>
            <w:r w:rsidRPr="00087644">
              <w:t xml:space="preserve"> microbianos para plantas. A Comissão fica habilitada a acrescentar novos microrganismos ou estirpes de microrganismos a essa lista após uma </w:t>
            </w:r>
            <w:r w:rsidRPr="00087644">
              <w:lastRenderedPageBreak/>
              <w:t>avaliação que conclua que nenhuma das estirpes apresenta um risco para a saúde humana ou animal ou para a fitossanidade, para a segurança ou para o ambiente e que assegura a eficiência agronómica. Dado o elevado número de microrganismos presentes no mercado, a avaliação e posterior inclusão de novos microrganismos ou estirpes de microrganismos na lista positiva estão a atrasar</w:t>
            </w:r>
            <w:r w:rsidRPr="00087644">
              <w:noBreakHyphen/>
              <w:t xml:space="preserve">se em relação aos progressos científicos. O atual mecanismo atrasa o desenvolvimento de </w:t>
            </w:r>
            <w:proofErr w:type="spellStart"/>
            <w:r w:rsidRPr="00087644">
              <w:t>bioestimulantes</w:t>
            </w:r>
            <w:proofErr w:type="spellEnd"/>
            <w:r w:rsidRPr="00087644">
              <w:t xml:space="preserve"> microbianos para plantas e retarda o acesso dos agricultores aos produtos fertilizantes inovadores </w:t>
            </w:r>
            <w:r w:rsidRPr="00087644">
              <w:rPr>
                <w:b/>
                <w:i/>
              </w:rPr>
              <w:t>que podem estimular</w:t>
            </w:r>
            <w:r w:rsidRPr="00087644">
              <w:t xml:space="preserve"> os </w:t>
            </w:r>
            <w:r w:rsidRPr="00087644">
              <w:rPr>
                <w:b/>
                <w:i/>
              </w:rPr>
              <w:t>processos</w:t>
            </w:r>
            <w:r w:rsidRPr="00087644">
              <w:t xml:space="preserve"> de </w:t>
            </w:r>
            <w:r w:rsidRPr="00087644">
              <w:rPr>
                <w:b/>
                <w:i/>
              </w:rPr>
              <w:t>nutrição das plantas e</w:t>
            </w:r>
            <w:r w:rsidRPr="00087644">
              <w:t xml:space="preserve">, assim, </w:t>
            </w:r>
            <w:r w:rsidRPr="00087644">
              <w:rPr>
                <w:b/>
                <w:i/>
              </w:rPr>
              <w:t>reduzir</w:t>
            </w:r>
            <w:r w:rsidRPr="00087644">
              <w:t xml:space="preserve"> a utilização de fertilizantes tradicionais.</w:t>
            </w:r>
          </w:p>
        </w:tc>
        <w:tc>
          <w:tcPr>
            <w:tcW w:w="4876" w:type="dxa"/>
            <w:tcBorders>
              <w:top w:val="nil"/>
              <w:left w:val="nil"/>
              <w:bottom w:val="nil"/>
              <w:right w:val="nil"/>
            </w:tcBorders>
            <w:hideMark/>
          </w:tcPr>
          <w:p w14:paraId="69CBA63B" w14:textId="77777777" w:rsidR="004D2B5D" w:rsidRPr="00087644" w:rsidRDefault="004D2B5D" w:rsidP="00D063A2">
            <w:pPr>
              <w:pStyle w:val="Normal6a"/>
            </w:pPr>
            <w:r w:rsidRPr="00087644">
              <w:lastRenderedPageBreak/>
              <w:t>(27)</w:t>
            </w:r>
            <w:r w:rsidRPr="00087644">
              <w:tab/>
              <w:t xml:space="preserve">Nos termos do Regulamento (UE) 2019/1009, apenas os microrganismos enumerados numa lista positiva do anexo II desse regulamento podem ser utilizados como componentes em </w:t>
            </w:r>
            <w:proofErr w:type="spellStart"/>
            <w:r w:rsidRPr="00087644">
              <w:t>bioestimulantes</w:t>
            </w:r>
            <w:proofErr w:type="spellEnd"/>
            <w:r w:rsidRPr="00087644">
              <w:t xml:space="preserve"> microbianos para plantas. A Comissão fica habilitada a acrescentar novos microrganismos ou estirpes de microrganismos a essa lista após uma </w:t>
            </w:r>
            <w:r w:rsidRPr="00087644">
              <w:lastRenderedPageBreak/>
              <w:t>avaliação que conclua que nenhuma das estirpes apresenta um risco para a saúde humana ou animal ou para a fitossanidade, para a segurança ou para o ambiente e que assegura a eficiência agronómica. Dado o elevado número de microrganismos presentes no mercado, a avaliação e posterior inclusão de novos microrganismos ou estirpes de microrganismos na lista positiva estão a atrasar</w:t>
            </w:r>
            <w:r w:rsidRPr="00087644">
              <w:noBreakHyphen/>
              <w:t xml:space="preserve">se em relação aos progressos científicos. O atual mecanismo atrasa o desenvolvimento de </w:t>
            </w:r>
            <w:proofErr w:type="spellStart"/>
            <w:r w:rsidRPr="00087644">
              <w:t>bioestimulantes</w:t>
            </w:r>
            <w:proofErr w:type="spellEnd"/>
            <w:r w:rsidRPr="00087644">
              <w:t xml:space="preserve"> microbianos para plantas e retarda o acesso dos agricultores aos produtos fertilizantes inovadores</w:t>
            </w:r>
            <w:r w:rsidRPr="00087644">
              <w:rPr>
                <w:b/>
                <w:i/>
              </w:rPr>
              <w:t xml:space="preserve">. É necessário acompanhar </w:t>
            </w:r>
            <w:proofErr w:type="gramStart"/>
            <w:r w:rsidRPr="00087644">
              <w:rPr>
                <w:b/>
                <w:i/>
              </w:rPr>
              <w:t>pró</w:t>
            </w:r>
            <w:proofErr w:type="gramEnd"/>
            <w:r w:rsidRPr="00087644">
              <w:rPr>
                <w:b/>
                <w:i/>
              </w:rPr>
              <w:noBreakHyphen/>
              <w:t>ativamente os progressos científicos e atualizar constantemente a lista de microrganismos ou estirpes de microrganismos, assim como os critérios e a metodologia pertinentes. Demais, importa aplicar rapidamente todas as atualizações. Ao mesmo tempo, o quadro regulamentar deve assegurar que</w:t>
            </w:r>
            <w:r w:rsidRPr="00087644">
              <w:t xml:space="preserve"> a utilização de fertilizantes tradicionais </w:t>
            </w:r>
            <w:r w:rsidRPr="00087644">
              <w:rPr>
                <w:b/>
                <w:i/>
              </w:rPr>
              <w:t>e naturais continue a ser uma opção viável e acessível, reconhecendo o seu papel a par das soluções microbianas, de modo que não comprometa a competitividade nem a produção agrícola na União</w:t>
            </w:r>
            <w:r w:rsidRPr="00087644">
              <w:t>.</w:t>
            </w:r>
          </w:p>
        </w:tc>
      </w:tr>
    </w:tbl>
    <w:p w14:paraId="730A600D" w14:textId="77777777" w:rsidR="004D2B5D" w:rsidRPr="00087644" w:rsidRDefault="004D2B5D" w:rsidP="004D2B5D"/>
    <w:p w14:paraId="7013BC85" w14:textId="77777777" w:rsidR="004D2B5D" w:rsidRPr="00087644" w:rsidRDefault="004D2B5D" w:rsidP="004D2B5D">
      <w:pPr>
        <w:pStyle w:val="AmNumberTabs"/>
      </w:pPr>
      <w:r w:rsidRPr="00087644">
        <w:t>Alteração</w:t>
      </w:r>
      <w:r w:rsidRPr="00087644">
        <w:tab/>
      </w:r>
      <w:r w:rsidRPr="00087644">
        <w:tab/>
        <w:t>29</w:t>
      </w:r>
    </w:p>
    <w:p w14:paraId="40342670" w14:textId="77777777" w:rsidR="004D2B5D" w:rsidRPr="00087644" w:rsidRDefault="004D2B5D" w:rsidP="004D2B5D">
      <w:pPr>
        <w:pStyle w:val="NormalBold"/>
      </w:pPr>
      <w:r w:rsidRPr="00087644">
        <w:t>Proposta de regulamento</w:t>
      </w:r>
    </w:p>
    <w:p w14:paraId="2BB374B9" w14:textId="77777777" w:rsidR="004D2B5D" w:rsidRPr="00087644" w:rsidRDefault="004D2B5D" w:rsidP="004D2B5D">
      <w:pPr>
        <w:pStyle w:val="NormalBold"/>
      </w:pPr>
      <w:r w:rsidRPr="00087644">
        <w:t>Considerando 27</w:t>
      </w:r>
      <w:r w:rsidRPr="00087644">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56EBBBBF" w14:textId="77777777" w:rsidTr="00D063A2">
        <w:trPr>
          <w:trHeight w:val="240"/>
          <w:jc w:val="center"/>
        </w:trPr>
        <w:tc>
          <w:tcPr>
            <w:tcW w:w="9752" w:type="dxa"/>
            <w:gridSpan w:val="2"/>
            <w:tcBorders>
              <w:top w:val="nil"/>
              <w:left w:val="nil"/>
              <w:bottom w:val="nil"/>
              <w:right w:val="nil"/>
            </w:tcBorders>
          </w:tcPr>
          <w:p w14:paraId="1E91B57A" w14:textId="77777777" w:rsidR="004D2B5D" w:rsidRPr="00087644" w:rsidRDefault="004D2B5D" w:rsidP="00D063A2"/>
        </w:tc>
      </w:tr>
      <w:tr w:rsidR="004D2B5D" w:rsidRPr="00087644" w14:paraId="323EE8BF" w14:textId="77777777" w:rsidTr="00D063A2">
        <w:trPr>
          <w:trHeight w:val="240"/>
          <w:jc w:val="center"/>
        </w:trPr>
        <w:tc>
          <w:tcPr>
            <w:tcW w:w="4876" w:type="dxa"/>
            <w:tcBorders>
              <w:top w:val="nil"/>
              <w:left w:val="nil"/>
              <w:bottom w:val="nil"/>
              <w:right w:val="nil"/>
            </w:tcBorders>
            <w:hideMark/>
          </w:tcPr>
          <w:p w14:paraId="2C8E7198"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6FA89A93" w14:textId="77777777" w:rsidR="004D2B5D" w:rsidRPr="00087644" w:rsidRDefault="004D2B5D" w:rsidP="00D063A2">
            <w:pPr>
              <w:pStyle w:val="AmColumnHeading"/>
            </w:pPr>
            <w:r w:rsidRPr="00087644">
              <w:t>Alteração</w:t>
            </w:r>
          </w:p>
        </w:tc>
      </w:tr>
      <w:tr w:rsidR="004D2B5D" w:rsidRPr="00087644" w14:paraId="79A489C8" w14:textId="77777777" w:rsidTr="00D063A2">
        <w:trPr>
          <w:jc w:val="center"/>
        </w:trPr>
        <w:tc>
          <w:tcPr>
            <w:tcW w:w="4876" w:type="dxa"/>
            <w:tcBorders>
              <w:top w:val="nil"/>
              <w:left w:val="nil"/>
              <w:bottom w:val="nil"/>
              <w:right w:val="nil"/>
            </w:tcBorders>
          </w:tcPr>
          <w:p w14:paraId="3273BE3B" w14:textId="77777777" w:rsidR="004D2B5D" w:rsidRPr="00087644" w:rsidRDefault="004D2B5D" w:rsidP="00D063A2">
            <w:pPr>
              <w:pStyle w:val="Normal6a"/>
            </w:pPr>
          </w:p>
        </w:tc>
        <w:tc>
          <w:tcPr>
            <w:tcW w:w="4876" w:type="dxa"/>
            <w:tcBorders>
              <w:top w:val="nil"/>
              <w:left w:val="nil"/>
              <w:bottom w:val="nil"/>
              <w:right w:val="nil"/>
            </w:tcBorders>
            <w:hideMark/>
          </w:tcPr>
          <w:p w14:paraId="1D55A4EB" w14:textId="77777777" w:rsidR="004D2B5D" w:rsidRPr="00087644" w:rsidRDefault="004D2B5D" w:rsidP="00D063A2">
            <w:pPr>
              <w:pStyle w:val="Normal6a"/>
            </w:pPr>
            <w:r w:rsidRPr="00087644">
              <w:rPr>
                <w:b/>
                <w:i/>
              </w:rPr>
              <w:t>(27</w:t>
            </w:r>
            <w:r w:rsidRPr="00087644">
              <w:rPr>
                <w:b/>
                <w:i/>
              </w:rPr>
              <w:noBreakHyphen/>
              <w:t>A)</w:t>
            </w:r>
            <w:r w:rsidRPr="00087644">
              <w:tab/>
            </w:r>
            <w:r w:rsidRPr="00087644">
              <w:rPr>
                <w:b/>
                <w:i/>
              </w:rPr>
              <w:t xml:space="preserve">Dado o ritmo acelerado da inovação no domínio da biotecnologia agrícola, é importante aplicar os procedimentos regulamentares existentes, designadamente a atualização dos anexos pela Comissão, oportunamente e com base científica, tirando pleno partido das possibilidades já previstas no Regulamento (UE) 2019/1009. Assim, será mais fácil avaliar atempadamente novas estirpes e, ao mesmo tempo, assegurar que apenas as que cumprem os requisitos de segurança da União sejam </w:t>
            </w:r>
            <w:r w:rsidRPr="00087644">
              <w:rPr>
                <w:b/>
                <w:i/>
              </w:rPr>
              <w:lastRenderedPageBreak/>
              <w:t>autorizadas no mercado.</w:t>
            </w:r>
          </w:p>
        </w:tc>
      </w:tr>
    </w:tbl>
    <w:p w14:paraId="3846C9A0" w14:textId="77777777" w:rsidR="004D2B5D" w:rsidRPr="00087644" w:rsidRDefault="004D2B5D" w:rsidP="004D2B5D"/>
    <w:p w14:paraId="0EB1BE4B" w14:textId="77777777" w:rsidR="004D2B5D" w:rsidRPr="00087644" w:rsidRDefault="004D2B5D" w:rsidP="004D2B5D">
      <w:pPr>
        <w:pStyle w:val="AmNumberTabs"/>
      </w:pPr>
      <w:r w:rsidRPr="00087644">
        <w:t>Alteração</w:t>
      </w:r>
      <w:r w:rsidRPr="00087644">
        <w:tab/>
      </w:r>
      <w:r w:rsidRPr="00087644">
        <w:tab/>
        <w:t>30</w:t>
      </w:r>
    </w:p>
    <w:p w14:paraId="53DDFB71" w14:textId="77777777" w:rsidR="004D2B5D" w:rsidRPr="00087644" w:rsidRDefault="004D2B5D" w:rsidP="004D2B5D">
      <w:pPr>
        <w:pStyle w:val="NormalBold"/>
      </w:pPr>
      <w:r w:rsidRPr="00087644">
        <w:t>Proposta de regulamento</w:t>
      </w:r>
    </w:p>
    <w:p w14:paraId="060400BC" w14:textId="77777777" w:rsidR="004D2B5D" w:rsidRPr="00087644" w:rsidRDefault="004D2B5D" w:rsidP="004D2B5D">
      <w:pPr>
        <w:pStyle w:val="NormalBold"/>
      </w:pPr>
      <w:r w:rsidRPr="00087644">
        <w:t>Considerando 28</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388651FD" w14:textId="77777777" w:rsidTr="00D063A2">
        <w:trPr>
          <w:trHeight w:val="240"/>
          <w:jc w:val="center"/>
        </w:trPr>
        <w:tc>
          <w:tcPr>
            <w:tcW w:w="9752" w:type="dxa"/>
            <w:gridSpan w:val="2"/>
            <w:tcBorders>
              <w:top w:val="nil"/>
              <w:left w:val="nil"/>
              <w:bottom w:val="nil"/>
              <w:right w:val="nil"/>
            </w:tcBorders>
          </w:tcPr>
          <w:p w14:paraId="629CE83D" w14:textId="77777777" w:rsidR="004D2B5D" w:rsidRPr="00087644" w:rsidRDefault="004D2B5D" w:rsidP="00D063A2"/>
        </w:tc>
      </w:tr>
      <w:tr w:rsidR="004D2B5D" w:rsidRPr="00087644" w14:paraId="192EBA0C" w14:textId="77777777" w:rsidTr="00D063A2">
        <w:trPr>
          <w:trHeight w:val="240"/>
          <w:jc w:val="center"/>
        </w:trPr>
        <w:tc>
          <w:tcPr>
            <w:tcW w:w="4876" w:type="dxa"/>
            <w:tcBorders>
              <w:top w:val="nil"/>
              <w:left w:val="nil"/>
              <w:bottom w:val="nil"/>
              <w:right w:val="nil"/>
            </w:tcBorders>
            <w:hideMark/>
          </w:tcPr>
          <w:p w14:paraId="14042AFC"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7EF1B160" w14:textId="77777777" w:rsidR="004D2B5D" w:rsidRPr="00087644" w:rsidRDefault="004D2B5D" w:rsidP="00D063A2">
            <w:pPr>
              <w:pStyle w:val="AmColumnHeading"/>
            </w:pPr>
            <w:r w:rsidRPr="00087644">
              <w:t>Alteração</w:t>
            </w:r>
          </w:p>
        </w:tc>
      </w:tr>
      <w:tr w:rsidR="004D2B5D" w:rsidRPr="00087644" w14:paraId="14C7F6F6" w14:textId="77777777" w:rsidTr="00D063A2">
        <w:trPr>
          <w:jc w:val="center"/>
        </w:trPr>
        <w:tc>
          <w:tcPr>
            <w:tcW w:w="4876" w:type="dxa"/>
            <w:tcBorders>
              <w:top w:val="nil"/>
              <w:left w:val="nil"/>
              <w:bottom w:val="nil"/>
              <w:right w:val="nil"/>
            </w:tcBorders>
            <w:hideMark/>
          </w:tcPr>
          <w:p w14:paraId="30A40FBD" w14:textId="77777777" w:rsidR="004D2B5D" w:rsidRPr="00087644" w:rsidRDefault="004D2B5D" w:rsidP="00D063A2">
            <w:pPr>
              <w:pStyle w:val="Normal6a"/>
            </w:pPr>
            <w:r w:rsidRPr="00087644">
              <w:t>(28)</w:t>
            </w:r>
            <w:r w:rsidRPr="00087644">
              <w:tab/>
              <w:t xml:space="preserve">A fim de acelerar a avaliação dos microrganismos e abrir o mercado único a mais </w:t>
            </w:r>
            <w:proofErr w:type="spellStart"/>
            <w:r w:rsidRPr="00087644">
              <w:t>bioestimulantes</w:t>
            </w:r>
            <w:proofErr w:type="spellEnd"/>
            <w:r w:rsidRPr="00087644">
              <w:t xml:space="preserve"> microbianos para plantas, o poder de adotar atos em conformidade com o artigo 290.º do Tratado sobre o Funcionamento da União Europeia deve ser delegado na Comissão no que diz respeito ao anexo II, parte II, categoria de materiais componentes (CMC) 7, do Regulamento (UE) 2019/1009, a fim de permitir à Comissão estabelecer critérios gerais e uma metodologia para a avaliação dos microrganismos. Esses critérios </w:t>
            </w:r>
            <w:r w:rsidRPr="00087644">
              <w:rPr>
                <w:b/>
                <w:i/>
              </w:rPr>
              <w:t>e a metodologia devem</w:t>
            </w:r>
            <w:r w:rsidRPr="00087644">
              <w:t xml:space="preserve"> permitir que os fabricantes e os organismos notificados demonstrem e verifiquem que os microrganismos utilizados em </w:t>
            </w:r>
            <w:proofErr w:type="spellStart"/>
            <w:r w:rsidRPr="00087644">
              <w:t>bioestimulantes</w:t>
            </w:r>
            <w:proofErr w:type="spellEnd"/>
            <w:r w:rsidRPr="00087644">
              <w:t xml:space="preserve"> microbianos para plantas, com exceção dos enumerados na CMC 7, não apresentam um risco para a saúde humana ou animal ou para a fitossanidade, para a segurança ou para o ambiente, e asseguram uma eficácia agronómica. De modo a afinar e validar os critérios e a metodologia a introduzir, é particularmente importante que a Comissão proceda às consultas adequadas durante os trabalhos preparatórios, inclusive ao nível de peritos</w:t>
            </w:r>
            <w:r w:rsidRPr="00087644">
              <w:rPr>
                <w:b/>
                <w:i/>
              </w:rPr>
              <w:t>,</w:t>
            </w:r>
            <w:r w:rsidRPr="00087644">
              <w:t xml:space="preserve"> e que </w:t>
            </w:r>
            <w:r w:rsidRPr="00087644">
              <w:rPr>
                <w:b/>
                <w:i/>
              </w:rPr>
              <w:t>essas</w:t>
            </w:r>
            <w:r w:rsidRPr="00087644">
              <w:t xml:space="preserve"> consultas </w:t>
            </w:r>
            <w:r w:rsidRPr="00087644">
              <w:rPr>
                <w:b/>
                <w:i/>
              </w:rPr>
              <w:t>sejam conduzidas</w:t>
            </w:r>
            <w:r w:rsidRPr="00087644">
              <w:t xml:space="preserve"> de acordo com os princípios estabelecidos no Acordo Interinstitucional, de 13 de abril de 2016, sobre legislar melhor</w:t>
            </w:r>
            <w:r w:rsidRPr="00087644">
              <w:rPr>
                <w:vertAlign w:val="superscript"/>
              </w:rPr>
              <w:t>13</w:t>
            </w:r>
            <w:r w:rsidRPr="00087644">
              <w:t>. Em particular, a fim de assegurar a igualdade de participação na preparação dos atos delegados, o Parlamento Europeu e o Conselho recebem todos os documentos ao mesmo tempo que os peritos dos Estados</w:t>
            </w:r>
            <w:r w:rsidRPr="00087644">
              <w:noBreakHyphen/>
              <w:t>Membros, e os respetivos peritos têm sistematicamente acesso às reuniões dos grupos de peritos da Comissão que tratem da preparação dos atos delegados.</w:t>
            </w:r>
          </w:p>
        </w:tc>
        <w:tc>
          <w:tcPr>
            <w:tcW w:w="4876" w:type="dxa"/>
            <w:tcBorders>
              <w:top w:val="nil"/>
              <w:left w:val="nil"/>
              <w:bottom w:val="nil"/>
              <w:right w:val="nil"/>
            </w:tcBorders>
            <w:hideMark/>
          </w:tcPr>
          <w:p w14:paraId="20FC940A" w14:textId="77777777" w:rsidR="004D2B5D" w:rsidRPr="00087644" w:rsidRDefault="004D2B5D" w:rsidP="00D063A2">
            <w:pPr>
              <w:pStyle w:val="Normal6a"/>
            </w:pPr>
            <w:r w:rsidRPr="00087644">
              <w:t>(28)</w:t>
            </w:r>
            <w:r w:rsidRPr="00087644">
              <w:tab/>
            </w:r>
            <w:r w:rsidRPr="00087644">
              <w:rPr>
                <w:b/>
                <w:i/>
              </w:rPr>
              <w:t xml:space="preserve">A utilização mais generalizada de </w:t>
            </w:r>
            <w:proofErr w:type="spellStart"/>
            <w:r w:rsidRPr="00087644">
              <w:rPr>
                <w:b/>
                <w:i/>
              </w:rPr>
              <w:t>bioestimulantes</w:t>
            </w:r>
            <w:proofErr w:type="spellEnd"/>
            <w:r w:rsidRPr="00087644">
              <w:rPr>
                <w:b/>
                <w:i/>
              </w:rPr>
              <w:t xml:space="preserve"> microbianos para plantas pode melhorar a eficiência da utilização de nutrientes e a saúde dos solos, o que favorece o desenvolvimento de uma agricultura sustentável e altamente produtiva ao mesmo tempo.</w:t>
            </w:r>
            <w:r w:rsidRPr="00087644">
              <w:t xml:space="preserve"> A fim de acelerar a avaliação dos microrganismos e abrir o mercado único a mais </w:t>
            </w:r>
            <w:proofErr w:type="spellStart"/>
            <w:r w:rsidRPr="00087644">
              <w:t>bioestimulantes</w:t>
            </w:r>
            <w:proofErr w:type="spellEnd"/>
            <w:r w:rsidRPr="00087644">
              <w:t xml:space="preserve"> microbianos para plantas, o poder de adotar atos em conformidade com o artigo 290.º do Tratado sobre o Funcionamento da União Europeia deve ser delegado na Comissão no que diz respeito ao anexo II, parte II, categoria de materiais componentes (CMC) 7, do Regulamento (UE) 2019/1009, a fim de permitir à Comissão estabelecer critérios gerais e uma metodologia para a avaliação dos microrganismos. Esses critérios </w:t>
            </w:r>
            <w:r w:rsidRPr="00087644">
              <w:rPr>
                <w:b/>
                <w:i/>
              </w:rPr>
              <w:t>devem refletir os desenvolvimentos científicos mais recentes e</w:t>
            </w:r>
            <w:r w:rsidRPr="00087644">
              <w:t xml:space="preserve"> permitir que os fabricantes e os organismos notificados demonstrem e verifiquem que os microrganismos utilizados em </w:t>
            </w:r>
            <w:proofErr w:type="spellStart"/>
            <w:r w:rsidRPr="00087644">
              <w:t>bioestimulantes</w:t>
            </w:r>
            <w:proofErr w:type="spellEnd"/>
            <w:r w:rsidRPr="00087644">
              <w:t xml:space="preserve"> microbianos para plantas, com exceção dos enumerados na CMC 7, não apresentam um risco para a saúde humana ou animal ou para a fitossanidade, para a segurança ou para o ambiente, e asseguram uma eficácia agronómica</w:t>
            </w:r>
            <w:r w:rsidRPr="00087644">
              <w:rPr>
                <w:b/>
                <w:i/>
              </w:rPr>
              <w:t>, sem de</w:t>
            </w:r>
            <w:r w:rsidRPr="00087644">
              <w:rPr>
                <w:b/>
                <w:bCs/>
                <w:i/>
                <w:iCs/>
              </w:rPr>
              <w:t>ixar de ter em conta a competitividade e a produ</w:t>
            </w:r>
            <w:r w:rsidRPr="00087644">
              <w:rPr>
                <w:b/>
                <w:i/>
              </w:rPr>
              <w:t xml:space="preserve">ção da UE. A verificação da conformidade dos microrganismos com os critérios e a metodologia estabelecidos no presente regulamento exigirá competências específicas e conhecimentos científicos e técnicos dos organismos de avaliação da conformidade. Essas competências devem, por conseguinte, ser examinadas pelos organismos nacionais responsáveis pela acreditação e notificação, bem como por </w:t>
            </w:r>
            <w:r w:rsidRPr="00087644">
              <w:rPr>
                <w:b/>
                <w:i/>
              </w:rPr>
              <w:lastRenderedPageBreak/>
              <w:t>aspetos como a independência, a objetividade, a imparcialidade e a integridade profissional</w:t>
            </w:r>
            <w:r w:rsidRPr="00087644">
              <w:t xml:space="preserve">. De modo a afinar e validar os critérios e a metodologia a introduzir, é particularmente importante que a Comissão </w:t>
            </w:r>
            <w:r w:rsidRPr="00087644">
              <w:rPr>
                <w:b/>
                <w:i/>
              </w:rPr>
              <w:t>envolva os organismos científicos pertinentes, em especial a Autoridade Europeia para a Segurança dos Alimentos, o JRC e a ECHA, para que estes possam analisá</w:t>
            </w:r>
            <w:r w:rsidRPr="00087644">
              <w:rPr>
                <w:b/>
                <w:i/>
              </w:rPr>
              <w:noBreakHyphen/>
              <w:t>los e dar o seu contributo, e também que</w:t>
            </w:r>
            <w:r w:rsidRPr="00087644">
              <w:t xml:space="preserve"> proceda às consultas adequadas durante os trabalhos preparatórios, inclusive ao nível de peritos</w:t>
            </w:r>
            <w:r w:rsidRPr="00087644">
              <w:rPr>
                <w:b/>
                <w:i/>
              </w:rPr>
              <w:t>. É primordial que a Comissão mantenha uma forte cooperação interinstitucional</w:t>
            </w:r>
            <w:r w:rsidRPr="00087644">
              <w:t xml:space="preserve"> e que </w:t>
            </w:r>
            <w:r w:rsidRPr="00087644">
              <w:rPr>
                <w:b/>
                <w:i/>
              </w:rPr>
              <w:t>participe nas referidas</w:t>
            </w:r>
            <w:r w:rsidRPr="00087644">
              <w:t xml:space="preserve"> consultas</w:t>
            </w:r>
            <w:r w:rsidRPr="00087644">
              <w:rPr>
                <w:b/>
                <w:i/>
              </w:rPr>
              <w:t>, que devem decorrer</w:t>
            </w:r>
            <w:r w:rsidRPr="00087644">
              <w:t xml:space="preserve"> de acordo com os princípios estabelecidos no Acordo Interinstitucional, de 13 de abril de 2016, sobre legislar melhor</w:t>
            </w:r>
            <w:r w:rsidRPr="00087644">
              <w:rPr>
                <w:vertAlign w:val="superscript"/>
              </w:rPr>
              <w:t>13</w:t>
            </w:r>
            <w:r w:rsidRPr="00087644">
              <w:t>. Em particular, a fim de assegurar a igualdade de participação na preparação dos atos delegados, o Parlamento Europeu e o Conselho recebem todos os documentos ao mesmo tempo que os peritos dos Estados</w:t>
            </w:r>
            <w:r w:rsidRPr="00087644">
              <w:noBreakHyphen/>
              <w:t>Membros, e os respetivos peritos têm sistematicamente acesso às reuniões dos grupos de peritos da Comissão que tratem da preparação dos atos delegados.</w:t>
            </w:r>
          </w:p>
        </w:tc>
      </w:tr>
      <w:tr w:rsidR="004D2B5D" w:rsidRPr="00087644" w14:paraId="6C9E4EBD" w14:textId="77777777" w:rsidTr="00D063A2">
        <w:trPr>
          <w:jc w:val="center"/>
        </w:trPr>
        <w:tc>
          <w:tcPr>
            <w:tcW w:w="4876" w:type="dxa"/>
            <w:tcBorders>
              <w:top w:val="nil"/>
              <w:left w:val="nil"/>
              <w:bottom w:val="nil"/>
              <w:right w:val="nil"/>
            </w:tcBorders>
            <w:hideMark/>
          </w:tcPr>
          <w:p w14:paraId="5659FF1A" w14:textId="77777777" w:rsidR="004D2B5D" w:rsidRPr="00087644" w:rsidRDefault="004D2B5D" w:rsidP="00D063A2">
            <w:pPr>
              <w:pStyle w:val="Normal6a"/>
            </w:pPr>
            <w:r w:rsidRPr="00087644">
              <w:rPr>
                <w:b/>
                <w:i/>
              </w:rPr>
              <w:lastRenderedPageBreak/>
              <w:t>_________________</w:t>
            </w:r>
          </w:p>
        </w:tc>
        <w:tc>
          <w:tcPr>
            <w:tcW w:w="4876" w:type="dxa"/>
            <w:tcBorders>
              <w:top w:val="nil"/>
              <w:left w:val="nil"/>
              <w:bottom w:val="nil"/>
              <w:right w:val="nil"/>
            </w:tcBorders>
          </w:tcPr>
          <w:p w14:paraId="559C6A13" w14:textId="77777777" w:rsidR="004D2B5D" w:rsidRPr="00087644" w:rsidRDefault="004D2B5D" w:rsidP="00D063A2">
            <w:r w:rsidRPr="00087644">
              <w:rPr>
                <w:b/>
                <w:i/>
              </w:rPr>
              <w:t>_________________</w:t>
            </w:r>
          </w:p>
        </w:tc>
      </w:tr>
      <w:tr w:rsidR="004D2B5D" w:rsidRPr="00087644" w14:paraId="6786498A" w14:textId="77777777" w:rsidTr="00D063A2">
        <w:trPr>
          <w:jc w:val="center"/>
        </w:trPr>
        <w:tc>
          <w:tcPr>
            <w:tcW w:w="4876" w:type="dxa"/>
            <w:tcBorders>
              <w:top w:val="nil"/>
              <w:left w:val="nil"/>
              <w:bottom w:val="nil"/>
              <w:right w:val="nil"/>
            </w:tcBorders>
            <w:hideMark/>
          </w:tcPr>
          <w:p w14:paraId="103FA1D3" w14:textId="2D1E97FA" w:rsidR="004D2B5D" w:rsidRPr="00087644" w:rsidRDefault="004D2B5D" w:rsidP="00D063A2">
            <w:pPr>
              <w:pStyle w:val="Normal6a"/>
            </w:pPr>
            <w:r w:rsidRPr="00087644">
              <w:rPr>
                <w:vertAlign w:val="superscript"/>
              </w:rPr>
              <w:t>13</w:t>
            </w:r>
            <w:r w:rsidRPr="00087644">
              <w:t xml:space="preserve"> JO L 123 de 12.5.2016, p. 1, ELI:</w:t>
            </w:r>
            <w:r w:rsidRPr="00087644">
              <w:rPr>
                <w:b/>
                <w:i/>
              </w:rPr>
              <w:t xml:space="preserve"> </w:t>
            </w:r>
            <w:hyperlink r:id="rId23" w:history="1">
              <w:r w:rsidR="00F937DD" w:rsidRPr="00087644">
                <w:rPr>
                  <w:rStyle w:val="Hyperlink"/>
                  <w:b/>
                  <w:i/>
                </w:rPr>
                <w:t>http://data.europa.eu/eli/agree_interinstit/2016/512/oj</w:t>
              </w:r>
            </w:hyperlink>
            <w:r w:rsidRPr="00087644">
              <w:rPr>
                <w:bCs/>
                <w:iCs/>
              </w:rPr>
              <w:t>.</w:t>
            </w:r>
          </w:p>
        </w:tc>
        <w:tc>
          <w:tcPr>
            <w:tcW w:w="4876" w:type="dxa"/>
            <w:tcBorders>
              <w:top w:val="nil"/>
              <w:left w:val="nil"/>
              <w:bottom w:val="nil"/>
              <w:right w:val="nil"/>
            </w:tcBorders>
          </w:tcPr>
          <w:p w14:paraId="742FC430" w14:textId="09B91230" w:rsidR="004D2B5D" w:rsidRPr="00087644" w:rsidRDefault="004D2B5D" w:rsidP="00D063A2">
            <w:r w:rsidRPr="00087644">
              <w:rPr>
                <w:vertAlign w:val="superscript"/>
              </w:rPr>
              <w:t>13</w:t>
            </w:r>
            <w:r w:rsidRPr="00087644">
              <w:t xml:space="preserve"> JO L 123 de 12.5.2016, p. 1, ELI:</w:t>
            </w:r>
            <w:r w:rsidRPr="00087644">
              <w:rPr>
                <w:b/>
                <w:i/>
              </w:rPr>
              <w:t xml:space="preserve"> </w:t>
            </w:r>
            <w:hyperlink r:id="rId24" w:history="1">
              <w:r w:rsidR="008A079E" w:rsidRPr="00087644">
                <w:rPr>
                  <w:rStyle w:val="Hyperlink"/>
                  <w:b/>
                  <w:i/>
                </w:rPr>
                <w:t>http://data.europa.eu/eli/agree_interinstit/2016/512/oj</w:t>
              </w:r>
            </w:hyperlink>
            <w:r w:rsidRPr="00087644">
              <w:rPr>
                <w:b/>
                <w:i/>
              </w:rPr>
              <w:t>.</w:t>
            </w:r>
          </w:p>
        </w:tc>
      </w:tr>
    </w:tbl>
    <w:p w14:paraId="25C026C0" w14:textId="77777777" w:rsidR="004D2B5D" w:rsidRPr="00087644" w:rsidRDefault="004D2B5D" w:rsidP="004D2B5D"/>
    <w:p w14:paraId="579B51A4" w14:textId="77777777" w:rsidR="004D2B5D" w:rsidRPr="00087644" w:rsidRDefault="004D2B5D" w:rsidP="004D2B5D">
      <w:pPr>
        <w:pStyle w:val="AmNumberTabs"/>
      </w:pPr>
      <w:r w:rsidRPr="00087644">
        <w:t>Alteração</w:t>
      </w:r>
      <w:r w:rsidRPr="00087644">
        <w:tab/>
      </w:r>
      <w:r w:rsidRPr="00087644">
        <w:tab/>
        <w:t>31</w:t>
      </w:r>
    </w:p>
    <w:p w14:paraId="7C97DBC3" w14:textId="77777777" w:rsidR="004D2B5D" w:rsidRPr="00087644" w:rsidRDefault="004D2B5D" w:rsidP="004D2B5D">
      <w:pPr>
        <w:pStyle w:val="NormalBold"/>
      </w:pPr>
      <w:r w:rsidRPr="00087644">
        <w:t>Proposta de regulamento</w:t>
      </w:r>
    </w:p>
    <w:p w14:paraId="68D6CA37" w14:textId="77777777" w:rsidR="004D2B5D" w:rsidRPr="00087644" w:rsidRDefault="004D2B5D" w:rsidP="004D2B5D">
      <w:pPr>
        <w:pStyle w:val="NormalBold"/>
      </w:pPr>
      <w:r w:rsidRPr="00087644">
        <w:t>Considerando 29</w:t>
      </w:r>
      <w:r w:rsidRPr="00087644">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2D56BB57" w14:textId="77777777" w:rsidTr="00D063A2">
        <w:trPr>
          <w:trHeight w:val="240"/>
          <w:jc w:val="center"/>
        </w:trPr>
        <w:tc>
          <w:tcPr>
            <w:tcW w:w="9752" w:type="dxa"/>
            <w:gridSpan w:val="2"/>
            <w:tcBorders>
              <w:top w:val="nil"/>
              <w:left w:val="nil"/>
              <w:bottom w:val="nil"/>
              <w:right w:val="nil"/>
            </w:tcBorders>
          </w:tcPr>
          <w:p w14:paraId="13187BEC" w14:textId="77777777" w:rsidR="004D2B5D" w:rsidRPr="00087644" w:rsidRDefault="004D2B5D" w:rsidP="00D063A2"/>
        </w:tc>
      </w:tr>
      <w:tr w:rsidR="004D2B5D" w:rsidRPr="00087644" w14:paraId="1D2ACF7A" w14:textId="77777777" w:rsidTr="00D063A2">
        <w:trPr>
          <w:trHeight w:val="240"/>
          <w:jc w:val="center"/>
        </w:trPr>
        <w:tc>
          <w:tcPr>
            <w:tcW w:w="4876" w:type="dxa"/>
            <w:tcBorders>
              <w:top w:val="nil"/>
              <w:left w:val="nil"/>
              <w:bottom w:val="nil"/>
              <w:right w:val="nil"/>
            </w:tcBorders>
            <w:hideMark/>
          </w:tcPr>
          <w:p w14:paraId="735DD1B1"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71427260" w14:textId="77777777" w:rsidR="004D2B5D" w:rsidRPr="00087644" w:rsidRDefault="004D2B5D" w:rsidP="00D063A2">
            <w:pPr>
              <w:pStyle w:val="AmColumnHeading"/>
            </w:pPr>
            <w:r w:rsidRPr="00087644">
              <w:t>Alteração</w:t>
            </w:r>
          </w:p>
        </w:tc>
      </w:tr>
      <w:tr w:rsidR="004D2B5D" w:rsidRPr="00087644" w14:paraId="27874D5F" w14:textId="77777777" w:rsidTr="00D063A2">
        <w:trPr>
          <w:jc w:val="center"/>
        </w:trPr>
        <w:tc>
          <w:tcPr>
            <w:tcW w:w="4876" w:type="dxa"/>
            <w:tcBorders>
              <w:top w:val="nil"/>
              <w:left w:val="nil"/>
              <w:bottom w:val="nil"/>
              <w:right w:val="nil"/>
            </w:tcBorders>
          </w:tcPr>
          <w:p w14:paraId="0E6645E1" w14:textId="77777777" w:rsidR="004D2B5D" w:rsidRPr="00087644" w:rsidRDefault="004D2B5D" w:rsidP="00D063A2">
            <w:pPr>
              <w:pStyle w:val="Normal6a"/>
            </w:pPr>
          </w:p>
        </w:tc>
        <w:tc>
          <w:tcPr>
            <w:tcW w:w="4876" w:type="dxa"/>
            <w:tcBorders>
              <w:top w:val="nil"/>
              <w:left w:val="nil"/>
              <w:bottom w:val="nil"/>
              <w:right w:val="nil"/>
            </w:tcBorders>
            <w:hideMark/>
          </w:tcPr>
          <w:p w14:paraId="049371F4" w14:textId="77777777" w:rsidR="004D2B5D" w:rsidRPr="00087644" w:rsidRDefault="004D2B5D" w:rsidP="00D063A2">
            <w:pPr>
              <w:pStyle w:val="Normal6a"/>
            </w:pPr>
            <w:r w:rsidRPr="00087644">
              <w:rPr>
                <w:b/>
                <w:i/>
              </w:rPr>
              <w:t>(29</w:t>
            </w:r>
            <w:r w:rsidRPr="00087644">
              <w:rPr>
                <w:b/>
                <w:i/>
              </w:rPr>
              <w:noBreakHyphen/>
              <w:t>A)</w:t>
            </w:r>
            <w:r w:rsidRPr="00087644">
              <w:tab/>
            </w:r>
            <w:r w:rsidRPr="00087644">
              <w:rPr>
                <w:b/>
                <w:i/>
              </w:rPr>
              <w:t xml:space="preserve">O Regulamento (UE) 2019/1009 visa facilitar a colocação no mercado interno e a livre circulação de produtos fertilizantes seguros, </w:t>
            </w:r>
            <w:proofErr w:type="gramStart"/>
            <w:r w:rsidRPr="00087644">
              <w:rPr>
                <w:b/>
                <w:i/>
              </w:rPr>
              <w:t>ao mesmo tempo que</w:t>
            </w:r>
            <w:proofErr w:type="gramEnd"/>
            <w:r w:rsidRPr="00087644">
              <w:rPr>
                <w:b/>
                <w:i/>
              </w:rPr>
              <w:t xml:space="preserve"> apoia a reciclagem de nutrientes e a utilização circular de matérias</w:t>
            </w:r>
            <w:r w:rsidRPr="00087644">
              <w:rPr>
                <w:b/>
                <w:i/>
              </w:rPr>
              <w:noBreakHyphen/>
              <w:t xml:space="preserve">primas e assegura um elevado nível de proteção da saúde humana e animal, da fitossanidade e do ambiente. A sua aplicação efetiva </w:t>
            </w:r>
            <w:r w:rsidRPr="00087644">
              <w:rPr>
                <w:b/>
                <w:i/>
              </w:rPr>
              <w:lastRenderedPageBreak/>
              <w:t>depende, nomeadamente, do reconhecimento de pontos finais para os materiais constituintes derivados de subprodutos animais na aceção do Regulamento (CE) n.º 1069/2009. O Regulamento Delegado (UE) 2023/1605 estabeleceu determinados pontos finais para os subprodutos animais destinados a aplicações relacionadas com fertilizantes. No entanto, os parâmetros de transformação e as medidas de redução dos riscos incluídos nesse ato derivam, em grande medida, de quadros relativos à higiene dos alimentos para animais e à prevenção da fraude nos alimentos para animais e nem sempre refletem as vias de exposição e os perfis de risco específicos dos produtos fertilizantes aplicados no solo e na água.</w:t>
            </w:r>
          </w:p>
        </w:tc>
      </w:tr>
    </w:tbl>
    <w:p w14:paraId="0CB0040A" w14:textId="77777777" w:rsidR="004D2B5D" w:rsidRPr="00087644" w:rsidRDefault="004D2B5D" w:rsidP="004D2B5D"/>
    <w:p w14:paraId="5797B4E5" w14:textId="77777777" w:rsidR="004D2B5D" w:rsidRPr="00087644" w:rsidRDefault="004D2B5D" w:rsidP="004D2B5D">
      <w:pPr>
        <w:pStyle w:val="AmNumberTabs"/>
      </w:pPr>
      <w:r w:rsidRPr="00087644">
        <w:t>Alteração</w:t>
      </w:r>
      <w:r w:rsidRPr="00087644">
        <w:tab/>
      </w:r>
      <w:r w:rsidRPr="00087644">
        <w:tab/>
        <w:t>32</w:t>
      </w:r>
    </w:p>
    <w:p w14:paraId="7203970C" w14:textId="77777777" w:rsidR="004D2B5D" w:rsidRPr="00087644" w:rsidRDefault="004D2B5D" w:rsidP="004D2B5D">
      <w:pPr>
        <w:pStyle w:val="NormalBold"/>
      </w:pPr>
      <w:r w:rsidRPr="00087644">
        <w:t>Proposta de regulamento</w:t>
      </w:r>
    </w:p>
    <w:p w14:paraId="0EC689BE" w14:textId="77777777" w:rsidR="004D2B5D" w:rsidRPr="00087644" w:rsidRDefault="004D2B5D" w:rsidP="004D2B5D">
      <w:pPr>
        <w:pStyle w:val="NormalBold"/>
      </w:pPr>
      <w:r w:rsidRPr="00087644">
        <w:t>Considerando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7C7DAC52" w14:textId="77777777" w:rsidTr="00D063A2">
        <w:trPr>
          <w:trHeight w:val="240"/>
          <w:jc w:val="center"/>
        </w:trPr>
        <w:tc>
          <w:tcPr>
            <w:tcW w:w="9752" w:type="dxa"/>
            <w:gridSpan w:val="2"/>
            <w:tcBorders>
              <w:top w:val="nil"/>
              <w:left w:val="nil"/>
              <w:bottom w:val="nil"/>
              <w:right w:val="nil"/>
            </w:tcBorders>
          </w:tcPr>
          <w:p w14:paraId="719F0487" w14:textId="77777777" w:rsidR="004D2B5D" w:rsidRPr="00087644" w:rsidRDefault="004D2B5D" w:rsidP="00D063A2"/>
        </w:tc>
      </w:tr>
      <w:tr w:rsidR="004D2B5D" w:rsidRPr="00087644" w14:paraId="59DA87DE" w14:textId="77777777" w:rsidTr="00D063A2">
        <w:trPr>
          <w:trHeight w:val="240"/>
          <w:jc w:val="center"/>
        </w:trPr>
        <w:tc>
          <w:tcPr>
            <w:tcW w:w="4876" w:type="dxa"/>
            <w:tcBorders>
              <w:top w:val="nil"/>
              <w:left w:val="nil"/>
              <w:bottom w:val="nil"/>
              <w:right w:val="nil"/>
            </w:tcBorders>
            <w:hideMark/>
          </w:tcPr>
          <w:p w14:paraId="7C48BA99"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0D2B86AE" w14:textId="77777777" w:rsidR="004D2B5D" w:rsidRPr="00087644" w:rsidRDefault="004D2B5D" w:rsidP="00D063A2">
            <w:pPr>
              <w:pStyle w:val="AmColumnHeading"/>
            </w:pPr>
            <w:r w:rsidRPr="00087644">
              <w:t>Alteração</w:t>
            </w:r>
          </w:p>
        </w:tc>
      </w:tr>
      <w:tr w:rsidR="004D2B5D" w:rsidRPr="00087644" w14:paraId="7BFB36F1" w14:textId="77777777" w:rsidTr="00D063A2">
        <w:trPr>
          <w:jc w:val="center"/>
        </w:trPr>
        <w:tc>
          <w:tcPr>
            <w:tcW w:w="4876" w:type="dxa"/>
            <w:tcBorders>
              <w:top w:val="nil"/>
              <w:left w:val="nil"/>
              <w:bottom w:val="nil"/>
              <w:right w:val="nil"/>
            </w:tcBorders>
            <w:hideMark/>
          </w:tcPr>
          <w:p w14:paraId="2F9B3481" w14:textId="77777777" w:rsidR="004D2B5D" w:rsidRPr="00087644" w:rsidRDefault="004D2B5D" w:rsidP="00D063A2">
            <w:pPr>
              <w:pStyle w:val="Normal6a"/>
            </w:pPr>
            <w:r w:rsidRPr="00087644">
              <w:t>(30)</w:t>
            </w:r>
            <w:r w:rsidRPr="00087644">
              <w:tab/>
            </w:r>
            <w:r w:rsidRPr="00087644">
              <w:rPr>
                <w:b/>
                <w:i/>
              </w:rPr>
              <w:t xml:space="preserve">As </w:t>
            </w:r>
            <w:r w:rsidRPr="00087644">
              <w:t xml:space="preserve">substâncias </w:t>
            </w:r>
            <w:r w:rsidRPr="00087644">
              <w:rPr>
                <w:b/>
                <w:i/>
              </w:rPr>
              <w:t>químicas, estremes ou contidas em misturas, se fabricadas ou importadas</w:t>
            </w:r>
            <w:r w:rsidRPr="00087644">
              <w:t xml:space="preserve"> </w:t>
            </w:r>
            <w:r w:rsidRPr="00087644">
              <w:rPr>
                <w:b/>
                <w:bCs/>
                <w:i/>
                <w:iCs/>
              </w:rPr>
              <w:t>em</w:t>
            </w:r>
            <w:r w:rsidRPr="00087644">
              <w:t xml:space="preserve"> quantidades</w:t>
            </w:r>
            <w:r w:rsidRPr="00087644">
              <w:rPr>
                <w:b/>
                <w:i/>
              </w:rPr>
              <w:t xml:space="preserve"> superiores a uma tonelada por empresa e por ano</w:t>
            </w:r>
            <w:r w:rsidRPr="00087644">
              <w:t xml:space="preserve">, </w:t>
            </w:r>
            <w:r w:rsidRPr="00087644">
              <w:rPr>
                <w:b/>
                <w:i/>
              </w:rPr>
              <w:t xml:space="preserve">devem ser registadas </w:t>
            </w:r>
            <w:r w:rsidRPr="00087644">
              <w:t xml:space="preserve">em conformidade com o Regulamento (CE) n.º 1907/2006, </w:t>
            </w:r>
            <w:r w:rsidRPr="00087644">
              <w:rPr>
                <w:b/>
                <w:i/>
              </w:rPr>
              <w:t>sendo os requisi</w:t>
            </w:r>
            <w:r w:rsidRPr="00087644">
              <w:rPr>
                <w:b/>
                <w:bCs/>
                <w:i/>
                <w:iCs/>
              </w:rPr>
              <w:t>tos de</w:t>
            </w:r>
            <w:r w:rsidRPr="00087644">
              <w:t xml:space="preserve"> </w:t>
            </w:r>
            <w:r w:rsidRPr="00087644">
              <w:rPr>
                <w:b/>
                <w:i/>
              </w:rPr>
              <w:t>informação exigidos em função</w:t>
            </w:r>
            <w:r w:rsidRPr="00087644">
              <w:t xml:space="preserve"> </w:t>
            </w:r>
            <w:r w:rsidRPr="00087644">
              <w:rPr>
                <w:b/>
                <w:bCs/>
                <w:i/>
                <w:iCs/>
              </w:rPr>
              <w:t>do</w:t>
            </w:r>
            <w:r w:rsidRPr="00087644">
              <w:t xml:space="preserve"> </w:t>
            </w:r>
            <w:r w:rsidRPr="00087644">
              <w:rPr>
                <w:b/>
                <w:i/>
              </w:rPr>
              <w:t>volume real.</w:t>
            </w:r>
            <w:r w:rsidRPr="00087644">
              <w:t xml:space="preserve"> </w:t>
            </w:r>
            <w:r w:rsidRPr="00087644">
              <w:rPr>
                <w:b/>
                <w:i/>
              </w:rPr>
              <w:t>O Regulamento (UE) 2019/1009, que vai além dos requisitos d</w:t>
            </w:r>
            <w:r w:rsidRPr="00087644">
              <w:rPr>
                <w:b/>
                <w:bCs/>
                <w:i/>
                <w:iCs/>
              </w:rPr>
              <w:t xml:space="preserve">o Regulamento (CE) n.º 1907/2006, exige que todas as substâncias utilizadas num produto fertilizante UE, independentemente da quantidade em que são fabricadas ou importadas, sejam registadas, no mínimo, com os requisitos de informação estabelecidos no Regulamento (CE) n.º 1907/2006 para as substâncias fabricadas ou importadas em quantidades de 10 a 100 toneladas por empresa e por ano, juntamente com um relatório de </w:t>
            </w:r>
            <w:r w:rsidRPr="00087644">
              <w:t xml:space="preserve">segurança química </w:t>
            </w:r>
            <w:r w:rsidRPr="00087644">
              <w:rPr>
                <w:b/>
                <w:bCs/>
                <w:i/>
                <w:iCs/>
              </w:rPr>
              <w:t xml:space="preserve">que abranja a sua utilização num produto fertilizante, em conformidade com o artigo 14.º do mesmo </w:t>
            </w:r>
            <w:r w:rsidRPr="00087644">
              <w:rPr>
                <w:b/>
                <w:bCs/>
                <w:i/>
                <w:iCs/>
              </w:rPr>
              <w:lastRenderedPageBreak/>
              <w:t>regulament</w:t>
            </w:r>
            <w:r w:rsidRPr="00087644">
              <w:rPr>
                <w:b/>
                <w:i/>
              </w:rPr>
              <w:t>o. Estes requisitos de informação exaustivos podem impedir os fabricantes, em especial as pequenas e médias empresas, de utilizarem substâncias que ainda não estão registadas de acordo com esses requisitos ou obrigá</w:t>
            </w:r>
            <w:r w:rsidRPr="00087644">
              <w:rPr>
                <w:b/>
                <w:i/>
              </w:rPr>
              <w:noBreakHyphen/>
              <w:t>los a colocar os seus produtos apenas nos mercados nacionais de acordo com as regras nacionais. Por razões de proporcionalidade</w:t>
            </w:r>
            <w:r w:rsidRPr="00087644">
              <w:t xml:space="preserve">, </w:t>
            </w:r>
            <w:r w:rsidRPr="00087644">
              <w:rPr>
                <w:b/>
                <w:i/>
              </w:rPr>
              <w:t>e tendo</w:t>
            </w:r>
            <w:r w:rsidRPr="00087644">
              <w:t xml:space="preserve"> </w:t>
            </w:r>
            <w:r w:rsidRPr="00087644">
              <w:rPr>
                <w:b/>
                <w:bCs/>
                <w:i/>
                <w:iCs/>
              </w:rPr>
              <w:t>em</w:t>
            </w:r>
            <w:r w:rsidRPr="00087644">
              <w:t xml:space="preserve"> </w:t>
            </w:r>
            <w:r w:rsidRPr="00087644">
              <w:rPr>
                <w:b/>
                <w:i/>
              </w:rPr>
              <w:t xml:space="preserve">conta a obrigação geral dos fabricantes e importadores de substâncias e de </w:t>
            </w:r>
            <w:r w:rsidRPr="00087644">
              <w:t>produtos fertilizantes</w:t>
            </w:r>
            <w:r w:rsidRPr="00087644">
              <w:rPr>
                <w:b/>
                <w:i/>
              </w:rPr>
              <w:t xml:space="preserve"> UE nos termos do Regulamento (CE) n.º 1907/2006 e do Regulamento (UE) 2019/1009, respetivamente, de garantir a segurança dos produtos que colocam no mercado, o registo das substâncias utilizadas nos produtos fertilizantes UE só deve cumprir os requisitos</w:t>
            </w:r>
            <w:r w:rsidRPr="00087644">
              <w:t xml:space="preserve">, </w:t>
            </w:r>
            <w:r w:rsidRPr="00087644">
              <w:rPr>
                <w:b/>
                <w:i/>
              </w:rPr>
              <w:t>incluindo as gradações pertinentes, estabelecidos no Regulamento (CE) n.º 1907/2006</w:t>
            </w:r>
            <w:r w:rsidRPr="00087644">
              <w:t>.</w:t>
            </w:r>
          </w:p>
        </w:tc>
        <w:tc>
          <w:tcPr>
            <w:tcW w:w="4876" w:type="dxa"/>
            <w:tcBorders>
              <w:top w:val="nil"/>
              <w:left w:val="nil"/>
              <w:bottom w:val="nil"/>
              <w:right w:val="nil"/>
            </w:tcBorders>
            <w:hideMark/>
          </w:tcPr>
          <w:p w14:paraId="7039FF12" w14:textId="77777777" w:rsidR="004D2B5D" w:rsidRPr="00087644" w:rsidRDefault="004D2B5D" w:rsidP="00D063A2">
            <w:pPr>
              <w:pStyle w:val="Normal6a"/>
            </w:pPr>
            <w:r w:rsidRPr="00087644">
              <w:lastRenderedPageBreak/>
              <w:t>(30)</w:t>
            </w:r>
            <w:r w:rsidRPr="00087644">
              <w:tab/>
            </w:r>
            <w:r w:rsidRPr="00087644">
              <w:rPr>
                <w:b/>
                <w:i/>
              </w:rPr>
              <w:t xml:space="preserve">O Regulamento (UE) 2019/1009 introduziu requisitos de registo adicionais para as </w:t>
            </w:r>
            <w:r w:rsidRPr="00087644">
              <w:t xml:space="preserve">substâncias </w:t>
            </w:r>
            <w:r w:rsidRPr="00087644">
              <w:rPr>
                <w:b/>
                <w:i/>
              </w:rPr>
              <w:t>utilizadas</w:t>
            </w:r>
            <w:r w:rsidRPr="00087644">
              <w:t xml:space="preserve"> </w:t>
            </w:r>
            <w:r w:rsidRPr="00087644">
              <w:rPr>
                <w:b/>
                <w:bCs/>
                <w:i/>
                <w:iCs/>
              </w:rPr>
              <w:t>em</w:t>
            </w:r>
            <w:r w:rsidRPr="00087644">
              <w:t xml:space="preserve"> </w:t>
            </w:r>
            <w:r w:rsidRPr="00087644">
              <w:rPr>
                <w:b/>
                <w:i/>
              </w:rPr>
              <w:t>produtos fertilizantes UE</w:t>
            </w:r>
            <w:r w:rsidRPr="00087644">
              <w:t xml:space="preserve">, </w:t>
            </w:r>
            <w:r w:rsidRPr="00087644">
              <w:rPr>
                <w:b/>
                <w:i/>
              </w:rPr>
              <w:t>que vão além dos estabelecidos no</w:t>
            </w:r>
            <w:r w:rsidRPr="00087644">
              <w:t xml:space="preserve"> </w:t>
            </w:r>
            <w:r w:rsidRPr="00087644">
              <w:rPr>
                <w:b/>
                <w:bCs/>
                <w:i/>
                <w:iCs/>
              </w:rPr>
              <w:t>Regulamento (CE) n.º 1907/2006.</w:t>
            </w:r>
            <w:r w:rsidRPr="00087644">
              <w:rPr>
                <w:b/>
                <w:i/>
              </w:rPr>
              <w:t xml:space="preserve"> Para assegurar a proporcionalidade e, ao mesmo tempo, manter um elevado nível de proteção da saúde humana e do ambiente, é conveniente harmonizar os requisitos de registo das substâncias utilizadas em produtos fertilizantes UE com os estabelecidos no Regulamento (CE) n.º 1907/2006, tendo em conta os limiares de tonelagem e os requisitos de informação pertinentes. Ao mesmo tempo, no caso das substâncias com propriedades particularmente perigosas</w:t>
            </w:r>
            <w:r w:rsidRPr="00087644">
              <w:t xml:space="preserve">, </w:t>
            </w:r>
            <w:r w:rsidRPr="00087644">
              <w:rPr>
                <w:b/>
                <w:i/>
              </w:rPr>
              <w:t>designadamente as classifi</w:t>
            </w:r>
            <w:r w:rsidRPr="00087644">
              <w:rPr>
                <w:b/>
                <w:bCs/>
                <w:i/>
                <w:iCs/>
              </w:rPr>
              <w:t>cadas ao abrigo do Regulamento (CE) n.º 1272/20</w:t>
            </w:r>
            <w:r w:rsidRPr="00087644">
              <w:rPr>
                <w:b/>
                <w:i/>
              </w:rPr>
              <w:t xml:space="preserve">08 como cancerígenas, mutagénicas, tóxicas para a reprodução, </w:t>
            </w:r>
            <w:proofErr w:type="spellStart"/>
            <w:r w:rsidRPr="00087644">
              <w:rPr>
                <w:b/>
                <w:i/>
              </w:rPr>
              <w:t>desreguladoras</w:t>
            </w:r>
            <w:proofErr w:type="spellEnd"/>
            <w:r w:rsidRPr="00087644">
              <w:rPr>
                <w:b/>
                <w:i/>
              </w:rPr>
              <w:t xml:space="preserve"> do sistema en</w:t>
            </w:r>
            <w:r w:rsidRPr="00087644">
              <w:rPr>
                <w:b/>
                <w:bCs/>
                <w:i/>
                <w:iCs/>
              </w:rPr>
              <w:t>dócrino ou persistentes, bioacumuláveis e tóxicas, devem aplicar</w:t>
            </w:r>
            <w:r w:rsidRPr="00087644">
              <w:rPr>
                <w:b/>
                <w:bCs/>
                <w:i/>
                <w:iCs/>
              </w:rPr>
              <w:noBreakHyphen/>
              <w:t xml:space="preserve">se requisitos de </w:t>
            </w:r>
            <w:r w:rsidRPr="00087644">
              <w:rPr>
                <w:b/>
                <w:bCs/>
                <w:i/>
                <w:iCs/>
              </w:rPr>
              <w:lastRenderedPageBreak/>
              <w:t>informação específicos, mesmo que essas substâncias sejam utilizadas em pequen</w:t>
            </w:r>
            <w:r w:rsidRPr="00087644">
              <w:rPr>
                <w:b/>
                <w:i/>
              </w:rPr>
              <w:t xml:space="preserve">as </w:t>
            </w:r>
            <w:r w:rsidRPr="00087644">
              <w:t xml:space="preserve">quantidades em </w:t>
            </w:r>
            <w:r w:rsidRPr="00087644">
              <w:rPr>
                <w:b/>
                <w:i/>
              </w:rPr>
              <w:t>produtos fertilizantes</w:t>
            </w:r>
            <w:r w:rsidRPr="00087644">
              <w:t>.</w:t>
            </w:r>
            <w:r w:rsidRPr="00087644">
              <w:rPr>
                <w:b/>
                <w:i/>
              </w:rPr>
              <w:t xml:space="preserve"> Esta abordagem garante a disponibilidade de informações relevantes para a segurança e evita encargos desnecessários no caso das substâncias que apresentam riscos mais baixos. As informações fornecidas devem basear</w:t>
            </w:r>
            <w:r w:rsidRPr="00087644">
              <w:rPr>
                <w:b/>
                <w:i/>
              </w:rPr>
              <w:noBreakHyphen/>
              <w:t>se nos dados disponíveis, incl</w:t>
            </w:r>
            <w:r w:rsidRPr="00087644">
              <w:rPr>
                <w:b/>
                <w:bCs/>
                <w:i/>
                <w:iCs/>
              </w:rPr>
              <w:t xml:space="preserve">usive a utilização de métodos alternativos e adaptações </w:t>
            </w:r>
            <w:r w:rsidRPr="00087644">
              <w:t>em conformidade com o Regulamento (CE) n.º 1907/2006,</w:t>
            </w:r>
            <w:r w:rsidRPr="00087644">
              <w:rPr>
                <w:b/>
                <w:bCs/>
                <w:i/>
                <w:iCs/>
              </w:rPr>
              <w:t xml:space="preserve"> e devem, sempre que pertinente e em ú</w:t>
            </w:r>
            <w:r w:rsidRPr="00087644">
              <w:rPr>
                <w:b/>
                <w:i/>
              </w:rPr>
              <w:t>ltimo recurso, evitar ensaios desnecessários, mormente em animais vertebrados.</w:t>
            </w:r>
            <w:r w:rsidRPr="00087644">
              <w:t xml:space="preserve"> </w:t>
            </w:r>
            <w:r w:rsidRPr="00087644">
              <w:rPr>
                <w:b/>
                <w:i/>
              </w:rPr>
              <w:t xml:space="preserve">As avaliações da </w:t>
            </w:r>
            <w:r w:rsidRPr="00087644">
              <w:t>segurança química</w:t>
            </w:r>
            <w:r w:rsidRPr="00087644">
              <w:rPr>
                <w:b/>
                <w:i/>
              </w:rPr>
              <w:t xml:space="preserve"> devem limitar</w:t>
            </w:r>
            <w:r w:rsidRPr="00087644">
              <w:rPr>
                <w:b/>
                <w:i/>
              </w:rPr>
              <w:noBreakHyphen/>
              <w:t xml:space="preserve">se aos cenários de exposição pertinentes relacionados com a utilização agronómica dos </w:t>
            </w:r>
            <w:r w:rsidRPr="00087644">
              <w:t>produtos fertilizantes</w:t>
            </w:r>
            <w:r w:rsidRPr="00087644">
              <w:rPr>
                <w:b/>
                <w:i/>
              </w:rPr>
              <w:t xml:space="preserve"> e com o ambiente. Esta abordagem assegura um quadro equilibrado que promove a inovação e o acesso ao mercado e, ao mesmo tempo</w:t>
            </w:r>
            <w:r w:rsidRPr="00087644">
              <w:t xml:space="preserve">, </w:t>
            </w:r>
            <w:r w:rsidRPr="00087644">
              <w:rPr>
                <w:b/>
                <w:i/>
              </w:rPr>
              <w:t>salvaguarda um elevado nível de proteção e segurança jurídica para os operadores</w:t>
            </w:r>
            <w:r w:rsidRPr="00087644">
              <w:t>.</w:t>
            </w:r>
          </w:p>
        </w:tc>
      </w:tr>
    </w:tbl>
    <w:p w14:paraId="6F77C0D8" w14:textId="77777777" w:rsidR="004D2B5D" w:rsidRPr="00087644" w:rsidRDefault="004D2B5D" w:rsidP="004D2B5D"/>
    <w:p w14:paraId="602E2410" w14:textId="77777777" w:rsidR="004D2B5D" w:rsidRPr="00087644" w:rsidRDefault="004D2B5D" w:rsidP="004D2B5D">
      <w:pPr>
        <w:pStyle w:val="AmNumberTabs"/>
      </w:pPr>
      <w:r w:rsidRPr="00087644">
        <w:t>Alteração</w:t>
      </w:r>
      <w:r w:rsidRPr="00087644">
        <w:tab/>
      </w:r>
      <w:r w:rsidRPr="00087644">
        <w:tab/>
        <w:t>33</w:t>
      </w:r>
    </w:p>
    <w:p w14:paraId="652A74EB" w14:textId="77777777" w:rsidR="004D2B5D" w:rsidRPr="00087644" w:rsidRDefault="004D2B5D" w:rsidP="004D2B5D">
      <w:pPr>
        <w:pStyle w:val="NormalBold"/>
      </w:pPr>
      <w:r w:rsidRPr="00087644">
        <w:t>Proposta de regulamento</w:t>
      </w:r>
    </w:p>
    <w:p w14:paraId="28D445EC" w14:textId="77777777" w:rsidR="004D2B5D" w:rsidRPr="00087644" w:rsidRDefault="004D2B5D" w:rsidP="004D2B5D">
      <w:pPr>
        <w:pStyle w:val="NormalBold"/>
      </w:pPr>
      <w:r w:rsidRPr="00087644">
        <w:t>Artigo 1 – parágrafo 1 – ponto 1</w:t>
      </w:r>
    </w:p>
    <w:p w14:paraId="728B2D72" w14:textId="77777777" w:rsidR="004D2B5D" w:rsidRPr="00087644" w:rsidRDefault="004D2B5D" w:rsidP="004D2B5D">
      <w:r w:rsidRPr="00087644">
        <w:t>Regulamento (CE) n.º 1272/2008</w:t>
      </w:r>
    </w:p>
    <w:p w14:paraId="605B6FE3" w14:textId="77777777" w:rsidR="004D2B5D" w:rsidRPr="00087644" w:rsidRDefault="004D2B5D" w:rsidP="004D2B5D">
      <w:r w:rsidRPr="00087644">
        <w:t>Artigo 2 – ponto 42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6ED81511" w14:textId="77777777" w:rsidTr="00D063A2">
        <w:trPr>
          <w:trHeight w:val="240"/>
          <w:jc w:val="center"/>
        </w:trPr>
        <w:tc>
          <w:tcPr>
            <w:tcW w:w="9752" w:type="dxa"/>
            <w:gridSpan w:val="2"/>
            <w:tcBorders>
              <w:top w:val="nil"/>
              <w:left w:val="nil"/>
              <w:bottom w:val="nil"/>
              <w:right w:val="nil"/>
            </w:tcBorders>
          </w:tcPr>
          <w:p w14:paraId="2EE052E0" w14:textId="77777777" w:rsidR="004D2B5D" w:rsidRPr="00087644" w:rsidRDefault="004D2B5D" w:rsidP="00D063A2"/>
        </w:tc>
      </w:tr>
      <w:tr w:rsidR="004D2B5D" w:rsidRPr="00087644" w14:paraId="536EB6A2" w14:textId="77777777" w:rsidTr="00D063A2">
        <w:trPr>
          <w:trHeight w:val="240"/>
          <w:jc w:val="center"/>
        </w:trPr>
        <w:tc>
          <w:tcPr>
            <w:tcW w:w="4876" w:type="dxa"/>
            <w:tcBorders>
              <w:top w:val="nil"/>
              <w:left w:val="nil"/>
              <w:bottom w:val="nil"/>
              <w:right w:val="nil"/>
            </w:tcBorders>
            <w:hideMark/>
          </w:tcPr>
          <w:p w14:paraId="72AD2821"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77E97D09" w14:textId="77777777" w:rsidR="004D2B5D" w:rsidRPr="00087644" w:rsidRDefault="004D2B5D" w:rsidP="00D063A2">
            <w:pPr>
              <w:pStyle w:val="AmColumnHeading"/>
            </w:pPr>
            <w:r w:rsidRPr="00087644">
              <w:t>Alteração</w:t>
            </w:r>
          </w:p>
        </w:tc>
      </w:tr>
      <w:tr w:rsidR="004D2B5D" w:rsidRPr="00087644" w14:paraId="5A2D79D1" w14:textId="77777777" w:rsidTr="00D063A2">
        <w:trPr>
          <w:jc w:val="center"/>
        </w:trPr>
        <w:tc>
          <w:tcPr>
            <w:tcW w:w="4876" w:type="dxa"/>
            <w:tcBorders>
              <w:top w:val="nil"/>
              <w:left w:val="nil"/>
              <w:bottom w:val="nil"/>
              <w:right w:val="nil"/>
            </w:tcBorders>
            <w:hideMark/>
          </w:tcPr>
          <w:p w14:paraId="59614223" w14:textId="77777777" w:rsidR="004D2B5D" w:rsidRPr="00087644" w:rsidRDefault="004D2B5D" w:rsidP="00D063A2">
            <w:pPr>
              <w:pStyle w:val="Normal6a"/>
            </w:pPr>
            <w:r w:rsidRPr="00087644">
              <w:t>42.</w:t>
            </w:r>
            <w:r w:rsidRPr="00087644">
              <w:tab/>
              <w:t xml:space="preserve">«Contacto digital», qualquer canal de comunicação em linha atualizado e </w:t>
            </w:r>
            <w:r w:rsidRPr="00087644">
              <w:rPr>
                <w:b/>
                <w:i/>
              </w:rPr>
              <w:t>acessível</w:t>
            </w:r>
            <w:r w:rsidRPr="00087644">
              <w:t xml:space="preserve"> através do qual o fornecedor possa ser contactado </w:t>
            </w:r>
            <w:r w:rsidRPr="00087644">
              <w:rPr>
                <w:b/>
                <w:i/>
              </w:rPr>
              <w:t>ou interpelado</w:t>
            </w:r>
            <w:r w:rsidRPr="00087644">
              <w:t xml:space="preserve"> sem necessidade de efetuar um registo ou descarregar uma aplicação</w:t>
            </w:r>
            <w:r w:rsidRPr="00087644">
              <w:rPr>
                <w:b/>
                <w:i/>
              </w:rPr>
              <w:t>.</w:t>
            </w:r>
          </w:p>
        </w:tc>
        <w:tc>
          <w:tcPr>
            <w:tcW w:w="4876" w:type="dxa"/>
            <w:tcBorders>
              <w:top w:val="nil"/>
              <w:left w:val="nil"/>
              <w:bottom w:val="nil"/>
              <w:right w:val="nil"/>
            </w:tcBorders>
            <w:hideMark/>
          </w:tcPr>
          <w:p w14:paraId="03331807" w14:textId="77777777" w:rsidR="004D2B5D" w:rsidRPr="00087644" w:rsidRDefault="004D2B5D" w:rsidP="00D063A2">
            <w:pPr>
              <w:pStyle w:val="Normal6a"/>
            </w:pPr>
            <w:r w:rsidRPr="00087644">
              <w:t>42.</w:t>
            </w:r>
            <w:r w:rsidRPr="00087644">
              <w:tab/>
              <w:t>«Contacto digital», qualquer canal de comunicação em linha atualizado</w:t>
            </w:r>
            <w:r w:rsidRPr="00087644">
              <w:rPr>
                <w:b/>
                <w:i/>
              </w:rPr>
              <w:t>, de acesso fácil</w:t>
            </w:r>
            <w:r w:rsidRPr="00087644">
              <w:t xml:space="preserve"> e </w:t>
            </w:r>
            <w:r w:rsidRPr="00087644">
              <w:rPr>
                <w:b/>
                <w:i/>
              </w:rPr>
              <w:t>gratuito, como endereços de correio eletrónico ou hiperligações,</w:t>
            </w:r>
            <w:r w:rsidRPr="00087644">
              <w:t xml:space="preserve"> através do qual o fornecedor possa ser contactado sem necessidade de efetuar um registo ou descarregar </w:t>
            </w:r>
            <w:r w:rsidRPr="00087644">
              <w:rPr>
                <w:b/>
                <w:i/>
              </w:rPr>
              <w:t>ou utilizar</w:t>
            </w:r>
            <w:r w:rsidRPr="00087644">
              <w:t xml:space="preserve"> uma aplicação</w:t>
            </w:r>
            <w:r w:rsidRPr="00087644">
              <w:rPr>
                <w:b/>
                <w:i/>
              </w:rPr>
              <w:t>;</w:t>
            </w:r>
          </w:p>
        </w:tc>
      </w:tr>
    </w:tbl>
    <w:p w14:paraId="1DA72664" w14:textId="77777777" w:rsidR="004D2B5D" w:rsidRPr="00087644" w:rsidRDefault="004D2B5D" w:rsidP="004D2B5D"/>
    <w:p w14:paraId="30787E2E" w14:textId="77777777" w:rsidR="004D2B5D" w:rsidRPr="00087644" w:rsidRDefault="004D2B5D" w:rsidP="004D2B5D">
      <w:pPr>
        <w:pStyle w:val="AmNumberTabs"/>
      </w:pPr>
      <w:r w:rsidRPr="00087644">
        <w:t>Alteração</w:t>
      </w:r>
      <w:r w:rsidRPr="00087644">
        <w:tab/>
      </w:r>
      <w:r w:rsidRPr="00087644">
        <w:tab/>
        <w:t>34</w:t>
      </w:r>
    </w:p>
    <w:p w14:paraId="198D78DD" w14:textId="77777777" w:rsidR="004D2B5D" w:rsidRPr="00087644" w:rsidRDefault="004D2B5D" w:rsidP="004D2B5D">
      <w:pPr>
        <w:pStyle w:val="NormalBold"/>
      </w:pPr>
      <w:r w:rsidRPr="00087644">
        <w:t>Proposta de regulamento</w:t>
      </w:r>
    </w:p>
    <w:p w14:paraId="63627B11" w14:textId="77777777" w:rsidR="004D2B5D" w:rsidRPr="00087644" w:rsidRDefault="004D2B5D" w:rsidP="004D2B5D">
      <w:pPr>
        <w:pStyle w:val="NormalBold"/>
      </w:pPr>
      <w:r w:rsidRPr="00087644">
        <w:t>Artigo 1 – parágrafo 1 – ponto 1</w:t>
      </w:r>
      <w:r w:rsidRPr="00087644">
        <w:noBreakHyphen/>
        <w:t>A (novo)</w:t>
      </w:r>
    </w:p>
    <w:p w14:paraId="541831A3" w14:textId="77777777" w:rsidR="004D2B5D" w:rsidRPr="00087644" w:rsidRDefault="004D2B5D" w:rsidP="004D2B5D">
      <w:r w:rsidRPr="00087644">
        <w:t>Regulamento (CE) n.º 1272/2008</w:t>
      </w:r>
    </w:p>
    <w:p w14:paraId="3F351AB9" w14:textId="77777777" w:rsidR="004D2B5D" w:rsidRPr="00087644" w:rsidRDefault="004D2B5D" w:rsidP="004D2B5D">
      <w:r w:rsidRPr="00087644">
        <w:t>Artigo 5 – n.º 3</w:t>
      </w:r>
      <w:r w:rsidRPr="00087644">
        <w:noBreakHyphen/>
        <w:t>A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393C7223" w14:textId="77777777" w:rsidTr="00D063A2">
        <w:trPr>
          <w:trHeight w:val="240"/>
          <w:jc w:val="center"/>
        </w:trPr>
        <w:tc>
          <w:tcPr>
            <w:tcW w:w="9752" w:type="dxa"/>
            <w:gridSpan w:val="2"/>
            <w:tcBorders>
              <w:top w:val="nil"/>
              <w:left w:val="nil"/>
              <w:bottom w:val="nil"/>
              <w:right w:val="nil"/>
            </w:tcBorders>
          </w:tcPr>
          <w:p w14:paraId="734F033F" w14:textId="77777777" w:rsidR="004D2B5D" w:rsidRPr="00087644" w:rsidRDefault="004D2B5D" w:rsidP="00D063A2"/>
        </w:tc>
      </w:tr>
      <w:tr w:rsidR="004D2B5D" w:rsidRPr="00087644" w14:paraId="13D7E46C" w14:textId="77777777" w:rsidTr="00D063A2">
        <w:trPr>
          <w:trHeight w:val="240"/>
          <w:jc w:val="center"/>
        </w:trPr>
        <w:tc>
          <w:tcPr>
            <w:tcW w:w="4876" w:type="dxa"/>
            <w:tcBorders>
              <w:top w:val="nil"/>
              <w:left w:val="nil"/>
              <w:bottom w:val="nil"/>
              <w:right w:val="nil"/>
            </w:tcBorders>
            <w:hideMark/>
          </w:tcPr>
          <w:p w14:paraId="5EF37211"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3C6BEFB6" w14:textId="77777777" w:rsidR="004D2B5D" w:rsidRPr="00087644" w:rsidRDefault="004D2B5D" w:rsidP="00D063A2">
            <w:pPr>
              <w:pStyle w:val="AmColumnHeading"/>
            </w:pPr>
            <w:r w:rsidRPr="00087644">
              <w:t>Alteração</w:t>
            </w:r>
          </w:p>
        </w:tc>
      </w:tr>
      <w:tr w:rsidR="004D2B5D" w:rsidRPr="00087644" w14:paraId="2B4E9B0D" w14:textId="77777777" w:rsidTr="00D063A2">
        <w:trPr>
          <w:jc w:val="center"/>
        </w:trPr>
        <w:tc>
          <w:tcPr>
            <w:tcW w:w="4876" w:type="dxa"/>
            <w:tcBorders>
              <w:top w:val="nil"/>
              <w:left w:val="nil"/>
              <w:bottom w:val="nil"/>
              <w:right w:val="nil"/>
            </w:tcBorders>
          </w:tcPr>
          <w:p w14:paraId="5C62CBC3" w14:textId="77777777" w:rsidR="004D2B5D" w:rsidRPr="00087644" w:rsidRDefault="004D2B5D" w:rsidP="00D063A2">
            <w:pPr>
              <w:pStyle w:val="Normal6a"/>
            </w:pPr>
          </w:p>
        </w:tc>
        <w:tc>
          <w:tcPr>
            <w:tcW w:w="4876" w:type="dxa"/>
            <w:tcBorders>
              <w:top w:val="nil"/>
              <w:left w:val="nil"/>
              <w:bottom w:val="nil"/>
              <w:right w:val="nil"/>
            </w:tcBorders>
            <w:hideMark/>
          </w:tcPr>
          <w:p w14:paraId="552FF173" w14:textId="77777777" w:rsidR="004D2B5D" w:rsidRPr="00087644" w:rsidRDefault="004D2B5D" w:rsidP="00D063A2">
            <w:pPr>
              <w:pStyle w:val="Normal6a"/>
            </w:pPr>
            <w:r w:rsidRPr="00087644">
              <w:rPr>
                <w:b/>
                <w:i/>
              </w:rPr>
              <w:t>(1</w:t>
            </w:r>
            <w:r w:rsidRPr="00087644">
              <w:rPr>
                <w:b/>
                <w:i/>
              </w:rPr>
              <w:noBreakHyphen/>
              <w:t>A)</w:t>
            </w:r>
            <w:r w:rsidRPr="00087644">
              <w:tab/>
            </w:r>
            <w:r w:rsidRPr="00087644">
              <w:rPr>
                <w:b/>
                <w:i/>
              </w:rPr>
              <w:t xml:space="preserve">No artigo 5.º, é inserido o seguinte número: </w:t>
            </w:r>
          </w:p>
        </w:tc>
      </w:tr>
      <w:tr w:rsidR="004D2B5D" w:rsidRPr="00087644" w14:paraId="40E03435" w14:textId="77777777" w:rsidTr="00D063A2">
        <w:trPr>
          <w:jc w:val="center"/>
        </w:trPr>
        <w:tc>
          <w:tcPr>
            <w:tcW w:w="4876" w:type="dxa"/>
            <w:tcBorders>
              <w:top w:val="nil"/>
              <w:left w:val="nil"/>
              <w:bottom w:val="nil"/>
              <w:right w:val="nil"/>
            </w:tcBorders>
          </w:tcPr>
          <w:p w14:paraId="019F0623" w14:textId="77777777" w:rsidR="004D2B5D" w:rsidRPr="00087644" w:rsidRDefault="004D2B5D" w:rsidP="00D063A2">
            <w:pPr>
              <w:pStyle w:val="Normal6a"/>
            </w:pPr>
          </w:p>
        </w:tc>
        <w:tc>
          <w:tcPr>
            <w:tcW w:w="4876" w:type="dxa"/>
            <w:tcBorders>
              <w:top w:val="nil"/>
              <w:left w:val="nil"/>
              <w:bottom w:val="nil"/>
              <w:right w:val="nil"/>
            </w:tcBorders>
          </w:tcPr>
          <w:p w14:paraId="4CBB19F9" w14:textId="77777777" w:rsidR="004D2B5D" w:rsidRPr="00087644" w:rsidRDefault="004D2B5D" w:rsidP="00D063A2">
            <w:pPr>
              <w:pStyle w:val="Normal6a"/>
              <w:rPr>
                <w:b/>
                <w:i/>
              </w:rPr>
            </w:pPr>
            <w:r w:rsidRPr="00087644">
              <w:rPr>
                <w:b/>
                <w:i/>
              </w:rPr>
              <w:t>«3</w:t>
            </w:r>
            <w:r w:rsidRPr="00087644">
              <w:rPr>
                <w:b/>
                <w:i/>
              </w:rPr>
              <w:noBreakHyphen/>
              <w:t>A. O mais tardar 18 meses a contar da data de entrada em vigor do presente regulamento modificativo, a Comissão deverá avaliar se se devem aplicar reduções específicas adicionais dos elementos obrigatórios do rótulo às embalagens entre 10 e 125 ml.»</w:t>
            </w:r>
          </w:p>
        </w:tc>
      </w:tr>
    </w:tbl>
    <w:p w14:paraId="743FB6E2" w14:textId="77777777" w:rsidR="004D2B5D" w:rsidRPr="00087644" w:rsidRDefault="004D2B5D" w:rsidP="004D2B5D"/>
    <w:p w14:paraId="4B57EFF1" w14:textId="77777777" w:rsidR="004D2B5D" w:rsidRPr="00087644" w:rsidRDefault="004D2B5D" w:rsidP="004D2B5D">
      <w:pPr>
        <w:pStyle w:val="AmNumberTabs"/>
      </w:pPr>
      <w:r w:rsidRPr="00087644">
        <w:t>Alteração</w:t>
      </w:r>
      <w:r w:rsidRPr="00087644">
        <w:tab/>
      </w:r>
      <w:r w:rsidRPr="00087644">
        <w:tab/>
        <w:t>35</w:t>
      </w:r>
    </w:p>
    <w:p w14:paraId="079CC380" w14:textId="77777777" w:rsidR="004D2B5D" w:rsidRPr="00087644" w:rsidRDefault="004D2B5D" w:rsidP="004D2B5D">
      <w:pPr>
        <w:pStyle w:val="NormalBold"/>
      </w:pPr>
      <w:r w:rsidRPr="00087644">
        <w:t>Proposta de regulamento</w:t>
      </w:r>
    </w:p>
    <w:p w14:paraId="2404BBE6" w14:textId="77777777" w:rsidR="004D2B5D" w:rsidRPr="00087644" w:rsidRDefault="004D2B5D" w:rsidP="004D2B5D">
      <w:pPr>
        <w:pStyle w:val="NormalBold"/>
      </w:pPr>
      <w:r w:rsidRPr="00087644">
        <w:t>Artigo 1 – parágrafo 1 – ponto 2 – parte introdutória</w:t>
      </w:r>
    </w:p>
    <w:p w14:paraId="64A93B72" w14:textId="77777777" w:rsidR="004D2B5D" w:rsidRPr="00087644" w:rsidRDefault="004D2B5D" w:rsidP="004D2B5D">
      <w:r w:rsidRPr="00087644">
        <w:t>Regulamento (CE) n.º 1272/2008</w:t>
      </w:r>
    </w:p>
    <w:p w14:paraId="4B5A7CE6" w14:textId="77777777" w:rsidR="004D2B5D" w:rsidRPr="00087644" w:rsidRDefault="004D2B5D" w:rsidP="004D2B5D">
      <w:r w:rsidRPr="00087644">
        <w:t>Artigo 17 – n.º 1 – alínea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7D5CB830" w14:textId="77777777" w:rsidTr="00D063A2">
        <w:trPr>
          <w:trHeight w:val="240"/>
          <w:jc w:val="center"/>
        </w:trPr>
        <w:tc>
          <w:tcPr>
            <w:tcW w:w="9752" w:type="dxa"/>
            <w:gridSpan w:val="2"/>
            <w:tcBorders>
              <w:top w:val="nil"/>
              <w:left w:val="nil"/>
              <w:bottom w:val="nil"/>
              <w:right w:val="nil"/>
            </w:tcBorders>
          </w:tcPr>
          <w:p w14:paraId="69766063" w14:textId="77777777" w:rsidR="004D2B5D" w:rsidRPr="00087644" w:rsidRDefault="004D2B5D" w:rsidP="00D063A2"/>
        </w:tc>
      </w:tr>
      <w:tr w:rsidR="004D2B5D" w:rsidRPr="00087644" w14:paraId="39CEB7C9" w14:textId="77777777" w:rsidTr="00D063A2">
        <w:trPr>
          <w:trHeight w:val="240"/>
          <w:jc w:val="center"/>
        </w:trPr>
        <w:tc>
          <w:tcPr>
            <w:tcW w:w="4876" w:type="dxa"/>
            <w:tcBorders>
              <w:top w:val="nil"/>
              <w:left w:val="nil"/>
              <w:bottom w:val="nil"/>
              <w:right w:val="nil"/>
            </w:tcBorders>
            <w:hideMark/>
          </w:tcPr>
          <w:p w14:paraId="6912FDCD"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189F7EC3" w14:textId="77777777" w:rsidR="004D2B5D" w:rsidRPr="00087644" w:rsidRDefault="004D2B5D" w:rsidP="00D063A2">
            <w:pPr>
              <w:pStyle w:val="AmColumnHeading"/>
            </w:pPr>
            <w:r w:rsidRPr="00087644">
              <w:t>Alteração</w:t>
            </w:r>
          </w:p>
        </w:tc>
      </w:tr>
      <w:tr w:rsidR="004D2B5D" w:rsidRPr="00087644" w14:paraId="280BDDFC" w14:textId="77777777" w:rsidTr="00D063A2">
        <w:trPr>
          <w:jc w:val="center"/>
        </w:trPr>
        <w:tc>
          <w:tcPr>
            <w:tcW w:w="4876" w:type="dxa"/>
            <w:tcBorders>
              <w:top w:val="nil"/>
              <w:left w:val="nil"/>
              <w:bottom w:val="nil"/>
              <w:right w:val="nil"/>
            </w:tcBorders>
            <w:hideMark/>
          </w:tcPr>
          <w:p w14:paraId="4A6D75A8" w14:textId="77777777" w:rsidR="004D2B5D" w:rsidRPr="00087644" w:rsidRDefault="004D2B5D" w:rsidP="00D063A2">
            <w:pPr>
              <w:pStyle w:val="Normal6a"/>
            </w:pPr>
            <w:r w:rsidRPr="00087644">
              <w:t>(2)</w:t>
            </w:r>
            <w:r w:rsidRPr="00087644">
              <w:tab/>
            </w:r>
            <w:r w:rsidRPr="00087644">
              <w:rPr>
                <w:b/>
                <w:i/>
              </w:rPr>
              <w:t>No</w:t>
            </w:r>
            <w:r w:rsidRPr="00087644">
              <w:t xml:space="preserve"> artigo 17.º, n.º 1, a alínea a) passa a ter a seguinte redação:</w:t>
            </w:r>
          </w:p>
        </w:tc>
        <w:tc>
          <w:tcPr>
            <w:tcW w:w="4876" w:type="dxa"/>
            <w:tcBorders>
              <w:top w:val="nil"/>
              <w:left w:val="nil"/>
              <w:bottom w:val="nil"/>
              <w:right w:val="nil"/>
            </w:tcBorders>
            <w:hideMark/>
          </w:tcPr>
          <w:p w14:paraId="64478D7D" w14:textId="77777777" w:rsidR="004D2B5D" w:rsidRPr="00087644" w:rsidRDefault="004D2B5D" w:rsidP="00D063A2">
            <w:pPr>
              <w:pStyle w:val="Normal6a"/>
            </w:pPr>
            <w:r w:rsidRPr="00087644">
              <w:t>(2)</w:t>
            </w:r>
            <w:r w:rsidRPr="00087644">
              <w:tab/>
            </w:r>
            <w:r w:rsidRPr="00087644">
              <w:rPr>
                <w:b/>
                <w:i/>
              </w:rPr>
              <w:t>O</w:t>
            </w:r>
            <w:r w:rsidRPr="00087644">
              <w:t xml:space="preserve"> artigo 17.º, n.º 1, </w:t>
            </w:r>
            <w:r w:rsidRPr="00087644">
              <w:rPr>
                <w:b/>
                <w:i/>
              </w:rPr>
              <w:t>é alterado do seguinte modo:</w:t>
            </w:r>
          </w:p>
        </w:tc>
      </w:tr>
      <w:tr w:rsidR="004D2B5D" w:rsidRPr="00087644" w14:paraId="0AE40D6F" w14:textId="77777777" w:rsidTr="00D063A2">
        <w:trPr>
          <w:jc w:val="center"/>
        </w:trPr>
        <w:tc>
          <w:tcPr>
            <w:tcW w:w="4876" w:type="dxa"/>
            <w:tcBorders>
              <w:top w:val="nil"/>
              <w:left w:val="nil"/>
              <w:bottom w:val="nil"/>
              <w:right w:val="nil"/>
            </w:tcBorders>
          </w:tcPr>
          <w:p w14:paraId="6A4FE3C3" w14:textId="77777777" w:rsidR="004D2B5D" w:rsidRPr="00087644" w:rsidRDefault="004D2B5D" w:rsidP="00D063A2">
            <w:pPr>
              <w:pStyle w:val="Normal6a"/>
            </w:pPr>
          </w:p>
        </w:tc>
        <w:tc>
          <w:tcPr>
            <w:tcW w:w="4876" w:type="dxa"/>
            <w:tcBorders>
              <w:top w:val="nil"/>
              <w:left w:val="nil"/>
              <w:bottom w:val="nil"/>
              <w:right w:val="nil"/>
            </w:tcBorders>
            <w:hideMark/>
          </w:tcPr>
          <w:p w14:paraId="15E19A2A" w14:textId="77777777" w:rsidR="004D2B5D" w:rsidRPr="00087644" w:rsidRDefault="004D2B5D" w:rsidP="00D063A2">
            <w:pPr>
              <w:pStyle w:val="Normal6a"/>
            </w:pPr>
            <w:r w:rsidRPr="00087644">
              <w:rPr>
                <w:b/>
                <w:i/>
              </w:rPr>
              <w:t>a)</w:t>
            </w:r>
            <w:r w:rsidRPr="00087644">
              <w:t xml:space="preserve"> A alínea a) passa a ter a seguinte redação:</w:t>
            </w:r>
          </w:p>
        </w:tc>
      </w:tr>
    </w:tbl>
    <w:p w14:paraId="69E41C6F" w14:textId="77777777" w:rsidR="004D2B5D" w:rsidRPr="00087644" w:rsidRDefault="004D2B5D" w:rsidP="004D2B5D"/>
    <w:p w14:paraId="6F23C89B" w14:textId="77777777" w:rsidR="004D2B5D" w:rsidRPr="00087644" w:rsidRDefault="004D2B5D" w:rsidP="004D2B5D">
      <w:pPr>
        <w:pStyle w:val="AmNumberTabs"/>
      </w:pPr>
      <w:r w:rsidRPr="00087644">
        <w:t>Alteração</w:t>
      </w:r>
      <w:r w:rsidRPr="00087644">
        <w:tab/>
      </w:r>
      <w:r w:rsidRPr="00087644">
        <w:tab/>
        <w:t>36</w:t>
      </w:r>
    </w:p>
    <w:p w14:paraId="4AD3CCEE" w14:textId="77777777" w:rsidR="004D2B5D" w:rsidRPr="00087644" w:rsidRDefault="004D2B5D" w:rsidP="004D2B5D">
      <w:pPr>
        <w:pStyle w:val="NormalBold"/>
      </w:pPr>
      <w:r w:rsidRPr="00087644">
        <w:t>Proposta de regulamento</w:t>
      </w:r>
    </w:p>
    <w:p w14:paraId="3A69B295" w14:textId="77777777" w:rsidR="004D2B5D" w:rsidRPr="00087644" w:rsidRDefault="004D2B5D" w:rsidP="004D2B5D">
      <w:pPr>
        <w:pStyle w:val="NormalBold"/>
      </w:pPr>
      <w:r w:rsidRPr="00087644">
        <w:t>Artigo 1 – parágrafo 1 – ponto 2</w:t>
      </w:r>
    </w:p>
    <w:p w14:paraId="03F4DC18" w14:textId="77777777" w:rsidR="004D2B5D" w:rsidRPr="00087644" w:rsidRDefault="004D2B5D" w:rsidP="004D2B5D">
      <w:r w:rsidRPr="00087644">
        <w:t>Regulamento (CE) n.º 1272/2008</w:t>
      </w:r>
    </w:p>
    <w:p w14:paraId="63AC2FA7" w14:textId="77777777" w:rsidR="004D2B5D" w:rsidRPr="00087644" w:rsidRDefault="004D2B5D" w:rsidP="004D2B5D">
      <w:r w:rsidRPr="00087644">
        <w:t>Artigo 17 – n.º 1 – alínea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097C6E9A" w14:textId="77777777" w:rsidTr="00D063A2">
        <w:trPr>
          <w:trHeight w:val="240"/>
          <w:jc w:val="center"/>
        </w:trPr>
        <w:tc>
          <w:tcPr>
            <w:tcW w:w="9752" w:type="dxa"/>
            <w:gridSpan w:val="2"/>
            <w:tcBorders>
              <w:top w:val="nil"/>
              <w:left w:val="nil"/>
              <w:bottom w:val="nil"/>
              <w:right w:val="nil"/>
            </w:tcBorders>
          </w:tcPr>
          <w:p w14:paraId="5FACF694" w14:textId="77777777" w:rsidR="004D2B5D" w:rsidRPr="00087644" w:rsidRDefault="004D2B5D" w:rsidP="00D063A2"/>
        </w:tc>
      </w:tr>
      <w:tr w:rsidR="004D2B5D" w:rsidRPr="00087644" w14:paraId="4382E7F6" w14:textId="77777777" w:rsidTr="00D063A2">
        <w:trPr>
          <w:trHeight w:val="240"/>
          <w:jc w:val="center"/>
        </w:trPr>
        <w:tc>
          <w:tcPr>
            <w:tcW w:w="4876" w:type="dxa"/>
            <w:tcBorders>
              <w:top w:val="nil"/>
              <w:left w:val="nil"/>
              <w:bottom w:val="nil"/>
              <w:right w:val="nil"/>
            </w:tcBorders>
            <w:hideMark/>
          </w:tcPr>
          <w:p w14:paraId="05ABAD77"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262A6574" w14:textId="77777777" w:rsidR="004D2B5D" w:rsidRPr="00087644" w:rsidRDefault="004D2B5D" w:rsidP="00D063A2">
            <w:pPr>
              <w:pStyle w:val="AmColumnHeading"/>
            </w:pPr>
            <w:r w:rsidRPr="00087644">
              <w:t>Alteração</w:t>
            </w:r>
          </w:p>
        </w:tc>
      </w:tr>
      <w:tr w:rsidR="004D2B5D" w:rsidRPr="00087644" w14:paraId="2AC7F6EB" w14:textId="77777777" w:rsidTr="00D063A2">
        <w:trPr>
          <w:jc w:val="center"/>
        </w:trPr>
        <w:tc>
          <w:tcPr>
            <w:tcW w:w="4876" w:type="dxa"/>
            <w:tcBorders>
              <w:top w:val="nil"/>
              <w:left w:val="nil"/>
              <w:bottom w:val="nil"/>
              <w:right w:val="nil"/>
            </w:tcBorders>
            <w:hideMark/>
          </w:tcPr>
          <w:p w14:paraId="10099386" w14:textId="77777777" w:rsidR="004D2B5D" w:rsidRPr="00087644" w:rsidRDefault="004D2B5D" w:rsidP="00D063A2">
            <w:pPr>
              <w:pStyle w:val="Normal6a"/>
            </w:pPr>
            <w:r w:rsidRPr="00087644">
              <w:t>a)</w:t>
            </w:r>
            <w:r w:rsidRPr="00087644">
              <w:tab/>
              <w:t xml:space="preserve">Nome, endereço e contacto digital </w:t>
            </w:r>
            <w:r w:rsidRPr="00087644">
              <w:rPr>
                <w:b/>
                <w:i/>
              </w:rPr>
              <w:t>dos fornecedores</w:t>
            </w:r>
            <w:r w:rsidRPr="00087644">
              <w:t>;»;</w:t>
            </w:r>
          </w:p>
        </w:tc>
        <w:tc>
          <w:tcPr>
            <w:tcW w:w="4876" w:type="dxa"/>
            <w:tcBorders>
              <w:top w:val="nil"/>
              <w:left w:val="nil"/>
              <w:bottom w:val="nil"/>
              <w:right w:val="nil"/>
            </w:tcBorders>
            <w:hideMark/>
          </w:tcPr>
          <w:p w14:paraId="5A6D3646" w14:textId="77777777" w:rsidR="004D2B5D" w:rsidRPr="00087644" w:rsidRDefault="004D2B5D" w:rsidP="00D063A2">
            <w:pPr>
              <w:pStyle w:val="Normal6a"/>
            </w:pPr>
            <w:r w:rsidRPr="00087644">
              <w:t>a)</w:t>
            </w:r>
            <w:r w:rsidRPr="00087644">
              <w:tab/>
              <w:t>Nome, endereço</w:t>
            </w:r>
            <w:r w:rsidRPr="00087644">
              <w:rPr>
                <w:b/>
                <w:i/>
              </w:rPr>
              <w:t>, número de telefone</w:t>
            </w:r>
            <w:r w:rsidRPr="00087644">
              <w:t xml:space="preserve"> e contacto digital </w:t>
            </w:r>
            <w:r w:rsidRPr="00087644">
              <w:rPr>
                <w:b/>
                <w:i/>
              </w:rPr>
              <w:t>do fornecedor</w:t>
            </w:r>
            <w:r w:rsidRPr="00087644">
              <w:t>;»;</w:t>
            </w:r>
          </w:p>
        </w:tc>
      </w:tr>
    </w:tbl>
    <w:p w14:paraId="545866E4" w14:textId="77777777" w:rsidR="004D2B5D" w:rsidRPr="00087644" w:rsidRDefault="004D2B5D" w:rsidP="004D2B5D"/>
    <w:p w14:paraId="5E702AA5" w14:textId="77777777" w:rsidR="004D2B5D" w:rsidRPr="00087644" w:rsidRDefault="004D2B5D" w:rsidP="004D2B5D">
      <w:pPr>
        <w:pStyle w:val="AmNumberTabs"/>
      </w:pPr>
      <w:r w:rsidRPr="00087644">
        <w:t>Alteração</w:t>
      </w:r>
      <w:r w:rsidRPr="00087644">
        <w:tab/>
      </w:r>
      <w:r w:rsidRPr="00087644">
        <w:tab/>
        <w:t>37</w:t>
      </w:r>
    </w:p>
    <w:p w14:paraId="1020D269" w14:textId="77777777" w:rsidR="004D2B5D" w:rsidRPr="00087644" w:rsidRDefault="004D2B5D" w:rsidP="004D2B5D">
      <w:pPr>
        <w:pStyle w:val="NormalBold"/>
      </w:pPr>
      <w:r w:rsidRPr="00087644">
        <w:t>Proposta de regulamento</w:t>
      </w:r>
    </w:p>
    <w:p w14:paraId="5634D126" w14:textId="77777777" w:rsidR="004D2B5D" w:rsidRPr="00087644" w:rsidRDefault="004D2B5D" w:rsidP="004D2B5D">
      <w:pPr>
        <w:pStyle w:val="NormalBold"/>
      </w:pPr>
      <w:r w:rsidRPr="00087644">
        <w:t>Artigo 1 – parágrafo 1 – ponto 2</w:t>
      </w:r>
      <w:r w:rsidRPr="00087644">
        <w:noBreakHyphen/>
        <w:t>A (novo)</w:t>
      </w:r>
    </w:p>
    <w:p w14:paraId="434871D3" w14:textId="77777777" w:rsidR="004D2B5D" w:rsidRPr="00087644" w:rsidRDefault="004D2B5D" w:rsidP="004D2B5D">
      <w:r w:rsidRPr="00087644">
        <w:t>Regulamento (CE) n.º 1272/2008</w:t>
      </w:r>
    </w:p>
    <w:p w14:paraId="4D438F62" w14:textId="77777777" w:rsidR="004D2B5D" w:rsidRPr="00087644" w:rsidRDefault="004D2B5D" w:rsidP="004D2B5D">
      <w:r w:rsidRPr="00087644">
        <w:t>Artigo 17 – n.º 1 – parágrafo 1</w:t>
      </w:r>
      <w:r w:rsidRPr="00087644">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44B6FC5F" w14:textId="77777777" w:rsidTr="00D063A2">
        <w:trPr>
          <w:trHeight w:val="240"/>
          <w:jc w:val="center"/>
        </w:trPr>
        <w:tc>
          <w:tcPr>
            <w:tcW w:w="9752" w:type="dxa"/>
            <w:gridSpan w:val="2"/>
            <w:tcBorders>
              <w:top w:val="nil"/>
              <w:left w:val="nil"/>
              <w:bottom w:val="nil"/>
              <w:right w:val="nil"/>
            </w:tcBorders>
          </w:tcPr>
          <w:p w14:paraId="33E07360" w14:textId="77777777" w:rsidR="004D2B5D" w:rsidRPr="00087644" w:rsidRDefault="004D2B5D" w:rsidP="00D063A2"/>
        </w:tc>
      </w:tr>
      <w:tr w:rsidR="004D2B5D" w:rsidRPr="00087644" w14:paraId="0945924F" w14:textId="77777777" w:rsidTr="00D063A2">
        <w:trPr>
          <w:trHeight w:val="240"/>
          <w:jc w:val="center"/>
        </w:trPr>
        <w:tc>
          <w:tcPr>
            <w:tcW w:w="4876" w:type="dxa"/>
            <w:tcBorders>
              <w:top w:val="nil"/>
              <w:left w:val="nil"/>
              <w:bottom w:val="nil"/>
              <w:right w:val="nil"/>
            </w:tcBorders>
            <w:hideMark/>
          </w:tcPr>
          <w:p w14:paraId="3AFCA1D4"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08D90947" w14:textId="77777777" w:rsidR="004D2B5D" w:rsidRPr="00087644" w:rsidRDefault="004D2B5D" w:rsidP="00D063A2">
            <w:pPr>
              <w:pStyle w:val="AmColumnHeading"/>
            </w:pPr>
            <w:r w:rsidRPr="00087644">
              <w:t>Alteração</w:t>
            </w:r>
          </w:p>
        </w:tc>
      </w:tr>
      <w:tr w:rsidR="004D2B5D" w:rsidRPr="00087644" w14:paraId="38D885FB" w14:textId="77777777" w:rsidTr="00D063A2">
        <w:trPr>
          <w:jc w:val="center"/>
        </w:trPr>
        <w:tc>
          <w:tcPr>
            <w:tcW w:w="4876" w:type="dxa"/>
            <w:tcBorders>
              <w:top w:val="nil"/>
              <w:left w:val="nil"/>
              <w:bottom w:val="nil"/>
              <w:right w:val="nil"/>
            </w:tcBorders>
          </w:tcPr>
          <w:p w14:paraId="4D0A85F0" w14:textId="77777777" w:rsidR="004D2B5D" w:rsidRPr="00087644" w:rsidRDefault="004D2B5D" w:rsidP="00D063A2">
            <w:pPr>
              <w:pStyle w:val="Normal6a"/>
            </w:pPr>
          </w:p>
        </w:tc>
        <w:tc>
          <w:tcPr>
            <w:tcW w:w="4876" w:type="dxa"/>
            <w:tcBorders>
              <w:top w:val="nil"/>
              <w:left w:val="nil"/>
              <w:bottom w:val="nil"/>
              <w:right w:val="nil"/>
            </w:tcBorders>
            <w:hideMark/>
          </w:tcPr>
          <w:p w14:paraId="27C12C98" w14:textId="77777777" w:rsidR="004D2B5D" w:rsidRPr="00087644" w:rsidRDefault="004D2B5D" w:rsidP="00D063A2">
            <w:pPr>
              <w:pStyle w:val="Normal6a"/>
            </w:pPr>
            <w:r w:rsidRPr="00087644">
              <w:rPr>
                <w:b/>
                <w:i/>
              </w:rPr>
              <w:t>(2</w:t>
            </w:r>
            <w:r w:rsidRPr="00087644">
              <w:rPr>
                <w:b/>
                <w:i/>
              </w:rPr>
              <w:noBreakHyphen/>
              <w:t>A)</w:t>
            </w:r>
            <w:r w:rsidRPr="00087644">
              <w:tab/>
            </w:r>
            <w:r w:rsidRPr="00087644">
              <w:rPr>
                <w:b/>
                <w:i/>
              </w:rPr>
              <w:t>Ao artigo 17.º, n.º 1, é aditado o seguinte parágrafo:</w:t>
            </w:r>
          </w:p>
        </w:tc>
      </w:tr>
      <w:tr w:rsidR="004D2B5D" w:rsidRPr="00087644" w14:paraId="5CA88671" w14:textId="77777777" w:rsidTr="00D063A2">
        <w:trPr>
          <w:jc w:val="center"/>
        </w:trPr>
        <w:tc>
          <w:tcPr>
            <w:tcW w:w="4876" w:type="dxa"/>
            <w:tcBorders>
              <w:top w:val="nil"/>
              <w:left w:val="nil"/>
              <w:bottom w:val="nil"/>
              <w:right w:val="nil"/>
            </w:tcBorders>
          </w:tcPr>
          <w:p w14:paraId="6598C1F4" w14:textId="77777777" w:rsidR="004D2B5D" w:rsidRPr="00087644" w:rsidRDefault="004D2B5D" w:rsidP="00D063A2">
            <w:pPr>
              <w:pStyle w:val="Normal6a"/>
            </w:pPr>
          </w:p>
        </w:tc>
        <w:tc>
          <w:tcPr>
            <w:tcW w:w="4876" w:type="dxa"/>
            <w:tcBorders>
              <w:top w:val="nil"/>
              <w:left w:val="nil"/>
              <w:bottom w:val="nil"/>
              <w:right w:val="nil"/>
            </w:tcBorders>
            <w:hideMark/>
          </w:tcPr>
          <w:p w14:paraId="30558A54" w14:textId="77777777" w:rsidR="004D2B5D" w:rsidRPr="00087644" w:rsidRDefault="004D2B5D" w:rsidP="00D063A2">
            <w:pPr>
              <w:pStyle w:val="Normal6a"/>
            </w:pPr>
            <w:r w:rsidRPr="00087644">
              <w:rPr>
                <w:b/>
                <w:i/>
              </w:rPr>
              <w:t>«O número de telefone referido no primeiro parágrafo, alínea a), pode ser omitido do rótulo se o número de telefone estiver diretamente disponível através do contacto digital.»</w:t>
            </w:r>
          </w:p>
        </w:tc>
      </w:tr>
    </w:tbl>
    <w:p w14:paraId="483A734B" w14:textId="77777777" w:rsidR="004D2B5D" w:rsidRPr="00087644" w:rsidRDefault="004D2B5D" w:rsidP="004D2B5D"/>
    <w:p w14:paraId="0565E0B6" w14:textId="77777777" w:rsidR="004D2B5D" w:rsidRPr="00087644" w:rsidRDefault="004D2B5D" w:rsidP="004D2B5D">
      <w:pPr>
        <w:pStyle w:val="AmNumberTabs"/>
      </w:pPr>
      <w:r w:rsidRPr="00087644">
        <w:t>Alteração</w:t>
      </w:r>
      <w:r w:rsidRPr="00087644">
        <w:tab/>
      </w:r>
      <w:r w:rsidRPr="00087644">
        <w:tab/>
        <w:t>38</w:t>
      </w:r>
    </w:p>
    <w:p w14:paraId="306A5F24" w14:textId="77777777" w:rsidR="004D2B5D" w:rsidRPr="00087644" w:rsidRDefault="004D2B5D" w:rsidP="004D2B5D">
      <w:pPr>
        <w:pStyle w:val="NormalBold"/>
      </w:pPr>
      <w:r w:rsidRPr="00087644">
        <w:t>Proposta de regulamento</w:t>
      </w:r>
    </w:p>
    <w:p w14:paraId="7BD0A451" w14:textId="77777777" w:rsidR="004D2B5D" w:rsidRPr="00087644" w:rsidRDefault="004D2B5D" w:rsidP="004D2B5D">
      <w:pPr>
        <w:pStyle w:val="NormalBold"/>
      </w:pPr>
      <w:r w:rsidRPr="00087644">
        <w:t>Artigo 1 – parágrafo 1 – ponto 3</w:t>
      </w:r>
    </w:p>
    <w:p w14:paraId="0E3CB921" w14:textId="77777777" w:rsidR="004D2B5D" w:rsidRPr="00087644" w:rsidRDefault="004D2B5D" w:rsidP="004D2B5D">
      <w:r w:rsidRPr="00087644">
        <w:t>Regulamento (CE) n.º 1272/2008</w:t>
      </w:r>
    </w:p>
    <w:p w14:paraId="4A96EAA6" w14:textId="77777777" w:rsidR="004D2B5D" w:rsidRPr="00087644" w:rsidRDefault="004D2B5D" w:rsidP="004D2B5D">
      <w:r w:rsidRPr="00087644">
        <w:t>Artigo 25 – n.º 6 – parágrafo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22C247B1" w14:textId="77777777" w:rsidTr="00D063A2">
        <w:trPr>
          <w:trHeight w:val="240"/>
          <w:jc w:val="center"/>
        </w:trPr>
        <w:tc>
          <w:tcPr>
            <w:tcW w:w="9752" w:type="dxa"/>
            <w:gridSpan w:val="2"/>
            <w:tcBorders>
              <w:top w:val="nil"/>
              <w:left w:val="nil"/>
              <w:bottom w:val="nil"/>
              <w:right w:val="nil"/>
            </w:tcBorders>
          </w:tcPr>
          <w:p w14:paraId="1AB4BCF8" w14:textId="77777777" w:rsidR="004D2B5D" w:rsidRPr="00087644" w:rsidRDefault="004D2B5D" w:rsidP="00D063A2"/>
        </w:tc>
      </w:tr>
      <w:tr w:rsidR="004D2B5D" w:rsidRPr="00087644" w14:paraId="7D9E0CF6" w14:textId="77777777" w:rsidTr="00D063A2">
        <w:trPr>
          <w:trHeight w:val="240"/>
          <w:jc w:val="center"/>
        </w:trPr>
        <w:tc>
          <w:tcPr>
            <w:tcW w:w="4876" w:type="dxa"/>
            <w:tcBorders>
              <w:top w:val="nil"/>
              <w:left w:val="nil"/>
              <w:bottom w:val="nil"/>
              <w:right w:val="nil"/>
            </w:tcBorders>
            <w:hideMark/>
          </w:tcPr>
          <w:p w14:paraId="124523BA"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0178428F" w14:textId="77777777" w:rsidR="004D2B5D" w:rsidRPr="00087644" w:rsidRDefault="004D2B5D" w:rsidP="00D063A2">
            <w:pPr>
              <w:pStyle w:val="AmColumnHeading"/>
            </w:pPr>
            <w:r w:rsidRPr="00087644">
              <w:t>Alteração</w:t>
            </w:r>
          </w:p>
        </w:tc>
      </w:tr>
      <w:tr w:rsidR="004D2B5D" w:rsidRPr="00087644" w14:paraId="0BBD018E" w14:textId="77777777" w:rsidTr="00D063A2">
        <w:trPr>
          <w:jc w:val="center"/>
        </w:trPr>
        <w:tc>
          <w:tcPr>
            <w:tcW w:w="4876" w:type="dxa"/>
            <w:tcBorders>
              <w:top w:val="nil"/>
              <w:left w:val="nil"/>
              <w:bottom w:val="nil"/>
              <w:right w:val="nil"/>
            </w:tcBorders>
            <w:hideMark/>
          </w:tcPr>
          <w:p w14:paraId="33642F3B" w14:textId="77777777" w:rsidR="004D2B5D" w:rsidRPr="00087644" w:rsidRDefault="004D2B5D" w:rsidP="00D063A2">
            <w:pPr>
              <w:pStyle w:val="Normal6a"/>
            </w:pPr>
            <w:r w:rsidRPr="00087644">
              <w:t xml:space="preserve">«O rótulo deve incluir ainda o identificador do produto referido no artigo 18.º e o nome, endereço </w:t>
            </w:r>
            <w:r w:rsidRPr="00087644">
              <w:rPr>
                <w:b/>
                <w:i/>
              </w:rPr>
              <w:t>e</w:t>
            </w:r>
            <w:r w:rsidRPr="00087644">
              <w:t xml:space="preserve"> contacto digital do fornecedor da mistura.</w:t>
            </w:r>
            <w:r w:rsidRPr="00087644">
              <w:rPr>
                <w:b/>
                <w:i/>
              </w:rPr>
              <w:t>»</w:t>
            </w:r>
            <w:r w:rsidRPr="00087644">
              <w:t>;</w:t>
            </w:r>
          </w:p>
        </w:tc>
        <w:tc>
          <w:tcPr>
            <w:tcW w:w="4876" w:type="dxa"/>
            <w:tcBorders>
              <w:top w:val="nil"/>
              <w:left w:val="nil"/>
              <w:bottom w:val="nil"/>
              <w:right w:val="nil"/>
            </w:tcBorders>
            <w:hideMark/>
          </w:tcPr>
          <w:p w14:paraId="2574C52C" w14:textId="77777777" w:rsidR="004D2B5D" w:rsidRPr="00087644" w:rsidRDefault="004D2B5D" w:rsidP="00D063A2">
            <w:pPr>
              <w:pStyle w:val="Normal6a"/>
            </w:pPr>
            <w:r w:rsidRPr="00087644">
              <w:t>«O rótulo deve incluir ainda o identificador do produto referido no artigo 18.º e o nome, endereço</w:t>
            </w:r>
            <w:r w:rsidRPr="00087644">
              <w:rPr>
                <w:b/>
                <w:i/>
              </w:rPr>
              <w:t>,</w:t>
            </w:r>
            <w:r w:rsidRPr="00087644">
              <w:t xml:space="preserve"> contacto digital do</w:t>
            </w:r>
            <w:r w:rsidRPr="00087644">
              <w:rPr>
                <w:b/>
                <w:i/>
              </w:rPr>
              <w:t>(s)</w:t>
            </w:r>
            <w:r w:rsidRPr="00087644">
              <w:t xml:space="preserve"> fornecedor</w:t>
            </w:r>
            <w:r w:rsidRPr="00087644">
              <w:rPr>
                <w:b/>
                <w:i/>
              </w:rPr>
              <w:t>(</w:t>
            </w:r>
            <w:proofErr w:type="spellStart"/>
            <w:r w:rsidRPr="00087644">
              <w:rPr>
                <w:b/>
                <w:i/>
              </w:rPr>
              <w:t>es</w:t>
            </w:r>
            <w:proofErr w:type="spellEnd"/>
            <w:r w:rsidRPr="00087644">
              <w:rPr>
                <w:b/>
                <w:i/>
              </w:rPr>
              <w:t>)</w:t>
            </w:r>
            <w:r w:rsidRPr="00087644">
              <w:t xml:space="preserve"> da mistura </w:t>
            </w:r>
            <w:r w:rsidRPr="00087644">
              <w:rPr>
                <w:b/>
                <w:i/>
              </w:rPr>
              <w:t>e o número de telefone, a menos que este esteja diretamente disponível através do contacto digital</w:t>
            </w:r>
            <w:r w:rsidRPr="00087644">
              <w:t xml:space="preserve">. </w:t>
            </w:r>
            <w:r w:rsidRPr="00087644">
              <w:rPr>
                <w:b/>
                <w:i/>
              </w:rPr>
              <w:t>Sem prejuízo do prazo estabelecido no artigo 61.º, n.º 8, a inclusão ou alteração do contacto digital pode ser acrescentada ou atualizada em qualquer momento ou durante os ciclos regulares de atualização dos rótulos pelo fornecedor</w:t>
            </w:r>
            <w:r w:rsidRPr="00087644">
              <w:t>;</w:t>
            </w:r>
          </w:p>
        </w:tc>
      </w:tr>
    </w:tbl>
    <w:p w14:paraId="6CF14C85" w14:textId="77777777" w:rsidR="004D2B5D" w:rsidRPr="00087644" w:rsidRDefault="004D2B5D" w:rsidP="004D2B5D"/>
    <w:p w14:paraId="00118368" w14:textId="77777777" w:rsidR="004D2B5D" w:rsidRPr="00087644" w:rsidRDefault="004D2B5D" w:rsidP="004D2B5D">
      <w:pPr>
        <w:pStyle w:val="AmNumberTabs"/>
      </w:pPr>
      <w:r w:rsidRPr="00087644">
        <w:t>Alteração</w:t>
      </w:r>
      <w:r w:rsidRPr="00087644">
        <w:tab/>
      </w:r>
      <w:r w:rsidRPr="00087644">
        <w:tab/>
        <w:t>39</w:t>
      </w:r>
    </w:p>
    <w:p w14:paraId="3AEACE46" w14:textId="77777777" w:rsidR="004D2B5D" w:rsidRPr="00087644" w:rsidRDefault="004D2B5D" w:rsidP="004D2B5D">
      <w:pPr>
        <w:pStyle w:val="NormalBold"/>
      </w:pPr>
      <w:r w:rsidRPr="00087644">
        <w:t>Proposta de regulamento</w:t>
      </w:r>
    </w:p>
    <w:p w14:paraId="5CF834B0" w14:textId="77777777" w:rsidR="004D2B5D" w:rsidRPr="00087644" w:rsidRDefault="004D2B5D" w:rsidP="004D2B5D">
      <w:pPr>
        <w:pStyle w:val="NormalBold"/>
      </w:pPr>
      <w:r w:rsidRPr="00087644">
        <w:t>Artigo 1 – parágrafo 1 – ponto 4 – parte introdutória</w:t>
      </w:r>
    </w:p>
    <w:p w14:paraId="390A2293" w14:textId="77777777" w:rsidR="004D2B5D" w:rsidRPr="00087644" w:rsidRDefault="004D2B5D" w:rsidP="004D2B5D">
      <w:r w:rsidRPr="00087644">
        <w:t>Regulamento (CE) n.º 1272/2008</w:t>
      </w:r>
    </w:p>
    <w:p w14:paraId="54DD24B0" w14:textId="77777777" w:rsidR="004D2B5D" w:rsidRPr="00087644" w:rsidRDefault="004D2B5D" w:rsidP="004D2B5D">
      <w:r w:rsidRPr="00087644">
        <w:t>Artigo 29 – n.º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0CBC5578" w14:textId="77777777" w:rsidTr="00D063A2">
        <w:trPr>
          <w:trHeight w:val="240"/>
          <w:jc w:val="center"/>
        </w:trPr>
        <w:tc>
          <w:tcPr>
            <w:tcW w:w="9752" w:type="dxa"/>
            <w:gridSpan w:val="2"/>
            <w:tcBorders>
              <w:top w:val="nil"/>
              <w:left w:val="nil"/>
              <w:bottom w:val="nil"/>
              <w:right w:val="nil"/>
            </w:tcBorders>
          </w:tcPr>
          <w:p w14:paraId="42D5521F" w14:textId="77777777" w:rsidR="004D2B5D" w:rsidRPr="00087644" w:rsidRDefault="004D2B5D" w:rsidP="00D063A2"/>
        </w:tc>
      </w:tr>
      <w:tr w:rsidR="004D2B5D" w:rsidRPr="00087644" w14:paraId="4794AA90" w14:textId="77777777" w:rsidTr="00D063A2">
        <w:trPr>
          <w:trHeight w:val="240"/>
          <w:jc w:val="center"/>
        </w:trPr>
        <w:tc>
          <w:tcPr>
            <w:tcW w:w="4876" w:type="dxa"/>
            <w:tcBorders>
              <w:top w:val="nil"/>
              <w:left w:val="nil"/>
              <w:bottom w:val="nil"/>
              <w:right w:val="nil"/>
            </w:tcBorders>
            <w:hideMark/>
          </w:tcPr>
          <w:p w14:paraId="302786C8"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776A643F" w14:textId="77777777" w:rsidR="004D2B5D" w:rsidRPr="00087644" w:rsidRDefault="004D2B5D" w:rsidP="00D063A2">
            <w:pPr>
              <w:pStyle w:val="AmColumnHeading"/>
            </w:pPr>
            <w:r w:rsidRPr="00087644">
              <w:t>Alteração</w:t>
            </w:r>
          </w:p>
        </w:tc>
      </w:tr>
      <w:tr w:rsidR="004D2B5D" w:rsidRPr="00087644" w14:paraId="5AC38F29" w14:textId="77777777" w:rsidTr="00D063A2">
        <w:trPr>
          <w:jc w:val="center"/>
        </w:trPr>
        <w:tc>
          <w:tcPr>
            <w:tcW w:w="4876" w:type="dxa"/>
            <w:tcBorders>
              <w:top w:val="nil"/>
              <w:left w:val="nil"/>
              <w:bottom w:val="nil"/>
              <w:right w:val="nil"/>
            </w:tcBorders>
          </w:tcPr>
          <w:p w14:paraId="2D6042E3" w14:textId="77777777" w:rsidR="004D2B5D" w:rsidRPr="00087644" w:rsidRDefault="004D2B5D" w:rsidP="00D063A2">
            <w:pPr>
              <w:pStyle w:val="Normal6a"/>
            </w:pPr>
            <w:r w:rsidRPr="00087644">
              <w:t>(4)</w:t>
            </w:r>
            <w:r w:rsidRPr="00087644">
              <w:tab/>
              <w:t xml:space="preserve">No artigo 29.º, </w:t>
            </w:r>
            <w:r w:rsidRPr="00087644">
              <w:rPr>
                <w:b/>
                <w:i/>
              </w:rPr>
              <w:t>o</w:t>
            </w:r>
            <w:r w:rsidRPr="00087644">
              <w:t> n.</w:t>
            </w:r>
            <w:r w:rsidRPr="00087644">
              <w:rPr>
                <w:b/>
                <w:i/>
              </w:rPr>
              <w:t>º</w:t>
            </w:r>
            <w:r w:rsidRPr="00087644">
              <w:t xml:space="preserve"> 2 </w:t>
            </w:r>
            <w:r w:rsidRPr="00087644">
              <w:rPr>
                <w:b/>
                <w:i/>
              </w:rPr>
              <w:t>passa</w:t>
            </w:r>
            <w:r w:rsidRPr="00087644">
              <w:t xml:space="preserve"> a ter a seguinte redação:</w:t>
            </w:r>
          </w:p>
        </w:tc>
        <w:tc>
          <w:tcPr>
            <w:tcW w:w="4876" w:type="dxa"/>
            <w:tcBorders>
              <w:top w:val="nil"/>
              <w:left w:val="nil"/>
              <w:bottom w:val="nil"/>
              <w:right w:val="nil"/>
            </w:tcBorders>
          </w:tcPr>
          <w:p w14:paraId="60F2B982" w14:textId="77777777" w:rsidR="004D2B5D" w:rsidRPr="00087644" w:rsidRDefault="004D2B5D" w:rsidP="00D063A2">
            <w:pPr>
              <w:pStyle w:val="Normal6a"/>
            </w:pPr>
            <w:r w:rsidRPr="00087644">
              <w:t>(4)</w:t>
            </w:r>
            <w:r w:rsidRPr="00087644">
              <w:tab/>
              <w:t xml:space="preserve">No artigo 29.º, </w:t>
            </w:r>
            <w:r w:rsidRPr="00087644">
              <w:rPr>
                <w:b/>
                <w:i/>
              </w:rPr>
              <w:t>os</w:t>
            </w:r>
            <w:r w:rsidRPr="00087644">
              <w:t xml:space="preserve"> n.</w:t>
            </w:r>
            <w:r w:rsidRPr="00087644">
              <w:rPr>
                <w:b/>
                <w:i/>
                <w:vertAlign w:val="superscript"/>
              </w:rPr>
              <w:t>os</w:t>
            </w:r>
            <w:r w:rsidRPr="00087644">
              <w:rPr>
                <w:b/>
                <w:i/>
              </w:rPr>
              <w:t xml:space="preserve"> 1 e</w:t>
            </w:r>
            <w:r w:rsidRPr="00087644">
              <w:t xml:space="preserve"> 2 </w:t>
            </w:r>
            <w:r w:rsidRPr="00087644">
              <w:rPr>
                <w:b/>
                <w:i/>
              </w:rPr>
              <w:t>passam</w:t>
            </w:r>
            <w:r w:rsidRPr="00087644">
              <w:t xml:space="preserve"> a ter a seguinte redação:</w:t>
            </w:r>
          </w:p>
        </w:tc>
      </w:tr>
      <w:tr w:rsidR="004D2B5D" w:rsidRPr="00087644" w14:paraId="582483B8" w14:textId="77777777" w:rsidTr="00D063A2">
        <w:trPr>
          <w:jc w:val="center"/>
        </w:trPr>
        <w:tc>
          <w:tcPr>
            <w:tcW w:w="4876" w:type="dxa"/>
            <w:tcBorders>
              <w:top w:val="nil"/>
              <w:left w:val="nil"/>
              <w:bottom w:val="nil"/>
              <w:right w:val="nil"/>
            </w:tcBorders>
            <w:hideMark/>
          </w:tcPr>
          <w:p w14:paraId="1B57F70E" w14:textId="77777777" w:rsidR="004D2B5D" w:rsidRPr="00087644" w:rsidRDefault="004D2B5D" w:rsidP="00D063A2">
            <w:pPr>
              <w:pStyle w:val="Normal6a"/>
            </w:pPr>
            <w:r w:rsidRPr="00087644">
              <w:t>1.</w:t>
            </w:r>
            <w:r w:rsidRPr="00087644">
              <w:tab/>
              <w:t xml:space="preserve">Quando a forma, a apresentação ou a pequena dimensão da embalagem de uma substância ou mistura torne impossível cumprir os requisitos </w:t>
            </w:r>
            <w:r w:rsidRPr="00087644">
              <w:rPr>
                <w:b/>
                <w:i/>
              </w:rPr>
              <w:t>do</w:t>
            </w:r>
            <w:r w:rsidRPr="00087644">
              <w:t xml:space="preserve"> artigo 31.º para um rótulo nas línguas do Estado</w:t>
            </w:r>
            <w:r w:rsidRPr="00087644">
              <w:noBreakHyphen/>
              <w:t>Membro em que a substância ou mistura é colocada no mercado, os elementos do rótulo</w:t>
            </w:r>
            <w:r w:rsidRPr="00087644">
              <w:rPr>
                <w:b/>
                <w:i/>
              </w:rPr>
              <w:t>, nos termos do primeiro parágrafo do</w:t>
            </w:r>
            <w:r w:rsidRPr="00087644">
              <w:t xml:space="preserve"> n.º </w:t>
            </w:r>
            <w:r w:rsidRPr="00087644">
              <w:rPr>
                <w:b/>
                <w:i/>
              </w:rPr>
              <w:t>2 do artigo 17.º</w:t>
            </w:r>
            <w:r w:rsidRPr="00087644">
              <w:t>, são fornecidos de acordo com o ponto 1.5.1 do anexo I.</w:t>
            </w:r>
          </w:p>
        </w:tc>
        <w:tc>
          <w:tcPr>
            <w:tcW w:w="4876" w:type="dxa"/>
            <w:tcBorders>
              <w:top w:val="nil"/>
              <w:left w:val="nil"/>
              <w:bottom w:val="nil"/>
              <w:right w:val="nil"/>
            </w:tcBorders>
            <w:hideMark/>
          </w:tcPr>
          <w:p w14:paraId="18ADA1CA" w14:textId="1BFB700A" w:rsidR="004D2B5D" w:rsidRPr="00087644" w:rsidRDefault="004D2B5D" w:rsidP="00D063A2">
            <w:pPr>
              <w:pStyle w:val="Normal6a"/>
            </w:pPr>
            <w:r w:rsidRPr="00087644">
              <w:rPr>
                <w:b/>
                <w:i/>
              </w:rPr>
              <w:t>«</w:t>
            </w:r>
            <w:r w:rsidRPr="00087644">
              <w:t>1.</w:t>
            </w:r>
            <w:r w:rsidRPr="00087644">
              <w:tab/>
              <w:t xml:space="preserve">Quando a forma, a apresentação ou a pequena dimensão da embalagem de uma substância ou mistura torne impossível cumprir os requisitos </w:t>
            </w:r>
            <w:r w:rsidRPr="00087644">
              <w:rPr>
                <w:b/>
                <w:i/>
              </w:rPr>
              <w:t>previstos no</w:t>
            </w:r>
            <w:r w:rsidRPr="00087644">
              <w:t xml:space="preserve"> artigo 31.º para um rótulo nas línguas do Estado</w:t>
            </w:r>
            <w:r w:rsidRPr="00087644">
              <w:noBreakHyphen/>
              <w:t xml:space="preserve">Membro em que a substância ou mistura é colocada no mercado, os elementos do rótulo </w:t>
            </w:r>
            <w:r w:rsidRPr="00087644">
              <w:rPr>
                <w:b/>
                <w:i/>
              </w:rPr>
              <w:t>previstos no artigo 17.º,</w:t>
            </w:r>
            <w:r w:rsidRPr="00087644">
              <w:t xml:space="preserve"> n.º </w:t>
            </w:r>
            <w:r w:rsidRPr="00087644">
              <w:rPr>
                <w:b/>
                <w:i/>
              </w:rPr>
              <w:t>1</w:t>
            </w:r>
            <w:r w:rsidRPr="00087644">
              <w:t>, são fornecidos de acordo com o ponto 1.5.1 do anexo I.</w:t>
            </w:r>
            <w:r w:rsidRPr="00087644">
              <w:rPr>
                <w:b/>
                <w:i/>
              </w:rPr>
              <w:t>»</w:t>
            </w:r>
            <w:r w:rsidR="004D718A" w:rsidRPr="00087644">
              <w:rPr>
                <w:b/>
                <w:i/>
              </w:rPr>
              <w:t>;</w:t>
            </w:r>
          </w:p>
        </w:tc>
      </w:tr>
    </w:tbl>
    <w:p w14:paraId="0BDE12AC" w14:textId="77777777" w:rsidR="004D2B5D" w:rsidRPr="00087644" w:rsidRDefault="004D2B5D" w:rsidP="004D2B5D"/>
    <w:p w14:paraId="617F0861" w14:textId="77777777" w:rsidR="004D2B5D" w:rsidRPr="00087644" w:rsidRDefault="004D2B5D" w:rsidP="004D2B5D">
      <w:pPr>
        <w:pStyle w:val="AmNumberTabs"/>
      </w:pPr>
      <w:r w:rsidRPr="00087644">
        <w:t>Alteração</w:t>
      </w:r>
      <w:r w:rsidRPr="00087644">
        <w:tab/>
      </w:r>
      <w:r w:rsidRPr="00087644">
        <w:tab/>
        <w:t>40</w:t>
      </w:r>
    </w:p>
    <w:p w14:paraId="61715E68" w14:textId="77777777" w:rsidR="004D2B5D" w:rsidRPr="00087644" w:rsidRDefault="004D2B5D" w:rsidP="004D2B5D">
      <w:pPr>
        <w:pStyle w:val="NormalBold"/>
      </w:pPr>
      <w:r w:rsidRPr="00087644">
        <w:t>Proposta de regulamento</w:t>
      </w:r>
    </w:p>
    <w:p w14:paraId="553FAE92" w14:textId="77777777" w:rsidR="004D2B5D" w:rsidRPr="00087644" w:rsidRDefault="004D2B5D" w:rsidP="004D2B5D">
      <w:pPr>
        <w:pStyle w:val="NormalBold"/>
      </w:pPr>
      <w:r w:rsidRPr="00087644">
        <w:t>Artigo 1 – parágrafo 1 – ponto 4</w:t>
      </w:r>
    </w:p>
    <w:p w14:paraId="0718FB5F" w14:textId="77777777" w:rsidR="004D2B5D" w:rsidRPr="00087644" w:rsidRDefault="004D2B5D" w:rsidP="004D2B5D">
      <w:r w:rsidRPr="00087644">
        <w:t>Regulamento (CE) n.º 1272/2008</w:t>
      </w:r>
    </w:p>
    <w:p w14:paraId="6470274D" w14:textId="77777777" w:rsidR="004D2B5D" w:rsidRPr="00087644" w:rsidRDefault="004D2B5D" w:rsidP="004D2B5D">
      <w:r w:rsidRPr="00087644">
        <w:t>Artigo 29 – n.º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59089461" w14:textId="77777777" w:rsidTr="00D063A2">
        <w:trPr>
          <w:trHeight w:val="240"/>
          <w:jc w:val="center"/>
        </w:trPr>
        <w:tc>
          <w:tcPr>
            <w:tcW w:w="9752" w:type="dxa"/>
            <w:gridSpan w:val="2"/>
            <w:tcBorders>
              <w:top w:val="nil"/>
              <w:left w:val="nil"/>
              <w:bottom w:val="nil"/>
              <w:right w:val="nil"/>
            </w:tcBorders>
          </w:tcPr>
          <w:p w14:paraId="3DA0B33A" w14:textId="77777777" w:rsidR="004D2B5D" w:rsidRPr="00087644" w:rsidRDefault="004D2B5D" w:rsidP="00D063A2"/>
        </w:tc>
      </w:tr>
      <w:tr w:rsidR="004D2B5D" w:rsidRPr="00087644" w14:paraId="613773D7" w14:textId="77777777" w:rsidTr="00D063A2">
        <w:trPr>
          <w:trHeight w:val="240"/>
          <w:jc w:val="center"/>
        </w:trPr>
        <w:tc>
          <w:tcPr>
            <w:tcW w:w="4876" w:type="dxa"/>
            <w:tcBorders>
              <w:top w:val="nil"/>
              <w:left w:val="nil"/>
              <w:bottom w:val="nil"/>
              <w:right w:val="nil"/>
            </w:tcBorders>
            <w:hideMark/>
          </w:tcPr>
          <w:p w14:paraId="3931450D"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3232C835" w14:textId="77777777" w:rsidR="004D2B5D" w:rsidRPr="00087644" w:rsidRDefault="004D2B5D" w:rsidP="00D063A2">
            <w:pPr>
              <w:pStyle w:val="AmColumnHeading"/>
            </w:pPr>
            <w:r w:rsidRPr="00087644">
              <w:t>Alteração</w:t>
            </w:r>
          </w:p>
        </w:tc>
      </w:tr>
      <w:tr w:rsidR="004D2B5D" w:rsidRPr="00087644" w14:paraId="2BF05D19" w14:textId="77777777" w:rsidTr="00D063A2">
        <w:trPr>
          <w:jc w:val="center"/>
        </w:trPr>
        <w:tc>
          <w:tcPr>
            <w:tcW w:w="4876" w:type="dxa"/>
            <w:tcBorders>
              <w:top w:val="nil"/>
              <w:left w:val="nil"/>
              <w:bottom w:val="nil"/>
              <w:right w:val="nil"/>
            </w:tcBorders>
            <w:hideMark/>
          </w:tcPr>
          <w:p w14:paraId="2763F019" w14:textId="77777777" w:rsidR="004D2B5D" w:rsidRPr="00087644" w:rsidRDefault="004D2B5D" w:rsidP="00D063A2">
            <w:pPr>
              <w:pStyle w:val="Normal6a"/>
            </w:pPr>
            <w:r w:rsidRPr="00087644">
              <w:t>2.</w:t>
            </w:r>
            <w:r w:rsidRPr="00087644">
              <w:tab/>
              <w:t>Os elementos do rótulo previstos no artigo 17.º, n.º 1, podem ser reduzidos em conformidade com as regras estabelecidas no ponto 1.5.2 do anexo I.»;</w:t>
            </w:r>
          </w:p>
        </w:tc>
        <w:tc>
          <w:tcPr>
            <w:tcW w:w="4876" w:type="dxa"/>
            <w:tcBorders>
              <w:top w:val="nil"/>
              <w:left w:val="nil"/>
              <w:bottom w:val="nil"/>
              <w:right w:val="nil"/>
            </w:tcBorders>
            <w:hideMark/>
          </w:tcPr>
          <w:p w14:paraId="3FFEC5A0" w14:textId="7A460699" w:rsidR="004D2B5D" w:rsidRPr="00087644" w:rsidRDefault="00237FB3" w:rsidP="00D063A2">
            <w:pPr>
              <w:pStyle w:val="Normal6a"/>
            </w:pPr>
            <w:r w:rsidRPr="00087644">
              <w:t>«</w:t>
            </w:r>
            <w:r w:rsidR="004D2B5D" w:rsidRPr="00087644">
              <w:t>2.</w:t>
            </w:r>
            <w:r w:rsidR="004D2B5D" w:rsidRPr="00087644">
              <w:tab/>
              <w:t xml:space="preserve">Os elementos do rótulo previstos no artigo 17.º, n.º 1, podem ser reduzidos em conformidade com as regras estabelecidas no ponto 1.5.2 do anexo I </w:t>
            </w:r>
            <w:r w:rsidR="004D2B5D" w:rsidRPr="00087644">
              <w:rPr>
                <w:b/>
                <w:i/>
              </w:rPr>
              <w:t>caso: a) o conteúdo da embalagem de uma substância ou mistura não exceda as quantidades indicadas no ponto 1.5.2 do anexo I</w:t>
            </w:r>
            <w:r w:rsidR="004D2B5D" w:rsidRPr="00087644">
              <w:t>;</w:t>
            </w:r>
            <w:r w:rsidR="004D2B5D" w:rsidRPr="00087644">
              <w:rPr>
                <w:b/>
                <w:i/>
              </w:rPr>
              <w:t xml:space="preserve"> e</w:t>
            </w:r>
            <w:r w:rsidR="004D2B5D" w:rsidRPr="00087644">
              <w:t xml:space="preserve"> </w:t>
            </w:r>
            <w:r w:rsidR="004D2B5D" w:rsidRPr="00087644">
              <w:rPr>
                <w:b/>
                <w:i/>
              </w:rPr>
              <w:t>b) a embalagem tenha uma forma ou apresentação ou seja de tal forma pequena que impossibilite a indicação de todos os elementos referidos no artigo 31.º em todas as línguas do Estado</w:t>
            </w:r>
            <w:r w:rsidR="004D2B5D" w:rsidRPr="00087644">
              <w:rPr>
                <w:b/>
                <w:i/>
              </w:rPr>
              <w:noBreakHyphen/>
              <w:t>Membro em que a substância ou mistura é colocada no mercado.»</w:t>
            </w:r>
          </w:p>
        </w:tc>
      </w:tr>
    </w:tbl>
    <w:p w14:paraId="3F3056FB" w14:textId="77777777" w:rsidR="004D2B5D" w:rsidRPr="00087644" w:rsidRDefault="004D2B5D" w:rsidP="004D2B5D"/>
    <w:p w14:paraId="3C85BF4A" w14:textId="77777777" w:rsidR="004D2B5D" w:rsidRPr="00087644" w:rsidRDefault="004D2B5D" w:rsidP="004D2B5D">
      <w:pPr>
        <w:pStyle w:val="AmNumberTabs"/>
      </w:pPr>
      <w:r w:rsidRPr="00087644">
        <w:t>Alteração</w:t>
      </w:r>
      <w:r w:rsidRPr="00087644">
        <w:tab/>
      </w:r>
      <w:r w:rsidRPr="00087644">
        <w:tab/>
        <w:t>41</w:t>
      </w:r>
    </w:p>
    <w:p w14:paraId="72084722" w14:textId="77777777" w:rsidR="004D2B5D" w:rsidRPr="00087644" w:rsidRDefault="004D2B5D" w:rsidP="004D2B5D">
      <w:pPr>
        <w:pStyle w:val="NormalBold"/>
      </w:pPr>
      <w:r w:rsidRPr="00087644">
        <w:t>Proposta de regulamento</w:t>
      </w:r>
    </w:p>
    <w:p w14:paraId="429DC79B" w14:textId="77777777" w:rsidR="004D2B5D" w:rsidRPr="00087644" w:rsidRDefault="004D2B5D" w:rsidP="004D2B5D">
      <w:pPr>
        <w:pStyle w:val="NormalBold"/>
      </w:pPr>
      <w:r w:rsidRPr="00087644">
        <w:t>Artigo 1 – parágrafo 1 – ponto 4</w:t>
      </w:r>
      <w:r w:rsidRPr="00087644">
        <w:noBreakHyphen/>
        <w:t>A (novo)</w:t>
      </w:r>
    </w:p>
    <w:p w14:paraId="39FF60A6" w14:textId="77777777" w:rsidR="004D2B5D" w:rsidRPr="00087644" w:rsidRDefault="004D2B5D" w:rsidP="004D2B5D">
      <w:r w:rsidRPr="00087644">
        <w:t>Regulamento (CE) n.º 1272/2008</w:t>
      </w:r>
    </w:p>
    <w:p w14:paraId="152B83E5" w14:textId="77777777" w:rsidR="004D2B5D" w:rsidRPr="00087644" w:rsidRDefault="004D2B5D" w:rsidP="004D2B5D">
      <w:r w:rsidRPr="00087644">
        <w:t>Artigo 29 – n.º 2</w:t>
      </w:r>
      <w:r w:rsidRPr="00087644">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70C80B65" w14:textId="77777777" w:rsidTr="00D063A2">
        <w:trPr>
          <w:trHeight w:val="240"/>
          <w:jc w:val="center"/>
        </w:trPr>
        <w:tc>
          <w:tcPr>
            <w:tcW w:w="9752" w:type="dxa"/>
            <w:gridSpan w:val="2"/>
            <w:tcBorders>
              <w:top w:val="nil"/>
              <w:left w:val="nil"/>
              <w:bottom w:val="nil"/>
              <w:right w:val="nil"/>
            </w:tcBorders>
          </w:tcPr>
          <w:p w14:paraId="416F9586" w14:textId="77777777" w:rsidR="004D2B5D" w:rsidRPr="00087644" w:rsidRDefault="004D2B5D" w:rsidP="00D063A2"/>
        </w:tc>
      </w:tr>
      <w:tr w:rsidR="004D2B5D" w:rsidRPr="00087644" w14:paraId="277215EB" w14:textId="77777777" w:rsidTr="00D063A2">
        <w:trPr>
          <w:trHeight w:val="240"/>
          <w:jc w:val="center"/>
        </w:trPr>
        <w:tc>
          <w:tcPr>
            <w:tcW w:w="4876" w:type="dxa"/>
            <w:tcBorders>
              <w:top w:val="nil"/>
              <w:left w:val="nil"/>
              <w:bottom w:val="nil"/>
              <w:right w:val="nil"/>
            </w:tcBorders>
            <w:hideMark/>
          </w:tcPr>
          <w:p w14:paraId="456A1A1A"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12782D64" w14:textId="77777777" w:rsidR="004D2B5D" w:rsidRPr="00087644" w:rsidRDefault="004D2B5D" w:rsidP="00D063A2">
            <w:pPr>
              <w:pStyle w:val="AmColumnHeading"/>
            </w:pPr>
            <w:r w:rsidRPr="00087644">
              <w:t>Alteração</w:t>
            </w:r>
          </w:p>
        </w:tc>
      </w:tr>
      <w:tr w:rsidR="004D2B5D" w:rsidRPr="00087644" w14:paraId="5D3D2B1B" w14:textId="77777777" w:rsidTr="00D063A2">
        <w:trPr>
          <w:jc w:val="center"/>
        </w:trPr>
        <w:tc>
          <w:tcPr>
            <w:tcW w:w="4876" w:type="dxa"/>
            <w:tcBorders>
              <w:top w:val="nil"/>
              <w:left w:val="nil"/>
              <w:bottom w:val="nil"/>
              <w:right w:val="nil"/>
            </w:tcBorders>
          </w:tcPr>
          <w:p w14:paraId="5EBFA1E0" w14:textId="77777777" w:rsidR="004D2B5D" w:rsidRPr="00087644" w:rsidRDefault="004D2B5D" w:rsidP="00D063A2">
            <w:pPr>
              <w:pStyle w:val="Normal6a"/>
            </w:pPr>
          </w:p>
        </w:tc>
        <w:tc>
          <w:tcPr>
            <w:tcW w:w="4876" w:type="dxa"/>
            <w:tcBorders>
              <w:top w:val="nil"/>
              <w:left w:val="nil"/>
              <w:bottom w:val="nil"/>
              <w:right w:val="nil"/>
            </w:tcBorders>
            <w:hideMark/>
          </w:tcPr>
          <w:p w14:paraId="78B1EF7B" w14:textId="77777777" w:rsidR="004D2B5D" w:rsidRPr="00087644" w:rsidRDefault="004D2B5D" w:rsidP="00D063A2">
            <w:pPr>
              <w:pStyle w:val="Normal6a"/>
            </w:pPr>
            <w:r w:rsidRPr="00087644">
              <w:rPr>
                <w:b/>
                <w:i/>
              </w:rPr>
              <w:t>(4</w:t>
            </w:r>
            <w:r w:rsidRPr="00087644">
              <w:rPr>
                <w:b/>
                <w:i/>
              </w:rPr>
              <w:noBreakHyphen/>
              <w:t>A)</w:t>
            </w:r>
            <w:r w:rsidRPr="00087644">
              <w:tab/>
            </w:r>
            <w:r w:rsidRPr="00087644">
              <w:rPr>
                <w:b/>
                <w:i/>
              </w:rPr>
              <w:t>No artigo 29.º, é inserido o seguinte parágrafo:</w:t>
            </w:r>
          </w:p>
        </w:tc>
      </w:tr>
      <w:tr w:rsidR="004D2B5D" w:rsidRPr="00087644" w14:paraId="79990948" w14:textId="77777777" w:rsidTr="00D063A2">
        <w:trPr>
          <w:jc w:val="center"/>
        </w:trPr>
        <w:tc>
          <w:tcPr>
            <w:tcW w:w="4876" w:type="dxa"/>
            <w:tcBorders>
              <w:top w:val="nil"/>
              <w:left w:val="nil"/>
              <w:bottom w:val="nil"/>
              <w:right w:val="nil"/>
            </w:tcBorders>
          </w:tcPr>
          <w:p w14:paraId="0EAB9A88" w14:textId="77777777" w:rsidR="004D2B5D" w:rsidRPr="00087644" w:rsidRDefault="004D2B5D" w:rsidP="00D063A2">
            <w:pPr>
              <w:pStyle w:val="Normal6a"/>
            </w:pPr>
          </w:p>
        </w:tc>
        <w:tc>
          <w:tcPr>
            <w:tcW w:w="4876" w:type="dxa"/>
            <w:tcBorders>
              <w:top w:val="nil"/>
              <w:left w:val="nil"/>
              <w:bottom w:val="nil"/>
              <w:right w:val="nil"/>
            </w:tcBorders>
            <w:hideMark/>
          </w:tcPr>
          <w:p w14:paraId="68540036" w14:textId="77777777" w:rsidR="004D2B5D" w:rsidRPr="00087644" w:rsidRDefault="004D2B5D" w:rsidP="00D063A2">
            <w:pPr>
              <w:pStyle w:val="Normal6a"/>
            </w:pPr>
            <w:r w:rsidRPr="00087644">
              <w:rPr>
                <w:b/>
                <w:i/>
              </w:rPr>
              <w:t>«2</w:t>
            </w:r>
            <w:r w:rsidRPr="00087644">
              <w:rPr>
                <w:b/>
                <w:i/>
              </w:rPr>
              <w:noBreakHyphen/>
              <w:t>A. Em derrogação do artigo 17.º, n.º 1, e do artigo 25.º, n.º 6, os elementos do rótulo dos cartuchos de tinta podem ser reduzidos em conformidade com as regras estabelecidas no ponto 1.5.2.5</w:t>
            </w:r>
            <w:r w:rsidRPr="00087644">
              <w:rPr>
                <w:b/>
                <w:i/>
              </w:rPr>
              <w:noBreakHyphen/>
              <w:t>A do anexo I. Para efeitos do presente número, entende</w:t>
            </w:r>
            <w:r w:rsidRPr="00087644">
              <w:rPr>
                <w:b/>
                <w:i/>
              </w:rPr>
              <w:noBreakHyphen/>
              <w:t>se por “cartucho de tinta” uma unidade substituível que contém tinta e que deve ser inserida numa impressora durante a impressão.»</w:t>
            </w:r>
          </w:p>
        </w:tc>
      </w:tr>
    </w:tbl>
    <w:p w14:paraId="7F05FE0C" w14:textId="77777777" w:rsidR="004D2B5D" w:rsidRPr="00087644" w:rsidRDefault="004D2B5D" w:rsidP="004D2B5D"/>
    <w:p w14:paraId="23F00BF8" w14:textId="77777777" w:rsidR="004D2B5D" w:rsidRPr="00087644" w:rsidRDefault="004D2B5D" w:rsidP="004D2B5D">
      <w:pPr>
        <w:pStyle w:val="AmNumberTabs"/>
      </w:pPr>
      <w:r w:rsidRPr="00087644">
        <w:t>Alteração</w:t>
      </w:r>
      <w:r w:rsidRPr="00087644">
        <w:tab/>
      </w:r>
      <w:r w:rsidRPr="00087644">
        <w:tab/>
        <w:t>42</w:t>
      </w:r>
    </w:p>
    <w:p w14:paraId="4B07FB71" w14:textId="77777777" w:rsidR="004D2B5D" w:rsidRPr="00087644" w:rsidRDefault="004D2B5D" w:rsidP="004D2B5D">
      <w:pPr>
        <w:pStyle w:val="NormalBold"/>
      </w:pPr>
      <w:r w:rsidRPr="00087644">
        <w:t>Proposta de regulamento</w:t>
      </w:r>
    </w:p>
    <w:p w14:paraId="0C45E96F" w14:textId="77777777" w:rsidR="004D2B5D" w:rsidRPr="00087644" w:rsidRDefault="004D2B5D" w:rsidP="004D2B5D">
      <w:pPr>
        <w:pStyle w:val="NormalBold"/>
      </w:pPr>
      <w:r w:rsidRPr="00087644">
        <w:t>Artigo 1 – parágrafo 1 – ponto 5</w:t>
      </w:r>
    </w:p>
    <w:p w14:paraId="7118F075" w14:textId="77777777" w:rsidR="004D2B5D" w:rsidRPr="00087644" w:rsidRDefault="004D2B5D" w:rsidP="004D2B5D">
      <w:r w:rsidRPr="00087644">
        <w:lastRenderedPageBreak/>
        <w:t>Regulamento (CE) n.º 1272/2008</w:t>
      </w:r>
    </w:p>
    <w:p w14:paraId="64CDADFD" w14:textId="77777777" w:rsidR="004D2B5D" w:rsidRPr="00087644" w:rsidRDefault="004D2B5D" w:rsidP="004D2B5D">
      <w:r w:rsidRPr="00087644">
        <w:t>Artigo 30 – n.º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1B6E0DA0" w14:textId="77777777" w:rsidTr="00D063A2">
        <w:trPr>
          <w:trHeight w:val="240"/>
          <w:jc w:val="center"/>
        </w:trPr>
        <w:tc>
          <w:tcPr>
            <w:tcW w:w="9752" w:type="dxa"/>
            <w:gridSpan w:val="2"/>
            <w:tcBorders>
              <w:top w:val="nil"/>
              <w:left w:val="nil"/>
              <w:bottom w:val="nil"/>
              <w:right w:val="nil"/>
            </w:tcBorders>
          </w:tcPr>
          <w:p w14:paraId="4198BBEB" w14:textId="77777777" w:rsidR="004D2B5D" w:rsidRPr="00087644" w:rsidRDefault="004D2B5D" w:rsidP="00D063A2"/>
        </w:tc>
      </w:tr>
      <w:tr w:rsidR="004D2B5D" w:rsidRPr="00087644" w14:paraId="525B80F3" w14:textId="77777777" w:rsidTr="00D063A2">
        <w:trPr>
          <w:trHeight w:val="240"/>
          <w:jc w:val="center"/>
        </w:trPr>
        <w:tc>
          <w:tcPr>
            <w:tcW w:w="4876" w:type="dxa"/>
            <w:tcBorders>
              <w:top w:val="nil"/>
              <w:left w:val="nil"/>
              <w:bottom w:val="nil"/>
              <w:right w:val="nil"/>
            </w:tcBorders>
            <w:hideMark/>
          </w:tcPr>
          <w:p w14:paraId="680D7223"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66E09FB3" w14:textId="77777777" w:rsidR="004D2B5D" w:rsidRPr="00087644" w:rsidRDefault="004D2B5D" w:rsidP="00D063A2">
            <w:pPr>
              <w:pStyle w:val="AmColumnHeading"/>
            </w:pPr>
            <w:r w:rsidRPr="00087644">
              <w:t>Alteração</w:t>
            </w:r>
          </w:p>
        </w:tc>
      </w:tr>
      <w:tr w:rsidR="004D2B5D" w:rsidRPr="00087644" w14:paraId="6D4D492A" w14:textId="77777777" w:rsidTr="00D063A2">
        <w:trPr>
          <w:jc w:val="center"/>
        </w:trPr>
        <w:tc>
          <w:tcPr>
            <w:tcW w:w="4876" w:type="dxa"/>
            <w:tcBorders>
              <w:top w:val="nil"/>
              <w:left w:val="nil"/>
              <w:bottom w:val="nil"/>
              <w:right w:val="nil"/>
            </w:tcBorders>
            <w:hideMark/>
          </w:tcPr>
          <w:p w14:paraId="1B6ECBD6" w14:textId="77777777" w:rsidR="004D2B5D" w:rsidRPr="00087644" w:rsidRDefault="004D2B5D" w:rsidP="00D063A2">
            <w:pPr>
              <w:pStyle w:val="Normal6a"/>
            </w:pPr>
            <w:r w:rsidRPr="00087644">
              <w:t>1.</w:t>
            </w:r>
            <w:r w:rsidRPr="00087644">
              <w:tab/>
              <w:t>Em caso de alteração relativa à classificação ou rotulagem de uma substância ou mistura que resulte na adição de uma nova classe de perigo ou numa classificação mais severa, ou que exija novas informações suplementares no rótulo em conformidade com o artigo 25.º, cabe ao fornecedor da referida substância ou mistura assegurar a atualização do rótulo, sem demora injustificada após a obtenção, pelo referido fornecedor, dos resultados da nova avaliação referida no artigo 15.º, n.º 4, ou a comunicação desses resultados ao mesmo.»</w:t>
            </w:r>
            <w:r w:rsidRPr="00087644">
              <w:rPr>
                <w:b/>
                <w:i/>
              </w:rPr>
              <w:t>;</w:t>
            </w:r>
          </w:p>
        </w:tc>
        <w:tc>
          <w:tcPr>
            <w:tcW w:w="4876" w:type="dxa"/>
            <w:tcBorders>
              <w:top w:val="nil"/>
              <w:left w:val="nil"/>
              <w:bottom w:val="nil"/>
              <w:right w:val="nil"/>
            </w:tcBorders>
            <w:hideMark/>
          </w:tcPr>
          <w:p w14:paraId="048E9741" w14:textId="1805F6BE" w:rsidR="004D2B5D" w:rsidRPr="00087644" w:rsidRDefault="004D2B5D" w:rsidP="00D063A2">
            <w:pPr>
              <w:pStyle w:val="Normal6a"/>
            </w:pPr>
            <w:r w:rsidRPr="00087644">
              <w:t>1.</w:t>
            </w:r>
            <w:r w:rsidRPr="00087644">
              <w:tab/>
              <w:t xml:space="preserve">Em caso de alteração relativa à classificação ou rotulagem de uma substância ou mistura que resulte na adição de uma nova classe de perigo ou numa classificação mais severa, ou que exija novas informações suplementares no rótulo em conformidade com o artigo 25.º, cabe ao fornecedor da referida substância ou mistura assegurar a atualização do rótulo, sem demora injustificada </w:t>
            </w:r>
            <w:r w:rsidRPr="00087644">
              <w:rPr>
                <w:b/>
                <w:i/>
              </w:rPr>
              <w:t>e, em qualquer caso, no prazo de 18 meses</w:t>
            </w:r>
            <w:r w:rsidRPr="00087644">
              <w:t xml:space="preserve"> após a obtenção, pelo referido fornecedor, dos resultados da nova avaliação referida no artigo 15.º, n.º 4, ou a comunicação desses resultados ao mesmo. </w:t>
            </w:r>
            <w:r w:rsidRPr="00087644">
              <w:rPr>
                <w:b/>
                <w:i/>
              </w:rPr>
              <w:t>Com vista a completar as alterações da rotulagem sem demora injustificada, os fornecedores cooperam nos termos do artigo 4.º, n.º 9, e informam os seus utilizadores diretos a jusante dos resultados da nova avaliação a que se refere o n.º 1, em conformidade com os requisitos aplicáveis do Regulamento (CE) n.º 1907/2006. Os fornecedores podem aplicar as classificações novas ou atualizadas e adaptar a rotulagem em conformidade, numa base voluntária antes do final do prazo de 18 meses, para assegurar um elevado nível de proteção da saúde humana e do ambiente e proporcionar flexibilidade suficiente aos fornecedores.</w:t>
            </w:r>
            <w:r w:rsidRPr="00087644">
              <w:t>»</w:t>
            </w:r>
            <w:r w:rsidR="00237FB3" w:rsidRPr="00087644">
              <w:rPr>
                <w:b/>
                <w:i/>
              </w:rPr>
              <w:t>;</w:t>
            </w:r>
          </w:p>
        </w:tc>
      </w:tr>
    </w:tbl>
    <w:p w14:paraId="48FCC512" w14:textId="77777777" w:rsidR="004D2B5D" w:rsidRPr="00087644" w:rsidRDefault="004D2B5D" w:rsidP="004D2B5D"/>
    <w:p w14:paraId="24212446" w14:textId="77777777" w:rsidR="004D2B5D" w:rsidRPr="00087644" w:rsidRDefault="004D2B5D" w:rsidP="004D2B5D">
      <w:pPr>
        <w:pStyle w:val="AmNumberTabs"/>
      </w:pPr>
      <w:r w:rsidRPr="00087644">
        <w:t>Alteração</w:t>
      </w:r>
      <w:r w:rsidRPr="00087644">
        <w:tab/>
      </w:r>
      <w:r w:rsidRPr="00087644">
        <w:tab/>
        <w:t>43</w:t>
      </w:r>
    </w:p>
    <w:p w14:paraId="26795804" w14:textId="77777777" w:rsidR="004D2B5D" w:rsidRPr="00087644" w:rsidRDefault="004D2B5D" w:rsidP="004D2B5D">
      <w:pPr>
        <w:pStyle w:val="NormalBold"/>
      </w:pPr>
      <w:r w:rsidRPr="00087644">
        <w:t>Proposta de regulamento</w:t>
      </w:r>
    </w:p>
    <w:p w14:paraId="183248FA" w14:textId="77777777" w:rsidR="004D2B5D" w:rsidRPr="00087644" w:rsidRDefault="004D2B5D" w:rsidP="004D2B5D">
      <w:pPr>
        <w:pStyle w:val="NormalBold"/>
      </w:pPr>
      <w:r w:rsidRPr="00087644">
        <w:t>Artigo 1 – parágrafo 1 – ponto 6</w:t>
      </w:r>
    </w:p>
    <w:p w14:paraId="5C266926" w14:textId="77777777" w:rsidR="004D2B5D" w:rsidRPr="00087644" w:rsidRDefault="004D2B5D" w:rsidP="004D2B5D">
      <w:r w:rsidRPr="00087644">
        <w:t>Regulamento (CE) n.º 1272/2008</w:t>
      </w:r>
    </w:p>
    <w:p w14:paraId="489CB7D6" w14:textId="77777777" w:rsidR="004D2B5D" w:rsidRPr="00087644" w:rsidRDefault="004D2B5D" w:rsidP="004D2B5D">
      <w:r w:rsidRPr="00087644">
        <w:t>Artigo 31 – n.º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65C7C4ED" w14:textId="77777777" w:rsidTr="00D063A2">
        <w:trPr>
          <w:trHeight w:val="240"/>
          <w:jc w:val="center"/>
        </w:trPr>
        <w:tc>
          <w:tcPr>
            <w:tcW w:w="9752" w:type="dxa"/>
            <w:gridSpan w:val="2"/>
            <w:tcBorders>
              <w:top w:val="nil"/>
              <w:left w:val="nil"/>
              <w:bottom w:val="nil"/>
              <w:right w:val="nil"/>
            </w:tcBorders>
          </w:tcPr>
          <w:p w14:paraId="3F456F33" w14:textId="77777777" w:rsidR="004D2B5D" w:rsidRPr="00087644" w:rsidRDefault="004D2B5D" w:rsidP="00D063A2"/>
        </w:tc>
      </w:tr>
      <w:tr w:rsidR="004D2B5D" w:rsidRPr="00087644" w14:paraId="43A3C0C7" w14:textId="77777777" w:rsidTr="00D063A2">
        <w:trPr>
          <w:trHeight w:val="240"/>
          <w:jc w:val="center"/>
        </w:trPr>
        <w:tc>
          <w:tcPr>
            <w:tcW w:w="4876" w:type="dxa"/>
            <w:tcBorders>
              <w:top w:val="nil"/>
              <w:left w:val="nil"/>
              <w:bottom w:val="nil"/>
              <w:right w:val="nil"/>
            </w:tcBorders>
            <w:hideMark/>
          </w:tcPr>
          <w:p w14:paraId="3BDAAA4A"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4EC3ABD4" w14:textId="77777777" w:rsidR="004D2B5D" w:rsidRPr="00087644" w:rsidRDefault="004D2B5D" w:rsidP="00D063A2">
            <w:pPr>
              <w:pStyle w:val="AmColumnHeading"/>
            </w:pPr>
            <w:r w:rsidRPr="00087644">
              <w:t>Alteração</w:t>
            </w:r>
          </w:p>
        </w:tc>
      </w:tr>
      <w:tr w:rsidR="004D2B5D" w:rsidRPr="00087644" w14:paraId="54D440C9" w14:textId="77777777" w:rsidTr="00D063A2">
        <w:trPr>
          <w:jc w:val="center"/>
        </w:trPr>
        <w:tc>
          <w:tcPr>
            <w:tcW w:w="4876" w:type="dxa"/>
            <w:tcBorders>
              <w:top w:val="nil"/>
              <w:left w:val="nil"/>
              <w:bottom w:val="nil"/>
              <w:right w:val="nil"/>
            </w:tcBorders>
            <w:hideMark/>
          </w:tcPr>
          <w:p w14:paraId="7C27672F" w14:textId="77777777" w:rsidR="004D2B5D" w:rsidRPr="00087644" w:rsidRDefault="004D2B5D" w:rsidP="00D063A2">
            <w:pPr>
              <w:pStyle w:val="Normal6a"/>
            </w:pPr>
            <w:r w:rsidRPr="00087644">
              <w:t>3.</w:t>
            </w:r>
            <w:r w:rsidRPr="00087644">
              <w:tab/>
              <w:t>Os elementos do rótulo referidos no artigo 17.º, n.º 1, devem ser marcados de forma clara e indelével. Devem destacar</w:t>
            </w:r>
            <w:r w:rsidRPr="00087644">
              <w:noBreakHyphen/>
              <w:t xml:space="preserve">se claramente do fundo e ter uma dimensão </w:t>
            </w:r>
            <w:r w:rsidRPr="00087644">
              <w:lastRenderedPageBreak/>
              <w:t>e um espaçamento que permitam uma leitura fácil.»;</w:t>
            </w:r>
          </w:p>
        </w:tc>
        <w:tc>
          <w:tcPr>
            <w:tcW w:w="4876" w:type="dxa"/>
            <w:tcBorders>
              <w:top w:val="nil"/>
              <w:left w:val="nil"/>
              <w:bottom w:val="nil"/>
              <w:right w:val="nil"/>
            </w:tcBorders>
            <w:hideMark/>
          </w:tcPr>
          <w:p w14:paraId="0EAE6E90" w14:textId="253B3248" w:rsidR="004D2B5D" w:rsidRPr="00087644" w:rsidRDefault="00237FB3" w:rsidP="00D063A2">
            <w:pPr>
              <w:pStyle w:val="Normal6a"/>
            </w:pPr>
            <w:r w:rsidRPr="00087644">
              <w:lastRenderedPageBreak/>
              <w:t>«</w:t>
            </w:r>
            <w:r w:rsidR="004D2B5D" w:rsidRPr="00087644">
              <w:t>3.</w:t>
            </w:r>
            <w:r w:rsidR="004D2B5D" w:rsidRPr="00087644">
              <w:tab/>
              <w:t>Os elementos do rótulo referidos no artigo 17.º, n.º 1, devem ser marcados de forma clara e indelével. Devem destacar</w:t>
            </w:r>
            <w:r w:rsidR="004D2B5D" w:rsidRPr="00087644">
              <w:noBreakHyphen/>
              <w:t xml:space="preserve">se claramente do fundo e ter uma dimensão </w:t>
            </w:r>
            <w:r w:rsidR="004D2B5D" w:rsidRPr="00087644">
              <w:lastRenderedPageBreak/>
              <w:t xml:space="preserve">e um espaçamento que permitam uma leitura fácil. </w:t>
            </w:r>
            <w:r w:rsidR="004D2B5D" w:rsidRPr="00087644">
              <w:rPr>
                <w:b/>
                <w:i/>
              </w:rPr>
              <w:t>Devem ser formatados de acordo com o anexo I, ponto 1.2.1.</w:t>
            </w:r>
            <w:r w:rsidR="004D2B5D" w:rsidRPr="00087644">
              <w:t>»;</w:t>
            </w:r>
          </w:p>
        </w:tc>
      </w:tr>
    </w:tbl>
    <w:p w14:paraId="6DC63AE1" w14:textId="77777777" w:rsidR="004D2B5D" w:rsidRPr="00087644" w:rsidRDefault="004D2B5D" w:rsidP="004D2B5D"/>
    <w:p w14:paraId="68CDBE1A" w14:textId="77777777" w:rsidR="004D2B5D" w:rsidRPr="00087644" w:rsidRDefault="004D2B5D" w:rsidP="004D2B5D">
      <w:pPr>
        <w:pStyle w:val="AmNumberTabs"/>
      </w:pPr>
      <w:r w:rsidRPr="00087644">
        <w:t>Alteração</w:t>
      </w:r>
      <w:r w:rsidRPr="00087644">
        <w:tab/>
      </w:r>
      <w:r w:rsidRPr="00087644">
        <w:tab/>
        <w:t>44</w:t>
      </w:r>
    </w:p>
    <w:p w14:paraId="3802C8BB" w14:textId="77777777" w:rsidR="004D2B5D" w:rsidRPr="00087644" w:rsidRDefault="004D2B5D" w:rsidP="004D2B5D">
      <w:pPr>
        <w:pStyle w:val="NormalBold"/>
      </w:pPr>
      <w:r w:rsidRPr="00087644">
        <w:t>Proposta de regulamento</w:t>
      </w:r>
    </w:p>
    <w:p w14:paraId="5DDB8D3E" w14:textId="77777777" w:rsidR="004D2B5D" w:rsidRPr="00087644" w:rsidRDefault="004D2B5D" w:rsidP="004D2B5D">
      <w:pPr>
        <w:pStyle w:val="NormalBold"/>
      </w:pPr>
      <w:r w:rsidRPr="00087644">
        <w:t>Artigo 1 – parágrafo 1 – ponto 7</w:t>
      </w:r>
    </w:p>
    <w:p w14:paraId="4AC65F29" w14:textId="77777777" w:rsidR="004D2B5D" w:rsidRPr="00087644" w:rsidRDefault="004D2B5D" w:rsidP="004D2B5D">
      <w:r w:rsidRPr="00087644">
        <w:t>Regulamento (CE) n.º 1272/2008</w:t>
      </w:r>
    </w:p>
    <w:p w14:paraId="373D875B" w14:textId="77777777" w:rsidR="004D2B5D" w:rsidRPr="00087644" w:rsidRDefault="004D2B5D" w:rsidP="004D2B5D">
      <w:r w:rsidRPr="00087644">
        <w:t>Artigo 48 – n.º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63CC3B48" w14:textId="77777777" w:rsidTr="00D063A2">
        <w:trPr>
          <w:trHeight w:val="240"/>
          <w:jc w:val="center"/>
        </w:trPr>
        <w:tc>
          <w:tcPr>
            <w:tcW w:w="9752" w:type="dxa"/>
            <w:gridSpan w:val="2"/>
            <w:tcBorders>
              <w:top w:val="nil"/>
              <w:left w:val="nil"/>
              <w:bottom w:val="nil"/>
              <w:right w:val="nil"/>
            </w:tcBorders>
          </w:tcPr>
          <w:p w14:paraId="4E7E7145" w14:textId="77777777" w:rsidR="004D2B5D" w:rsidRPr="00087644" w:rsidRDefault="004D2B5D" w:rsidP="00D063A2"/>
        </w:tc>
      </w:tr>
      <w:tr w:rsidR="004D2B5D" w:rsidRPr="00087644" w14:paraId="4C50BA09" w14:textId="77777777" w:rsidTr="00D063A2">
        <w:trPr>
          <w:trHeight w:val="240"/>
          <w:jc w:val="center"/>
        </w:trPr>
        <w:tc>
          <w:tcPr>
            <w:tcW w:w="4876" w:type="dxa"/>
            <w:tcBorders>
              <w:top w:val="nil"/>
              <w:left w:val="nil"/>
              <w:bottom w:val="nil"/>
              <w:right w:val="nil"/>
            </w:tcBorders>
            <w:hideMark/>
          </w:tcPr>
          <w:p w14:paraId="2D0B237B"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1F5CF5DC" w14:textId="77777777" w:rsidR="004D2B5D" w:rsidRPr="00087644" w:rsidRDefault="004D2B5D" w:rsidP="00D063A2">
            <w:pPr>
              <w:pStyle w:val="AmColumnHeading"/>
            </w:pPr>
            <w:r w:rsidRPr="00087644">
              <w:t>Alteração</w:t>
            </w:r>
          </w:p>
        </w:tc>
      </w:tr>
      <w:tr w:rsidR="004D2B5D" w:rsidRPr="00087644" w14:paraId="12C34E80" w14:textId="77777777" w:rsidTr="00D063A2">
        <w:trPr>
          <w:jc w:val="center"/>
        </w:trPr>
        <w:tc>
          <w:tcPr>
            <w:tcW w:w="4876" w:type="dxa"/>
            <w:tcBorders>
              <w:top w:val="nil"/>
              <w:left w:val="nil"/>
              <w:bottom w:val="nil"/>
              <w:right w:val="nil"/>
            </w:tcBorders>
            <w:hideMark/>
          </w:tcPr>
          <w:p w14:paraId="4FFDBF30" w14:textId="77777777" w:rsidR="004D2B5D" w:rsidRPr="00087644" w:rsidRDefault="004D2B5D" w:rsidP="00D063A2">
            <w:pPr>
              <w:pStyle w:val="Normal6a"/>
            </w:pPr>
            <w:r w:rsidRPr="00087644">
              <w:t>1.</w:t>
            </w:r>
            <w:r w:rsidRPr="00087644">
              <w:tab/>
              <w:t>Toda a publicidade dirigida ao público em geral relativa a substâncias ou misturas classificadas como perigosas ou a misturas que contenham substâncias referidas na parte 2 do anexo II deve incluir a seguinte frase: «Leia sempre o rótulo e a informação relativa ao produto antes de o utilizar.».</w:t>
            </w:r>
          </w:p>
        </w:tc>
        <w:tc>
          <w:tcPr>
            <w:tcW w:w="4876" w:type="dxa"/>
            <w:tcBorders>
              <w:top w:val="nil"/>
              <w:left w:val="nil"/>
              <w:bottom w:val="nil"/>
              <w:right w:val="nil"/>
            </w:tcBorders>
            <w:hideMark/>
          </w:tcPr>
          <w:p w14:paraId="549C7F0F" w14:textId="77777777" w:rsidR="004D2B5D" w:rsidRPr="00087644" w:rsidRDefault="004D2B5D" w:rsidP="00D063A2">
            <w:pPr>
              <w:pStyle w:val="Normal6a"/>
            </w:pPr>
            <w:r w:rsidRPr="00087644">
              <w:t>1.</w:t>
            </w:r>
            <w:r w:rsidRPr="00087644">
              <w:tab/>
              <w:t xml:space="preserve">Toda a publicidade dirigida ao público em geral relativa a substâncias ou misturas classificadas como perigosas ou a misturas que contenham substâncias referidas na parte 2 do anexo II deve </w:t>
            </w:r>
            <w:r w:rsidRPr="00087644">
              <w:rPr>
                <w:b/>
                <w:i/>
              </w:rPr>
              <w:t>sempre</w:t>
            </w:r>
            <w:r w:rsidRPr="00087644">
              <w:t xml:space="preserve"> incluir a seguinte frase: «Leia sempre o rótulo e a informação relativa ao produto antes de o utilizar.» </w:t>
            </w:r>
            <w:r w:rsidRPr="00087644">
              <w:rPr>
                <w:b/>
                <w:i/>
              </w:rPr>
              <w:t>e um dos seguintes elementos: a) o(s) pictograma(s) de perigo aplicável(</w:t>
            </w:r>
            <w:proofErr w:type="spellStart"/>
            <w:r w:rsidRPr="00087644">
              <w:rPr>
                <w:b/>
                <w:i/>
              </w:rPr>
              <w:t>is</w:t>
            </w:r>
            <w:proofErr w:type="spellEnd"/>
            <w:r w:rsidRPr="00087644">
              <w:rPr>
                <w:b/>
                <w:i/>
              </w:rPr>
              <w:t>); ou b) a palavra</w:t>
            </w:r>
            <w:r w:rsidRPr="00087644">
              <w:rPr>
                <w:b/>
                <w:i/>
              </w:rPr>
              <w:noBreakHyphen/>
              <w:t>sinal pertinente em conformidade com o artigo 20.º</w:t>
            </w:r>
            <w:r w:rsidRPr="00087644">
              <w:t>.</w:t>
            </w:r>
          </w:p>
        </w:tc>
      </w:tr>
    </w:tbl>
    <w:p w14:paraId="69A73520" w14:textId="77777777" w:rsidR="004D2B5D" w:rsidRPr="00087644" w:rsidRDefault="004D2B5D" w:rsidP="004D2B5D"/>
    <w:p w14:paraId="4EAE0868" w14:textId="77777777" w:rsidR="004D2B5D" w:rsidRPr="00087644" w:rsidRDefault="004D2B5D" w:rsidP="004D2B5D">
      <w:pPr>
        <w:pStyle w:val="AmNumberTabs"/>
      </w:pPr>
      <w:r w:rsidRPr="00087644">
        <w:t>Alteração</w:t>
      </w:r>
      <w:r w:rsidRPr="00087644">
        <w:tab/>
      </w:r>
      <w:r w:rsidRPr="00087644">
        <w:tab/>
        <w:t>45</w:t>
      </w:r>
    </w:p>
    <w:p w14:paraId="05855A52" w14:textId="77777777" w:rsidR="004D2B5D" w:rsidRPr="00087644" w:rsidRDefault="004D2B5D" w:rsidP="004D2B5D">
      <w:pPr>
        <w:pStyle w:val="NormalBold"/>
      </w:pPr>
      <w:r w:rsidRPr="00087644">
        <w:t>Proposta de regulamento</w:t>
      </w:r>
    </w:p>
    <w:p w14:paraId="67E6BBC7" w14:textId="77777777" w:rsidR="004D2B5D" w:rsidRPr="00087644" w:rsidRDefault="004D2B5D" w:rsidP="004D2B5D">
      <w:pPr>
        <w:pStyle w:val="NormalBold"/>
      </w:pPr>
      <w:r w:rsidRPr="00087644">
        <w:t>Artigo 1 – parágrafo 1 – ponto 7</w:t>
      </w:r>
    </w:p>
    <w:p w14:paraId="19BE9FC8" w14:textId="77777777" w:rsidR="004D2B5D" w:rsidRPr="00087644" w:rsidRDefault="004D2B5D" w:rsidP="004D2B5D">
      <w:r w:rsidRPr="00087644">
        <w:t>Regulamento (CE) n.º 1272/2008</w:t>
      </w:r>
    </w:p>
    <w:p w14:paraId="41047101" w14:textId="77777777" w:rsidR="004D2B5D" w:rsidRPr="00087644" w:rsidRDefault="004D2B5D" w:rsidP="004D2B5D">
      <w:r w:rsidRPr="00087644">
        <w:t>Artigo 48 – n.º 1 – parágrafo 1</w:t>
      </w:r>
      <w:r w:rsidRPr="00087644">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019A3FD7" w14:textId="77777777" w:rsidTr="00D063A2">
        <w:trPr>
          <w:trHeight w:val="240"/>
          <w:jc w:val="center"/>
        </w:trPr>
        <w:tc>
          <w:tcPr>
            <w:tcW w:w="9752" w:type="dxa"/>
            <w:gridSpan w:val="2"/>
            <w:tcBorders>
              <w:top w:val="nil"/>
              <w:left w:val="nil"/>
              <w:bottom w:val="nil"/>
              <w:right w:val="nil"/>
            </w:tcBorders>
          </w:tcPr>
          <w:p w14:paraId="627019CA" w14:textId="77777777" w:rsidR="004D2B5D" w:rsidRPr="00087644" w:rsidRDefault="004D2B5D" w:rsidP="00D063A2"/>
        </w:tc>
      </w:tr>
      <w:tr w:rsidR="004D2B5D" w:rsidRPr="00087644" w14:paraId="0D2C63A6" w14:textId="77777777" w:rsidTr="00D063A2">
        <w:trPr>
          <w:trHeight w:val="240"/>
          <w:jc w:val="center"/>
        </w:trPr>
        <w:tc>
          <w:tcPr>
            <w:tcW w:w="4876" w:type="dxa"/>
            <w:tcBorders>
              <w:top w:val="nil"/>
              <w:left w:val="nil"/>
              <w:bottom w:val="nil"/>
              <w:right w:val="nil"/>
            </w:tcBorders>
            <w:hideMark/>
          </w:tcPr>
          <w:p w14:paraId="158FCC56"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489EBFAE" w14:textId="77777777" w:rsidR="004D2B5D" w:rsidRPr="00087644" w:rsidRDefault="004D2B5D" w:rsidP="00D063A2">
            <w:pPr>
              <w:pStyle w:val="AmColumnHeading"/>
            </w:pPr>
            <w:r w:rsidRPr="00087644">
              <w:t>Alteração</w:t>
            </w:r>
          </w:p>
        </w:tc>
      </w:tr>
      <w:tr w:rsidR="004D2B5D" w:rsidRPr="00087644" w14:paraId="22E315E6" w14:textId="77777777" w:rsidTr="00D063A2">
        <w:trPr>
          <w:jc w:val="center"/>
        </w:trPr>
        <w:tc>
          <w:tcPr>
            <w:tcW w:w="4876" w:type="dxa"/>
            <w:tcBorders>
              <w:top w:val="nil"/>
              <w:left w:val="nil"/>
              <w:bottom w:val="nil"/>
              <w:right w:val="nil"/>
            </w:tcBorders>
          </w:tcPr>
          <w:p w14:paraId="7AF7829C" w14:textId="77777777" w:rsidR="004D2B5D" w:rsidRPr="00087644" w:rsidRDefault="004D2B5D" w:rsidP="00D063A2">
            <w:pPr>
              <w:pStyle w:val="Normal6a"/>
            </w:pPr>
          </w:p>
        </w:tc>
        <w:tc>
          <w:tcPr>
            <w:tcW w:w="4876" w:type="dxa"/>
            <w:tcBorders>
              <w:top w:val="nil"/>
              <w:left w:val="nil"/>
              <w:bottom w:val="nil"/>
              <w:right w:val="nil"/>
            </w:tcBorders>
            <w:hideMark/>
          </w:tcPr>
          <w:p w14:paraId="045A9A6E" w14:textId="77777777" w:rsidR="004D2B5D" w:rsidRPr="00087644" w:rsidRDefault="004D2B5D" w:rsidP="00D063A2">
            <w:pPr>
              <w:pStyle w:val="Normal6a"/>
            </w:pPr>
            <w:r w:rsidRPr="00087644">
              <w:rPr>
                <w:b/>
                <w:i/>
              </w:rPr>
              <w:t>O primeiro parágrafo não se aplica à publicidade dirigida a utilizadores profissionais de substâncias ou misturas destinadas à utilização no âmbito das suas atividades industriais ou profissionais, desde que a publicidade não vise o público em geral ou não lhe seja diretamente disponibilizada.</w:t>
            </w:r>
          </w:p>
        </w:tc>
      </w:tr>
    </w:tbl>
    <w:p w14:paraId="7CCBEB46" w14:textId="77777777" w:rsidR="004D2B5D" w:rsidRPr="00087644" w:rsidRDefault="004D2B5D" w:rsidP="004D2B5D">
      <w:pPr>
        <w:pStyle w:val="AmNumberTabs"/>
      </w:pPr>
      <w:r w:rsidRPr="00087644">
        <w:t>Alteração</w:t>
      </w:r>
      <w:r w:rsidRPr="00087644">
        <w:tab/>
      </w:r>
      <w:r w:rsidRPr="00087644">
        <w:tab/>
        <w:t>46</w:t>
      </w:r>
    </w:p>
    <w:p w14:paraId="360DCAA6" w14:textId="77777777" w:rsidR="004D2B5D" w:rsidRPr="00087644" w:rsidRDefault="004D2B5D" w:rsidP="004D2B5D">
      <w:pPr>
        <w:pStyle w:val="NormalBold"/>
      </w:pPr>
      <w:r w:rsidRPr="00087644">
        <w:t>Proposta de regulamento</w:t>
      </w:r>
    </w:p>
    <w:p w14:paraId="4A2423A3" w14:textId="77777777" w:rsidR="004D2B5D" w:rsidRPr="00087644" w:rsidRDefault="004D2B5D" w:rsidP="004D2B5D">
      <w:pPr>
        <w:pStyle w:val="NormalBold"/>
      </w:pPr>
      <w:r w:rsidRPr="00087644">
        <w:t>Artigo 1 – parágrafo 1 – ponto 8</w:t>
      </w:r>
    </w:p>
    <w:p w14:paraId="6777FC2E" w14:textId="77777777" w:rsidR="004D2B5D" w:rsidRPr="00087644" w:rsidRDefault="004D2B5D" w:rsidP="004D2B5D">
      <w:r w:rsidRPr="00087644">
        <w:t>Regulamento (CE) n.º 1272/2008</w:t>
      </w:r>
    </w:p>
    <w:p w14:paraId="011253FF" w14:textId="77777777" w:rsidR="004D2B5D" w:rsidRPr="00087644" w:rsidRDefault="004D2B5D" w:rsidP="004D2B5D">
      <w:r w:rsidRPr="00087644">
        <w:t>Artigo 48</w:t>
      </w:r>
      <w:r w:rsidRPr="00087644">
        <w:noBreakHyphen/>
        <w:t>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55164CCE" w14:textId="77777777" w:rsidTr="00D063A2">
        <w:trPr>
          <w:trHeight w:val="240"/>
          <w:jc w:val="center"/>
        </w:trPr>
        <w:tc>
          <w:tcPr>
            <w:tcW w:w="9752" w:type="dxa"/>
            <w:gridSpan w:val="2"/>
            <w:tcBorders>
              <w:top w:val="nil"/>
              <w:left w:val="nil"/>
              <w:bottom w:val="nil"/>
              <w:right w:val="nil"/>
            </w:tcBorders>
          </w:tcPr>
          <w:p w14:paraId="372D049A" w14:textId="77777777" w:rsidR="004D2B5D" w:rsidRPr="00087644" w:rsidRDefault="004D2B5D" w:rsidP="00D063A2"/>
        </w:tc>
      </w:tr>
      <w:tr w:rsidR="004D2B5D" w:rsidRPr="00087644" w14:paraId="4D4ABD06" w14:textId="77777777" w:rsidTr="00D063A2">
        <w:trPr>
          <w:trHeight w:val="240"/>
          <w:jc w:val="center"/>
        </w:trPr>
        <w:tc>
          <w:tcPr>
            <w:tcW w:w="4876" w:type="dxa"/>
            <w:tcBorders>
              <w:top w:val="nil"/>
              <w:left w:val="nil"/>
              <w:bottom w:val="nil"/>
              <w:right w:val="nil"/>
            </w:tcBorders>
            <w:hideMark/>
          </w:tcPr>
          <w:p w14:paraId="538D5D5E" w14:textId="77777777" w:rsidR="004D2B5D" w:rsidRPr="00087644" w:rsidRDefault="004D2B5D" w:rsidP="00D063A2">
            <w:pPr>
              <w:pStyle w:val="AmColumnHeading"/>
            </w:pPr>
            <w:r w:rsidRPr="00087644">
              <w:lastRenderedPageBreak/>
              <w:t>Texto da Comissão</w:t>
            </w:r>
          </w:p>
        </w:tc>
        <w:tc>
          <w:tcPr>
            <w:tcW w:w="4876" w:type="dxa"/>
            <w:tcBorders>
              <w:top w:val="nil"/>
              <w:left w:val="nil"/>
              <w:bottom w:val="nil"/>
              <w:right w:val="nil"/>
            </w:tcBorders>
            <w:hideMark/>
          </w:tcPr>
          <w:p w14:paraId="7143B384" w14:textId="77777777" w:rsidR="004D2B5D" w:rsidRPr="00087644" w:rsidRDefault="004D2B5D" w:rsidP="00D063A2">
            <w:pPr>
              <w:pStyle w:val="AmColumnHeading"/>
            </w:pPr>
            <w:r w:rsidRPr="00087644">
              <w:t>Alteração</w:t>
            </w:r>
          </w:p>
        </w:tc>
      </w:tr>
      <w:tr w:rsidR="004D2B5D" w:rsidRPr="00087644" w14:paraId="38952034" w14:textId="77777777" w:rsidTr="00D063A2">
        <w:trPr>
          <w:jc w:val="center"/>
        </w:trPr>
        <w:tc>
          <w:tcPr>
            <w:tcW w:w="4876" w:type="dxa"/>
            <w:tcBorders>
              <w:top w:val="nil"/>
              <w:left w:val="nil"/>
              <w:bottom w:val="nil"/>
              <w:right w:val="nil"/>
            </w:tcBorders>
          </w:tcPr>
          <w:p w14:paraId="47426293" w14:textId="77777777" w:rsidR="004D2B5D" w:rsidRPr="00087644" w:rsidRDefault="004D2B5D" w:rsidP="004D1983">
            <w:pPr>
              <w:pStyle w:val="Normal6a"/>
              <w:jc w:val="center"/>
            </w:pPr>
            <w:r w:rsidRPr="00087644">
              <w:t>Artigo 48.º</w:t>
            </w:r>
            <w:r w:rsidRPr="00087644">
              <w:noBreakHyphen/>
              <w:t>A</w:t>
            </w:r>
          </w:p>
        </w:tc>
        <w:tc>
          <w:tcPr>
            <w:tcW w:w="4876" w:type="dxa"/>
            <w:tcBorders>
              <w:top w:val="nil"/>
              <w:left w:val="nil"/>
              <w:bottom w:val="nil"/>
              <w:right w:val="nil"/>
            </w:tcBorders>
          </w:tcPr>
          <w:p w14:paraId="58CC819C" w14:textId="77777777" w:rsidR="004D2B5D" w:rsidRPr="00087644" w:rsidRDefault="004D2B5D" w:rsidP="004D1983">
            <w:pPr>
              <w:pStyle w:val="Normal6a"/>
              <w:jc w:val="center"/>
              <w:rPr>
                <w:bCs/>
                <w:iCs/>
              </w:rPr>
            </w:pPr>
            <w:r w:rsidRPr="00087644">
              <w:t>Artigo 48.º</w:t>
            </w:r>
            <w:r w:rsidRPr="00087644">
              <w:noBreakHyphen/>
              <w:t>A</w:t>
            </w:r>
          </w:p>
        </w:tc>
      </w:tr>
      <w:tr w:rsidR="004D2B5D" w:rsidRPr="00087644" w14:paraId="6F0260AD" w14:textId="77777777" w:rsidTr="00D063A2">
        <w:trPr>
          <w:jc w:val="center"/>
        </w:trPr>
        <w:tc>
          <w:tcPr>
            <w:tcW w:w="4876" w:type="dxa"/>
            <w:tcBorders>
              <w:top w:val="nil"/>
              <w:left w:val="nil"/>
              <w:bottom w:val="nil"/>
              <w:right w:val="nil"/>
            </w:tcBorders>
          </w:tcPr>
          <w:p w14:paraId="4C013F42" w14:textId="77777777" w:rsidR="004D2B5D" w:rsidRPr="00087644" w:rsidRDefault="004D2B5D" w:rsidP="00D063A2">
            <w:pPr>
              <w:pStyle w:val="Normal6a"/>
            </w:pPr>
            <w:r w:rsidRPr="00087644">
              <w:t>Disponibilização por venda à distância</w:t>
            </w:r>
          </w:p>
        </w:tc>
        <w:tc>
          <w:tcPr>
            <w:tcW w:w="4876" w:type="dxa"/>
            <w:tcBorders>
              <w:top w:val="nil"/>
              <w:left w:val="nil"/>
              <w:bottom w:val="nil"/>
              <w:right w:val="nil"/>
            </w:tcBorders>
          </w:tcPr>
          <w:p w14:paraId="66E4B50B" w14:textId="77777777" w:rsidR="004D2B5D" w:rsidRPr="00087644" w:rsidRDefault="004D2B5D" w:rsidP="00D063A2">
            <w:pPr>
              <w:pStyle w:val="Normal6a"/>
              <w:rPr>
                <w:bCs/>
                <w:iCs/>
              </w:rPr>
            </w:pPr>
            <w:r w:rsidRPr="00087644">
              <w:t>Disponibilização por venda à distância</w:t>
            </w:r>
          </w:p>
        </w:tc>
      </w:tr>
      <w:tr w:rsidR="004D2B5D" w:rsidRPr="00087644" w14:paraId="35F5B5D4" w14:textId="77777777" w:rsidTr="00D063A2">
        <w:trPr>
          <w:jc w:val="center"/>
        </w:trPr>
        <w:tc>
          <w:tcPr>
            <w:tcW w:w="4876" w:type="dxa"/>
            <w:tcBorders>
              <w:top w:val="nil"/>
              <w:left w:val="nil"/>
              <w:bottom w:val="nil"/>
              <w:right w:val="nil"/>
            </w:tcBorders>
            <w:hideMark/>
          </w:tcPr>
          <w:p w14:paraId="4943CC73" w14:textId="77777777" w:rsidR="004D2B5D" w:rsidRPr="00087644" w:rsidRDefault="004D2B5D" w:rsidP="00D063A2">
            <w:pPr>
              <w:pStyle w:val="Normal6a"/>
            </w:pPr>
            <w:r w:rsidRPr="00087644">
              <w:t>Sempre que sejam colocadas substâncias ou misturas no mercado para o público em geral por meio da venda à distância, a oferta deve indicar claramente e de forma visível os elementos do rótulo referidos no artigo 17.º.</w:t>
            </w:r>
            <w:r w:rsidRPr="00087644">
              <w:rPr>
                <w:b/>
                <w:i/>
              </w:rPr>
              <w:t>»</w:t>
            </w:r>
          </w:p>
        </w:tc>
        <w:tc>
          <w:tcPr>
            <w:tcW w:w="4876" w:type="dxa"/>
            <w:tcBorders>
              <w:top w:val="nil"/>
              <w:left w:val="nil"/>
              <w:bottom w:val="nil"/>
              <w:right w:val="nil"/>
            </w:tcBorders>
            <w:hideMark/>
          </w:tcPr>
          <w:p w14:paraId="49073E81" w14:textId="77777777" w:rsidR="004D2B5D" w:rsidRPr="00087644" w:rsidRDefault="004D2B5D" w:rsidP="00D063A2">
            <w:pPr>
              <w:pStyle w:val="Normal6a"/>
            </w:pPr>
            <w:r w:rsidRPr="00087644">
              <w:rPr>
                <w:b/>
                <w:i/>
              </w:rPr>
              <w:t>1.</w:t>
            </w:r>
            <w:r w:rsidRPr="00087644">
              <w:t xml:space="preserve"> Sempre que sejam colocadas substâncias ou misturas no mercado para o público em geral por meio da venda à distância, a oferta deve indicar claramente e de forma visível os elementos do rótulo referidos no artigo 17.º</w:t>
            </w:r>
            <w:r w:rsidRPr="00087644">
              <w:rPr>
                <w:b/>
                <w:i/>
              </w:rPr>
              <w:t>;</w:t>
            </w:r>
          </w:p>
        </w:tc>
      </w:tr>
      <w:tr w:rsidR="004D2B5D" w:rsidRPr="00087644" w14:paraId="6AFB1628" w14:textId="77777777" w:rsidTr="00D063A2">
        <w:trPr>
          <w:jc w:val="center"/>
        </w:trPr>
        <w:tc>
          <w:tcPr>
            <w:tcW w:w="4876" w:type="dxa"/>
            <w:tcBorders>
              <w:top w:val="nil"/>
              <w:left w:val="nil"/>
              <w:bottom w:val="nil"/>
              <w:right w:val="nil"/>
            </w:tcBorders>
          </w:tcPr>
          <w:p w14:paraId="2E4D4D20" w14:textId="77777777" w:rsidR="004D2B5D" w:rsidRPr="00087644" w:rsidRDefault="004D2B5D" w:rsidP="00D063A2">
            <w:pPr>
              <w:pStyle w:val="Normal6a"/>
            </w:pPr>
          </w:p>
        </w:tc>
        <w:tc>
          <w:tcPr>
            <w:tcW w:w="4876" w:type="dxa"/>
            <w:tcBorders>
              <w:top w:val="nil"/>
              <w:left w:val="nil"/>
              <w:bottom w:val="nil"/>
              <w:right w:val="nil"/>
            </w:tcBorders>
            <w:hideMark/>
          </w:tcPr>
          <w:p w14:paraId="6694868F" w14:textId="77777777" w:rsidR="004D2B5D" w:rsidRPr="00087644" w:rsidRDefault="004D2B5D" w:rsidP="00D063A2">
            <w:pPr>
              <w:pStyle w:val="Normal6a"/>
            </w:pPr>
            <w:r w:rsidRPr="00087644">
              <w:rPr>
                <w:b/>
                <w:i/>
              </w:rPr>
              <w:t>2</w:t>
            </w:r>
            <w:r w:rsidRPr="00087644">
              <w:t xml:space="preserve">. </w:t>
            </w:r>
            <w:r w:rsidRPr="00087644">
              <w:rPr>
                <w:b/>
                <w:i/>
              </w:rPr>
              <w:t>O n</w:t>
            </w:r>
            <w:r w:rsidRPr="00087644">
              <w:t>.</w:t>
            </w:r>
            <w:r w:rsidRPr="00087644">
              <w:rPr>
                <w:b/>
                <w:i/>
              </w:rPr>
              <w:t>º 1 aplica</w:t>
            </w:r>
            <w:r w:rsidRPr="00087644">
              <w:rPr>
                <w:b/>
                <w:i/>
              </w:rPr>
              <w:noBreakHyphen/>
              <w:t>se igualmente à disponibilização por venda à distância dirigida a utilizadores profissionais de substâncias ou misturas destinadas à utilização no âmbito das suas atividades industriais ou profissionais, desde que a disponibilização permita à população em geral celebrar um contrato à distância na aceção do artigo 2.º, ponto 7, da Diretiva 2011/83/UE.</w:t>
            </w:r>
          </w:p>
        </w:tc>
      </w:tr>
    </w:tbl>
    <w:p w14:paraId="3D8DE030" w14:textId="77777777" w:rsidR="004D2B5D" w:rsidRPr="00087644" w:rsidRDefault="004D2B5D" w:rsidP="004D2B5D"/>
    <w:p w14:paraId="06DE5B65" w14:textId="77777777" w:rsidR="004D2B5D" w:rsidRPr="00087644" w:rsidRDefault="004D2B5D" w:rsidP="004D2B5D">
      <w:pPr>
        <w:pStyle w:val="AmNumberTabs"/>
      </w:pPr>
      <w:r w:rsidRPr="00087644">
        <w:t>Alteração</w:t>
      </w:r>
      <w:r w:rsidRPr="00087644">
        <w:tab/>
      </w:r>
      <w:r w:rsidRPr="00087644">
        <w:tab/>
        <w:t>47</w:t>
      </w:r>
    </w:p>
    <w:p w14:paraId="1B64EFE2" w14:textId="77777777" w:rsidR="004D2B5D" w:rsidRPr="00087644" w:rsidRDefault="004D2B5D" w:rsidP="004D2B5D">
      <w:pPr>
        <w:pStyle w:val="NormalBold"/>
      </w:pPr>
      <w:r w:rsidRPr="00087644">
        <w:t>Proposta de regulamento</w:t>
      </w:r>
    </w:p>
    <w:p w14:paraId="0A5381CE" w14:textId="77777777" w:rsidR="004D2B5D" w:rsidRPr="00087644" w:rsidRDefault="004D2B5D" w:rsidP="004D2B5D">
      <w:pPr>
        <w:pStyle w:val="NormalBold"/>
      </w:pPr>
      <w:r w:rsidRPr="00087644">
        <w:t>Artigo 1 – parágrafo 1 – ponto 9 – alínea a</w:t>
      </w:r>
    </w:p>
    <w:p w14:paraId="40A76100" w14:textId="77777777" w:rsidR="004D2B5D" w:rsidRPr="00087644" w:rsidRDefault="004D2B5D" w:rsidP="004D2B5D">
      <w:r w:rsidRPr="00087644">
        <w:t>Regulamento (CE) n.º 1272/2008</w:t>
      </w:r>
    </w:p>
    <w:p w14:paraId="70411A6F" w14:textId="77777777" w:rsidR="004D2B5D" w:rsidRPr="00087644" w:rsidRDefault="004D2B5D" w:rsidP="004D2B5D">
      <w:r w:rsidRPr="00087644">
        <w:t>Artigo 61 – n.º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71691195" w14:textId="77777777" w:rsidTr="00D063A2">
        <w:trPr>
          <w:trHeight w:val="240"/>
          <w:jc w:val="center"/>
        </w:trPr>
        <w:tc>
          <w:tcPr>
            <w:tcW w:w="9752" w:type="dxa"/>
            <w:gridSpan w:val="2"/>
            <w:tcBorders>
              <w:top w:val="nil"/>
              <w:left w:val="nil"/>
              <w:bottom w:val="nil"/>
              <w:right w:val="nil"/>
            </w:tcBorders>
          </w:tcPr>
          <w:p w14:paraId="0CA00193" w14:textId="77777777" w:rsidR="004D2B5D" w:rsidRPr="00087644" w:rsidRDefault="004D2B5D" w:rsidP="00D063A2"/>
        </w:tc>
      </w:tr>
      <w:tr w:rsidR="004D2B5D" w:rsidRPr="00087644" w14:paraId="4D50E9B4" w14:textId="77777777" w:rsidTr="00D063A2">
        <w:trPr>
          <w:trHeight w:val="240"/>
          <w:jc w:val="center"/>
        </w:trPr>
        <w:tc>
          <w:tcPr>
            <w:tcW w:w="4876" w:type="dxa"/>
            <w:tcBorders>
              <w:top w:val="nil"/>
              <w:left w:val="nil"/>
              <w:bottom w:val="nil"/>
              <w:right w:val="nil"/>
            </w:tcBorders>
            <w:hideMark/>
          </w:tcPr>
          <w:p w14:paraId="66D46F45"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7EBDAADD" w14:textId="77777777" w:rsidR="004D2B5D" w:rsidRPr="00087644" w:rsidRDefault="004D2B5D" w:rsidP="00D063A2">
            <w:pPr>
              <w:pStyle w:val="AmColumnHeading"/>
            </w:pPr>
            <w:r w:rsidRPr="00087644">
              <w:t>Alteração</w:t>
            </w:r>
          </w:p>
        </w:tc>
      </w:tr>
      <w:tr w:rsidR="004D2B5D" w:rsidRPr="00087644" w14:paraId="5D61A2C3" w14:textId="77777777" w:rsidTr="00D063A2">
        <w:trPr>
          <w:jc w:val="center"/>
        </w:trPr>
        <w:tc>
          <w:tcPr>
            <w:tcW w:w="4876" w:type="dxa"/>
            <w:tcBorders>
              <w:top w:val="nil"/>
              <w:left w:val="nil"/>
              <w:bottom w:val="nil"/>
              <w:right w:val="nil"/>
            </w:tcBorders>
            <w:hideMark/>
          </w:tcPr>
          <w:p w14:paraId="34227D53" w14:textId="77777777" w:rsidR="004D2B5D" w:rsidRPr="00087644" w:rsidRDefault="004D2B5D" w:rsidP="00D063A2">
            <w:pPr>
              <w:pStyle w:val="Normal6a"/>
            </w:pPr>
            <w:r w:rsidRPr="00087644">
              <w:t>8.</w:t>
            </w:r>
            <w:r w:rsidRPr="00087644">
              <w:tab/>
              <w:t>As substâncias e misturas que tenham sido classificadas, rotuladas e embaladas em conformidade com o artigo 18.º, n.º 3, conforme aplicável em 9 de dezembro de 2024, e que tenham sido colocadas no mercado antes de 1 de janeiro de 2027 não necessitam de ser classificadas, rotuladas e embaladas em conformidade com o presente regulamento, com a redação que lhe foi dada pelo Regulamento (UE) 2024/2865 do Parlamento Europeu e do Conselho, até 1 de janeiro de 2029.</w:t>
            </w:r>
            <w:r w:rsidRPr="00087644">
              <w:rPr>
                <w:b/>
                <w:i/>
              </w:rPr>
              <w:t>»</w:t>
            </w:r>
          </w:p>
        </w:tc>
        <w:tc>
          <w:tcPr>
            <w:tcW w:w="4876" w:type="dxa"/>
            <w:tcBorders>
              <w:top w:val="nil"/>
              <w:left w:val="nil"/>
              <w:bottom w:val="nil"/>
              <w:right w:val="nil"/>
            </w:tcBorders>
            <w:hideMark/>
          </w:tcPr>
          <w:p w14:paraId="2A2EB850" w14:textId="42799E54" w:rsidR="004D2B5D" w:rsidRPr="00087644" w:rsidRDefault="00237FB3" w:rsidP="00D063A2">
            <w:pPr>
              <w:pStyle w:val="Normal6a"/>
            </w:pPr>
            <w:r w:rsidRPr="00087644">
              <w:t>«</w:t>
            </w:r>
            <w:r w:rsidR="004D2B5D" w:rsidRPr="00087644">
              <w:t>8.</w:t>
            </w:r>
            <w:r w:rsidR="004D2B5D" w:rsidRPr="00087644">
              <w:tab/>
              <w:t xml:space="preserve">As substâncias e misturas que tenham sido classificadas, rotuladas e embaladas em conformidade com o artigo 18.º, n.º 3, conforme aplicável em 9 de dezembro de 2024, e que tenham sido colocadas no mercado antes de 1 de janeiro de 2027 não necessitam de ser classificadas, rotuladas e embaladas em conformidade com o presente regulamento, com a redação que lhe foi dada pelo Regulamento (UE) 2024/2865 do Parlamento Europeu e do Conselho, até 1 de janeiro de 2029. </w:t>
            </w:r>
            <w:r w:rsidR="004D2B5D" w:rsidRPr="00087644">
              <w:rPr>
                <w:b/>
                <w:i/>
              </w:rPr>
              <w:t xml:space="preserve">As substâncias e misturas que tenham sido classificadas, rotuladas e embaladas em conformidade com o artigo 31.º, n.º 3, e o ponto 1.2.1 do anexo I conforme aplicável em 9 de dezembro de 2024, e que tenham sido colocadas no mercado antes de 1 de janeiro de 2028 não necessitam de </w:t>
            </w:r>
            <w:r w:rsidR="004D2B5D" w:rsidRPr="00087644">
              <w:rPr>
                <w:b/>
                <w:i/>
              </w:rPr>
              <w:lastRenderedPageBreak/>
              <w:t>ser classificadas, rotuladas e embaladas em conformidade com o presente regulamento, com a redação que lhe foi dada pelo Regulamento (UE) 2024/2865 do Parlamento Europeu e do Conselho, até 1 de janeiro de 2030.</w:t>
            </w:r>
            <w:r w:rsidRPr="00087644">
              <w:rPr>
                <w:b/>
                <w:i/>
              </w:rPr>
              <w:t>»</w:t>
            </w:r>
          </w:p>
        </w:tc>
      </w:tr>
    </w:tbl>
    <w:p w14:paraId="05ADFA8B" w14:textId="77777777" w:rsidR="004D2B5D" w:rsidRPr="00087644" w:rsidRDefault="004D2B5D" w:rsidP="004D2B5D"/>
    <w:p w14:paraId="7E7168F4" w14:textId="77777777" w:rsidR="004D2B5D" w:rsidRPr="00087644" w:rsidRDefault="004D2B5D" w:rsidP="004D2B5D">
      <w:pPr>
        <w:pStyle w:val="AmNumberTabs"/>
      </w:pPr>
      <w:r w:rsidRPr="00087644">
        <w:t>Alteração</w:t>
      </w:r>
      <w:r w:rsidRPr="00087644">
        <w:tab/>
      </w:r>
      <w:r w:rsidRPr="00087644">
        <w:tab/>
        <w:t>48</w:t>
      </w:r>
    </w:p>
    <w:p w14:paraId="5FD45D43" w14:textId="77777777" w:rsidR="004D2B5D" w:rsidRPr="00087644" w:rsidRDefault="004D2B5D" w:rsidP="004D2B5D">
      <w:pPr>
        <w:pStyle w:val="NormalBold"/>
      </w:pPr>
      <w:r w:rsidRPr="00087644">
        <w:t>Proposta de regulamento</w:t>
      </w:r>
    </w:p>
    <w:p w14:paraId="710AC0A8" w14:textId="77777777" w:rsidR="004D2B5D" w:rsidRPr="00087644" w:rsidRDefault="004D2B5D" w:rsidP="004D2B5D">
      <w:pPr>
        <w:pStyle w:val="NormalBold"/>
      </w:pPr>
      <w:r w:rsidRPr="00087644">
        <w:t>Artigo 2 – parágrafo 1 – ponto 1</w:t>
      </w:r>
    </w:p>
    <w:p w14:paraId="448DEDC2" w14:textId="77777777" w:rsidR="004D2B5D" w:rsidRPr="00087644" w:rsidRDefault="004D2B5D" w:rsidP="004D2B5D">
      <w:r w:rsidRPr="00087644">
        <w:t>Regulamento (CE) n.º 1223/2009</w:t>
      </w:r>
    </w:p>
    <w:p w14:paraId="13E707B7" w14:textId="77777777" w:rsidR="004D2B5D" w:rsidRPr="00087644" w:rsidRDefault="004D2B5D" w:rsidP="004D2B5D">
      <w:r w:rsidRPr="00087644">
        <w:t>Artigo 14</w:t>
      </w:r>
      <w:r w:rsidRPr="00087644">
        <w:noBreakHyphen/>
        <w:t>A – n.º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5A60C2F9" w14:textId="77777777" w:rsidTr="00D063A2">
        <w:trPr>
          <w:trHeight w:val="240"/>
          <w:jc w:val="center"/>
        </w:trPr>
        <w:tc>
          <w:tcPr>
            <w:tcW w:w="9752" w:type="dxa"/>
            <w:gridSpan w:val="2"/>
            <w:tcBorders>
              <w:top w:val="nil"/>
              <w:left w:val="nil"/>
              <w:bottom w:val="nil"/>
              <w:right w:val="nil"/>
            </w:tcBorders>
          </w:tcPr>
          <w:p w14:paraId="211FC1F6" w14:textId="77777777" w:rsidR="004D2B5D" w:rsidRPr="00087644" w:rsidRDefault="004D2B5D" w:rsidP="00D063A2"/>
        </w:tc>
      </w:tr>
      <w:tr w:rsidR="004D2B5D" w:rsidRPr="00087644" w14:paraId="2CF9BA00" w14:textId="77777777" w:rsidTr="00D063A2">
        <w:trPr>
          <w:trHeight w:val="240"/>
          <w:jc w:val="center"/>
        </w:trPr>
        <w:tc>
          <w:tcPr>
            <w:tcW w:w="4876" w:type="dxa"/>
            <w:tcBorders>
              <w:top w:val="nil"/>
              <w:left w:val="nil"/>
              <w:bottom w:val="nil"/>
              <w:right w:val="nil"/>
            </w:tcBorders>
            <w:hideMark/>
          </w:tcPr>
          <w:p w14:paraId="4D24A4AC"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11CE28A3" w14:textId="77777777" w:rsidR="004D2B5D" w:rsidRPr="00087644" w:rsidRDefault="004D2B5D" w:rsidP="00D063A2">
            <w:pPr>
              <w:pStyle w:val="AmColumnHeading"/>
            </w:pPr>
            <w:r w:rsidRPr="00087644">
              <w:t>Alteração</w:t>
            </w:r>
          </w:p>
        </w:tc>
      </w:tr>
      <w:tr w:rsidR="004D2B5D" w:rsidRPr="00087644" w14:paraId="12972DE6" w14:textId="77777777" w:rsidTr="00D063A2">
        <w:trPr>
          <w:jc w:val="center"/>
        </w:trPr>
        <w:tc>
          <w:tcPr>
            <w:tcW w:w="4876" w:type="dxa"/>
            <w:tcBorders>
              <w:top w:val="nil"/>
              <w:left w:val="nil"/>
              <w:bottom w:val="nil"/>
              <w:right w:val="nil"/>
            </w:tcBorders>
            <w:hideMark/>
          </w:tcPr>
          <w:p w14:paraId="0361621A" w14:textId="77777777" w:rsidR="004D2B5D" w:rsidRPr="00087644" w:rsidRDefault="004D2B5D" w:rsidP="00D063A2">
            <w:pPr>
              <w:pStyle w:val="Normal6a"/>
            </w:pPr>
            <w:r w:rsidRPr="00087644">
              <w:t>2.</w:t>
            </w:r>
            <w:r w:rsidRPr="00087644">
              <w:tab/>
              <w:t xml:space="preserve">Após a receção do pedido a que se refere o n.º 1, a Comissão deve solicitar, sem demora injustificada, </w:t>
            </w:r>
            <w:r w:rsidRPr="00087644">
              <w:rPr>
                <w:b/>
                <w:i/>
              </w:rPr>
              <w:t>um</w:t>
            </w:r>
            <w:r w:rsidRPr="00087644">
              <w:t xml:space="preserve"> parecer do CCSC sobre a segurança da substância para utilização em produtos cosméticos.</w:t>
            </w:r>
          </w:p>
        </w:tc>
        <w:tc>
          <w:tcPr>
            <w:tcW w:w="4876" w:type="dxa"/>
            <w:tcBorders>
              <w:top w:val="nil"/>
              <w:left w:val="nil"/>
              <w:bottom w:val="nil"/>
              <w:right w:val="nil"/>
            </w:tcBorders>
            <w:hideMark/>
          </w:tcPr>
          <w:p w14:paraId="49FD3997" w14:textId="77777777" w:rsidR="004D2B5D" w:rsidRPr="00087644" w:rsidRDefault="004D2B5D" w:rsidP="00D063A2">
            <w:pPr>
              <w:pStyle w:val="Normal6a"/>
            </w:pPr>
            <w:r w:rsidRPr="00087644">
              <w:t>2.</w:t>
            </w:r>
            <w:r w:rsidRPr="00087644">
              <w:tab/>
              <w:t xml:space="preserve">Após a receção do pedido a que se refere o n.º 1, a Comissão deve solicitar, sem demora injustificada, </w:t>
            </w:r>
            <w:r w:rsidRPr="00087644">
              <w:rPr>
                <w:b/>
                <w:i/>
              </w:rPr>
              <w:t>o</w:t>
            </w:r>
            <w:r w:rsidRPr="00087644">
              <w:t xml:space="preserve"> parecer do CCSC sobre a segurança da substância para utilização em produtos cosméticos.</w:t>
            </w:r>
          </w:p>
        </w:tc>
      </w:tr>
    </w:tbl>
    <w:p w14:paraId="4CC89470" w14:textId="77777777" w:rsidR="004D2B5D" w:rsidRPr="00087644" w:rsidRDefault="004D2B5D" w:rsidP="004D2B5D"/>
    <w:p w14:paraId="45F37C41" w14:textId="77777777" w:rsidR="004D2B5D" w:rsidRPr="00087644" w:rsidRDefault="004D2B5D" w:rsidP="004D2B5D">
      <w:pPr>
        <w:pStyle w:val="AmNumberTabs"/>
      </w:pPr>
      <w:r w:rsidRPr="00087644">
        <w:t>Alteração</w:t>
      </w:r>
      <w:r w:rsidRPr="00087644">
        <w:tab/>
      </w:r>
      <w:r w:rsidRPr="00087644">
        <w:tab/>
        <w:t>49</w:t>
      </w:r>
    </w:p>
    <w:p w14:paraId="28F2B536" w14:textId="77777777" w:rsidR="004D2B5D" w:rsidRPr="00087644" w:rsidRDefault="004D2B5D" w:rsidP="004D2B5D">
      <w:pPr>
        <w:pStyle w:val="NormalBold"/>
      </w:pPr>
      <w:r w:rsidRPr="00087644">
        <w:t>Proposta de regulamento</w:t>
      </w:r>
    </w:p>
    <w:p w14:paraId="021EAC2B" w14:textId="77777777" w:rsidR="004D2B5D" w:rsidRPr="00087644" w:rsidRDefault="004D2B5D" w:rsidP="004D2B5D">
      <w:pPr>
        <w:pStyle w:val="NormalBold"/>
      </w:pPr>
      <w:r w:rsidRPr="00087644">
        <w:t>Artigo 2 – parágrafo 1 – ponto 2 – alínea a – subalínea i</w:t>
      </w:r>
    </w:p>
    <w:p w14:paraId="6DBF8F09" w14:textId="77777777" w:rsidR="004D2B5D" w:rsidRPr="00087644" w:rsidRDefault="004D2B5D" w:rsidP="004D2B5D">
      <w:r w:rsidRPr="00087644">
        <w:t>Regulamento (CE) n.º 1223/2009</w:t>
      </w:r>
    </w:p>
    <w:p w14:paraId="68DF4CEC" w14:textId="77777777" w:rsidR="004D2B5D" w:rsidRPr="00087644" w:rsidRDefault="004D2B5D" w:rsidP="004D2B5D">
      <w:r w:rsidRPr="00087644">
        <w:t>Artigo 15 – n.º 2 – parágrafo 2 – parte introdutória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0CFCE086" w14:textId="77777777" w:rsidTr="00D063A2">
        <w:trPr>
          <w:trHeight w:val="240"/>
          <w:jc w:val="center"/>
        </w:trPr>
        <w:tc>
          <w:tcPr>
            <w:tcW w:w="9752" w:type="dxa"/>
            <w:gridSpan w:val="2"/>
            <w:tcBorders>
              <w:top w:val="nil"/>
              <w:left w:val="nil"/>
              <w:bottom w:val="nil"/>
              <w:right w:val="nil"/>
            </w:tcBorders>
          </w:tcPr>
          <w:p w14:paraId="5996E5DB" w14:textId="77777777" w:rsidR="004D2B5D" w:rsidRPr="00087644" w:rsidRDefault="004D2B5D" w:rsidP="00D063A2"/>
        </w:tc>
      </w:tr>
      <w:tr w:rsidR="004D2B5D" w:rsidRPr="00087644" w14:paraId="48C474BF" w14:textId="77777777" w:rsidTr="00D063A2">
        <w:trPr>
          <w:trHeight w:val="240"/>
          <w:jc w:val="center"/>
        </w:trPr>
        <w:tc>
          <w:tcPr>
            <w:tcW w:w="4876" w:type="dxa"/>
            <w:tcBorders>
              <w:top w:val="nil"/>
              <w:left w:val="nil"/>
              <w:bottom w:val="nil"/>
              <w:right w:val="nil"/>
            </w:tcBorders>
            <w:hideMark/>
          </w:tcPr>
          <w:p w14:paraId="5C3E1F9D"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564FA6F2" w14:textId="77777777" w:rsidR="004D2B5D" w:rsidRPr="00087644" w:rsidRDefault="004D2B5D" w:rsidP="00D063A2">
            <w:pPr>
              <w:pStyle w:val="AmColumnHeading"/>
            </w:pPr>
            <w:r w:rsidRPr="00087644">
              <w:t>Alteração</w:t>
            </w:r>
          </w:p>
        </w:tc>
      </w:tr>
      <w:tr w:rsidR="004D2B5D" w:rsidRPr="00087644" w14:paraId="1E0AB6B4" w14:textId="77777777" w:rsidTr="00D063A2">
        <w:trPr>
          <w:jc w:val="center"/>
        </w:trPr>
        <w:tc>
          <w:tcPr>
            <w:tcW w:w="4876" w:type="dxa"/>
            <w:tcBorders>
              <w:top w:val="nil"/>
              <w:left w:val="nil"/>
              <w:bottom w:val="nil"/>
              <w:right w:val="nil"/>
            </w:tcBorders>
            <w:hideMark/>
          </w:tcPr>
          <w:p w14:paraId="33BF8D44" w14:textId="77777777" w:rsidR="004D2B5D" w:rsidRPr="00087644" w:rsidRDefault="004D2B5D" w:rsidP="00D063A2">
            <w:pPr>
              <w:pStyle w:val="Normal6a"/>
            </w:pPr>
            <w:r w:rsidRPr="00087644">
              <w:t>2.</w:t>
            </w:r>
            <w:r w:rsidRPr="00087644">
              <w:tab/>
              <w:t xml:space="preserve">No entanto, essas substâncias podem ser utilizadas em produtos cosméticos se for apresentado um pedido de derrogação à Comissão o mais tardar três meses após a data de entrada em vigor das alterações à parte 3 do anexo VI do Regulamento (CE) n.º 1272/2008 que classifiquem a substância como substância CMR das categorias 1A ou 1B. A Comissão </w:t>
            </w:r>
            <w:r w:rsidRPr="00087644">
              <w:rPr>
                <w:b/>
                <w:i/>
              </w:rPr>
              <w:t>concede</w:t>
            </w:r>
            <w:r w:rsidRPr="00087644">
              <w:t xml:space="preserve"> a derrogação se estiverem preenchidas todas as seguintes condições:</w:t>
            </w:r>
          </w:p>
        </w:tc>
        <w:tc>
          <w:tcPr>
            <w:tcW w:w="4876" w:type="dxa"/>
            <w:tcBorders>
              <w:top w:val="nil"/>
              <w:left w:val="nil"/>
              <w:bottom w:val="nil"/>
              <w:right w:val="nil"/>
            </w:tcBorders>
            <w:hideMark/>
          </w:tcPr>
          <w:p w14:paraId="569B474A" w14:textId="77777777" w:rsidR="004D2B5D" w:rsidRPr="00087644" w:rsidRDefault="004D2B5D" w:rsidP="00D063A2">
            <w:pPr>
              <w:pStyle w:val="Normal6a"/>
            </w:pPr>
            <w:r w:rsidRPr="00087644">
              <w:t>2.</w:t>
            </w:r>
            <w:r w:rsidRPr="00087644">
              <w:tab/>
              <w:t xml:space="preserve">No entanto, essas substâncias podem ser utilizadas </w:t>
            </w:r>
            <w:r w:rsidRPr="00087644">
              <w:rPr>
                <w:b/>
                <w:i/>
              </w:rPr>
              <w:t>excecionalmente</w:t>
            </w:r>
            <w:r w:rsidRPr="00087644">
              <w:t xml:space="preserve"> em produtos cosméticos se for apresentado um pedido de derrogação à Comissão o mais tardar três meses após a data de entrada em vigor das alterações à parte 3 do anexo VI do Regulamento (CE) n.º 1272/2008 que classifiquem a substância como substância CMR das categorias 1A ou 1B</w:t>
            </w:r>
            <w:r w:rsidRPr="00087644">
              <w:rPr>
                <w:b/>
                <w:i/>
              </w:rPr>
              <w:t>, e a Comissão concede uma derrogação à proibição geral prevista no n.º 1</w:t>
            </w:r>
            <w:r w:rsidRPr="00087644">
              <w:t xml:space="preserve">. A Comissão </w:t>
            </w:r>
            <w:r w:rsidRPr="00087644">
              <w:rPr>
                <w:b/>
                <w:i/>
              </w:rPr>
              <w:t>pode conceder</w:t>
            </w:r>
            <w:r w:rsidRPr="00087644">
              <w:t xml:space="preserve"> a derrogação se estiverem preenchidas todas as seguintes condições:</w:t>
            </w:r>
          </w:p>
        </w:tc>
      </w:tr>
    </w:tbl>
    <w:p w14:paraId="1C0FE28C" w14:textId="77777777" w:rsidR="004D2B5D" w:rsidRPr="00087644" w:rsidRDefault="004D2B5D" w:rsidP="004D2B5D"/>
    <w:p w14:paraId="2872CF74" w14:textId="77777777" w:rsidR="004D2B5D" w:rsidRPr="00087644" w:rsidRDefault="004D2B5D" w:rsidP="004D2B5D">
      <w:pPr>
        <w:pStyle w:val="AmNumberTabs"/>
      </w:pPr>
      <w:r w:rsidRPr="00087644">
        <w:t>Alteração</w:t>
      </w:r>
      <w:r w:rsidRPr="00087644">
        <w:tab/>
      </w:r>
      <w:r w:rsidRPr="00087644">
        <w:tab/>
        <w:t>50</w:t>
      </w:r>
    </w:p>
    <w:p w14:paraId="578D70A1" w14:textId="77777777" w:rsidR="004D2B5D" w:rsidRPr="00087644" w:rsidRDefault="004D2B5D" w:rsidP="004D2B5D">
      <w:pPr>
        <w:pStyle w:val="NormalBold"/>
      </w:pPr>
      <w:r w:rsidRPr="00087644">
        <w:t>Proposta de regulamento</w:t>
      </w:r>
    </w:p>
    <w:p w14:paraId="6826A202" w14:textId="77777777" w:rsidR="004D2B5D" w:rsidRPr="00087644" w:rsidRDefault="004D2B5D" w:rsidP="004D2B5D">
      <w:pPr>
        <w:pStyle w:val="NormalBold"/>
      </w:pPr>
      <w:r w:rsidRPr="00087644">
        <w:t>Artigo 2 – parágrafo 1 – ponto 2 – alínea a – subalínea i</w:t>
      </w:r>
    </w:p>
    <w:p w14:paraId="2D22188B" w14:textId="77777777" w:rsidR="004D2B5D" w:rsidRPr="00087644" w:rsidRDefault="004D2B5D" w:rsidP="004D2B5D">
      <w:r w:rsidRPr="00087644">
        <w:t>Regulamento (CE) n.º 1223/2009</w:t>
      </w:r>
    </w:p>
    <w:p w14:paraId="101462F7" w14:textId="77777777" w:rsidR="004D2B5D" w:rsidRPr="00087644" w:rsidRDefault="004D2B5D" w:rsidP="004D2B5D">
      <w:r w:rsidRPr="00087644">
        <w:lastRenderedPageBreak/>
        <w:t>Artigo 15 – n.º 2 – parágrafo 2 – alínea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2B2FC752" w14:textId="77777777" w:rsidTr="00D063A2">
        <w:trPr>
          <w:trHeight w:val="240"/>
          <w:jc w:val="center"/>
        </w:trPr>
        <w:tc>
          <w:tcPr>
            <w:tcW w:w="9752" w:type="dxa"/>
            <w:gridSpan w:val="2"/>
            <w:tcBorders>
              <w:top w:val="nil"/>
              <w:left w:val="nil"/>
              <w:bottom w:val="nil"/>
              <w:right w:val="nil"/>
            </w:tcBorders>
          </w:tcPr>
          <w:p w14:paraId="792568BB" w14:textId="77777777" w:rsidR="004D2B5D" w:rsidRPr="00087644" w:rsidRDefault="004D2B5D" w:rsidP="00D063A2"/>
        </w:tc>
      </w:tr>
      <w:tr w:rsidR="004D2B5D" w:rsidRPr="00087644" w14:paraId="65E017D4" w14:textId="77777777" w:rsidTr="00D063A2">
        <w:trPr>
          <w:trHeight w:val="240"/>
          <w:jc w:val="center"/>
        </w:trPr>
        <w:tc>
          <w:tcPr>
            <w:tcW w:w="4876" w:type="dxa"/>
            <w:tcBorders>
              <w:top w:val="nil"/>
              <w:left w:val="nil"/>
              <w:bottom w:val="nil"/>
              <w:right w:val="nil"/>
            </w:tcBorders>
            <w:hideMark/>
          </w:tcPr>
          <w:p w14:paraId="62FE5227"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51A2994E" w14:textId="77777777" w:rsidR="004D2B5D" w:rsidRPr="00087644" w:rsidRDefault="004D2B5D" w:rsidP="00D063A2">
            <w:pPr>
              <w:pStyle w:val="AmColumnHeading"/>
            </w:pPr>
            <w:r w:rsidRPr="00087644">
              <w:t>Alteração</w:t>
            </w:r>
          </w:p>
        </w:tc>
      </w:tr>
      <w:tr w:rsidR="004D2B5D" w:rsidRPr="00087644" w14:paraId="76C94B9B" w14:textId="77777777" w:rsidTr="00D063A2">
        <w:trPr>
          <w:jc w:val="center"/>
        </w:trPr>
        <w:tc>
          <w:tcPr>
            <w:tcW w:w="4876" w:type="dxa"/>
            <w:tcBorders>
              <w:top w:val="nil"/>
              <w:left w:val="nil"/>
              <w:bottom w:val="nil"/>
              <w:right w:val="nil"/>
            </w:tcBorders>
            <w:hideMark/>
          </w:tcPr>
          <w:p w14:paraId="60FF1FB1" w14:textId="77777777" w:rsidR="004D2B5D" w:rsidRPr="00087644" w:rsidRDefault="004D2B5D" w:rsidP="00D063A2">
            <w:pPr>
              <w:pStyle w:val="Normal6a"/>
            </w:pPr>
            <w:r w:rsidRPr="00087644">
              <w:t>(b)</w:t>
            </w:r>
            <w:r w:rsidRPr="00087644">
              <w:tab/>
              <w:t xml:space="preserve">As substâncias foram avaliadas e consideradas seguras pelo CCSC para uma </w:t>
            </w:r>
            <w:r w:rsidRPr="00087644">
              <w:rPr>
                <w:b/>
                <w:i/>
              </w:rPr>
              <w:t>utilização específica da categoria</w:t>
            </w:r>
            <w:r w:rsidRPr="00087644">
              <w:t xml:space="preserve"> de produtos cosméticos, tendo em consideração </w:t>
            </w:r>
            <w:r w:rsidRPr="00087644">
              <w:rPr>
                <w:b/>
                <w:i/>
              </w:rPr>
              <w:t xml:space="preserve">a exposição a esses produtos, </w:t>
            </w:r>
            <w:r w:rsidRPr="00087644">
              <w:t>a exposição global a outras fontes que não os cosméticos e os grupos vulneráveis da população</w:t>
            </w:r>
            <w:r w:rsidRPr="00087644">
              <w:rPr>
                <w:b/>
                <w:i/>
              </w:rPr>
              <w:t>.»</w:t>
            </w:r>
            <w:r w:rsidRPr="00087644">
              <w:t>.</w:t>
            </w:r>
          </w:p>
        </w:tc>
        <w:tc>
          <w:tcPr>
            <w:tcW w:w="4876" w:type="dxa"/>
            <w:tcBorders>
              <w:top w:val="nil"/>
              <w:left w:val="nil"/>
              <w:bottom w:val="nil"/>
              <w:right w:val="nil"/>
            </w:tcBorders>
            <w:hideMark/>
          </w:tcPr>
          <w:p w14:paraId="366FB6EC" w14:textId="77777777" w:rsidR="004D2B5D" w:rsidRPr="00087644" w:rsidRDefault="004D2B5D" w:rsidP="00D063A2">
            <w:pPr>
              <w:pStyle w:val="Normal6a"/>
            </w:pPr>
            <w:r w:rsidRPr="00087644">
              <w:t>(b)</w:t>
            </w:r>
            <w:r w:rsidRPr="00087644">
              <w:tab/>
              <w:t xml:space="preserve">As substâncias foram avaliadas e consideradas seguras pelo CCSC para uma </w:t>
            </w:r>
            <w:r w:rsidRPr="00087644">
              <w:rPr>
                <w:b/>
                <w:i/>
              </w:rPr>
              <w:t>ou mais utilizações específicas de uma ou mais categorias</w:t>
            </w:r>
            <w:r w:rsidRPr="00087644">
              <w:t xml:space="preserve"> de produtos cosméticos, tendo em consideração a exposição global </w:t>
            </w:r>
            <w:r w:rsidRPr="00087644">
              <w:rPr>
                <w:b/>
                <w:i/>
              </w:rPr>
              <w:t>às utilizações dessas categorias de</w:t>
            </w:r>
            <w:r w:rsidRPr="00087644">
              <w:t xml:space="preserve"> </w:t>
            </w:r>
            <w:r w:rsidRPr="00087644">
              <w:rPr>
                <w:b/>
                <w:i/>
              </w:rPr>
              <w:t>produtos, bem como</w:t>
            </w:r>
            <w:r w:rsidRPr="00087644">
              <w:t xml:space="preserve"> a outras fontes que não os cosméticos e os grupos vulneráveis da população.</w:t>
            </w:r>
          </w:p>
        </w:tc>
      </w:tr>
    </w:tbl>
    <w:p w14:paraId="23666B47" w14:textId="77777777" w:rsidR="004D2B5D" w:rsidRPr="00087644" w:rsidRDefault="004D2B5D" w:rsidP="004D2B5D"/>
    <w:p w14:paraId="2B2E40E9" w14:textId="77777777" w:rsidR="004D2B5D" w:rsidRPr="00087644" w:rsidRDefault="004D2B5D" w:rsidP="004D2B5D">
      <w:pPr>
        <w:pStyle w:val="AmNumberTabs"/>
      </w:pPr>
      <w:r w:rsidRPr="00087644">
        <w:t>Alteração</w:t>
      </w:r>
      <w:r w:rsidRPr="00087644">
        <w:tab/>
      </w:r>
      <w:r w:rsidRPr="00087644">
        <w:tab/>
        <w:t>51</w:t>
      </w:r>
    </w:p>
    <w:p w14:paraId="287CF460" w14:textId="77777777" w:rsidR="004D2B5D" w:rsidRPr="00087644" w:rsidRDefault="004D2B5D" w:rsidP="004D2B5D">
      <w:pPr>
        <w:pStyle w:val="NormalBold"/>
      </w:pPr>
      <w:r w:rsidRPr="00087644">
        <w:t>Proposta de regulamento</w:t>
      </w:r>
    </w:p>
    <w:p w14:paraId="5CB7D686" w14:textId="77777777" w:rsidR="004D2B5D" w:rsidRPr="00087644" w:rsidRDefault="004D2B5D" w:rsidP="004D2B5D">
      <w:pPr>
        <w:pStyle w:val="NormalBold"/>
      </w:pPr>
      <w:r w:rsidRPr="00087644">
        <w:t xml:space="preserve">Artigo 2 – parágrafo 1 – ponto 2 – alínea a – subalínea </w:t>
      </w:r>
      <w:proofErr w:type="spellStart"/>
      <w:r w:rsidRPr="00087644">
        <w:t>ii</w:t>
      </w:r>
      <w:proofErr w:type="spellEnd"/>
    </w:p>
    <w:p w14:paraId="13ADAFBE" w14:textId="77777777" w:rsidR="004D2B5D" w:rsidRPr="00087644" w:rsidRDefault="004D2B5D" w:rsidP="004D2B5D">
      <w:r w:rsidRPr="00087644">
        <w:t>Regulamento (CE) n.º 1223/2009</w:t>
      </w:r>
    </w:p>
    <w:p w14:paraId="093BD66E" w14:textId="77777777" w:rsidR="004D2B5D" w:rsidRPr="00087644" w:rsidRDefault="004D2B5D" w:rsidP="004D2B5D">
      <w:r w:rsidRPr="00087644">
        <w:t>Artigo 15 – n.º 2 – parágrafo 3 – alínea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62C9FAEA" w14:textId="77777777" w:rsidTr="00D063A2">
        <w:trPr>
          <w:trHeight w:val="240"/>
          <w:jc w:val="center"/>
        </w:trPr>
        <w:tc>
          <w:tcPr>
            <w:tcW w:w="9752" w:type="dxa"/>
            <w:gridSpan w:val="2"/>
            <w:tcBorders>
              <w:top w:val="nil"/>
              <w:left w:val="nil"/>
              <w:bottom w:val="nil"/>
              <w:right w:val="nil"/>
            </w:tcBorders>
          </w:tcPr>
          <w:p w14:paraId="579DFB99" w14:textId="77777777" w:rsidR="004D2B5D" w:rsidRPr="00087644" w:rsidRDefault="004D2B5D" w:rsidP="00D063A2"/>
        </w:tc>
      </w:tr>
      <w:tr w:rsidR="004D2B5D" w:rsidRPr="00087644" w14:paraId="7D8A37F2" w14:textId="77777777" w:rsidTr="00D063A2">
        <w:trPr>
          <w:trHeight w:val="240"/>
          <w:jc w:val="center"/>
        </w:trPr>
        <w:tc>
          <w:tcPr>
            <w:tcW w:w="4876" w:type="dxa"/>
            <w:tcBorders>
              <w:top w:val="nil"/>
              <w:left w:val="nil"/>
              <w:bottom w:val="nil"/>
              <w:right w:val="nil"/>
            </w:tcBorders>
            <w:hideMark/>
          </w:tcPr>
          <w:p w14:paraId="79ABD725"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5069951C" w14:textId="77777777" w:rsidR="004D2B5D" w:rsidRPr="00087644" w:rsidRDefault="004D2B5D" w:rsidP="00D063A2">
            <w:pPr>
              <w:pStyle w:val="AmColumnHeading"/>
            </w:pPr>
            <w:r w:rsidRPr="00087644">
              <w:t>Alteração</w:t>
            </w:r>
          </w:p>
        </w:tc>
      </w:tr>
      <w:tr w:rsidR="004D2B5D" w:rsidRPr="00087644" w14:paraId="5C093243" w14:textId="77777777" w:rsidTr="00D063A2">
        <w:trPr>
          <w:jc w:val="center"/>
        </w:trPr>
        <w:tc>
          <w:tcPr>
            <w:tcW w:w="4876" w:type="dxa"/>
            <w:tcBorders>
              <w:top w:val="nil"/>
              <w:left w:val="nil"/>
              <w:bottom w:val="nil"/>
              <w:right w:val="nil"/>
            </w:tcBorders>
            <w:hideMark/>
          </w:tcPr>
          <w:p w14:paraId="3A914AE1" w14:textId="77777777" w:rsidR="004D2B5D" w:rsidRPr="00087644" w:rsidRDefault="004D2B5D" w:rsidP="00D063A2">
            <w:pPr>
              <w:pStyle w:val="Normal6a"/>
            </w:pPr>
            <w:r w:rsidRPr="00087644">
              <w:t>(a)</w:t>
            </w:r>
            <w:r w:rsidRPr="00087644">
              <w:tab/>
              <w:t xml:space="preserve">A sua utilização em produtos cosméticos resulta </w:t>
            </w:r>
            <w:r w:rsidRPr="00087644">
              <w:rPr>
                <w:b/>
                <w:i/>
              </w:rPr>
              <w:t>numa</w:t>
            </w:r>
            <w:r w:rsidRPr="00087644">
              <w:t xml:space="preserve"> redução do risco global para a saúde humana </w:t>
            </w:r>
            <w:r w:rsidRPr="00087644">
              <w:rPr>
                <w:b/>
                <w:i/>
              </w:rPr>
              <w:t>e o ambiente</w:t>
            </w:r>
            <w:r w:rsidRPr="00087644">
              <w:t>;</w:t>
            </w:r>
          </w:p>
        </w:tc>
        <w:tc>
          <w:tcPr>
            <w:tcW w:w="4876" w:type="dxa"/>
            <w:tcBorders>
              <w:top w:val="nil"/>
              <w:left w:val="nil"/>
              <w:bottom w:val="nil"/>
              <w:right w:val="nil"/>
            </w:tcBorders>
            <w:hideMark/>
          </w:tcPr>
          <w:p w14:paraId="72F27F43" w14:textId="77777777" w:rsidR="004D2B5D" w:rsidRPr="00087644" w:rsidRDefault="004D2B5D" w:rsidP="00D063A2">
            <w:pPr>
              <w:pStyle w:val="Normal6a"/>
            </w:pPr>
            <w:r w:rsidRPr="00087644">
              <w:t>(a)</w:t>
            </w:r>
            <w:r w:rsidRPr="00087644">
              <w:tab/>
              <w:t xml:space="preserve">A sua utilização em produtos cosméticos </w:t>
            </w:r>
            <w:r w:rsidRPr="00087644">
              <w:rPr>
                <w:b/>
                <w:i/>
              </w:rPr>
              <w:t>é segura e</w:t>
            </w:r>
            <w:r w:rsidRPr="00087644">
              <w:t xml:space="preserve"> resulta </w:t>
            </w:r>
            <w:r w:rsidRPr="00087644">
              <w:rPr>
                <w:b/>
                <w:i/>
              </w:rPr>
              <w:t>na</w:t>
            </w:r>
            <w:r w:rsidRPr="00087644">
              <w:t xml:space="preserve"> redução do risco global para a saúde humana</w:t>
            </w:r>
            <w:r w:rsidRPr="00087644">
              <w:rPr>
                <w:b/>
                <w:i/>
              </w:rPr>
              <w:t>, quando é avaliada em comparação com a substância que pretende substituir</w:t>
            </w:r>
            <w:r w:rsidRPr="00087644">
              <w:t>;</w:t>
            </w:r>
          </w:p>
        </w:tc>
      </w:tr>
    </w:tbl>
    <w:p w14:paraId="67DA172B" w14:textId="77777777" w:rsidR="004D2B5D" w:rsidRPr="00087644" w:rsidRDefault="004D2B5D" w:rsidP="004D2B5D"/>
    <w:p w14:paraId="34B7BCDD" w14:textId="77777777" w:rsidR="004D2B5D" w:rsidRPr="00087644" w:rsidRDefault="004D2B5D" w:rsidP="004D2B5D">
      <w:pPr>
        <w:pStyle w:val="AmNumberTabs"/>
      </w:pPr>
      <w:r w:rsidRPr="00087644">
        <w:t>Alteração</w:t>
      </w:r>
      <w:r w:rsidRPr="00087644">
        <w:tab/>
      </w:r>
      <w:r w:rsidRPr="00087644">
        <w:tab/>
        <w:t>52</w:t>
      </w:r>
    </w:p>
    <w:p w14:paraId="07D547E0" w14:textId="77777777" w:rsidR="004D2B5D" w:rsidRPr="00087644" w:rsidRDefault="004D2B5D" w:rsidP="004D2B5D">
      <w:pPr>
        <w:pStyle w:val="NormalBold"/>
      </w:pPr>
      <w:r w:rsidRPr="00087644">
        <w:t>Proposta de regulamento</w:t>
      </w:r>
    </w:p>
    <w:p w14:paraId="1C330AD5" w14:textId="77777777" w:rsidR="004D2B5D" w:rsidRPr="00087644" w:rsidRDefault="004D2B5D" w:rsidP="004D2B5D">
      <w:pPr>
        <w:pStyle w:val="NormalBold"/>
      </w:pPr>
      <w:r w:rsidRPr="00087644">
        <w:t xml:space="preserve">Artigo 2 – parágrafo 1 – ponto 2 – alínea a – subalínea </w:t>
      </w:r>
      <w:proofErr w:type="spellStart"/>
      <w:r w:rsidRPr="00087644">
        <w:t>ii</w:t>
      </w:r>
      <w:proofErr w:type="spellEnd"/>
    </w:p>
    <w:p w14:paraId="6D335888" w14:textId="77777777" w:rsidR="004D2B5D" w:rsidRPr="00087644" w:rsidRDefault="004D2B5D" w:rsidP="004D2B5D">
      <w:r w:rsidRPr="00087644">
        <w:t>Regulamento (CE) n.º 1223/2009</w:t>
      </w:r>
    </w:p>
    <w:p w14:paraId="65D83A5D" w14:textId="77777777" w:rsidR="004D2B5D" w:rsidRPr="00087644" w:rsidRDefault="004D2B5D" w:rsidP="004D2B5D">
      <w:r w:rsidRPr="00087644">
        <w:t>Artigo 15 – n.º 2 – parágrafo 3 – alínea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4D9257B1" w14:textId="77777777" w:rsidTr="00D063A2">
        <w:trPr>
          <w:trHeight w:val="240"/>
          <w:jc w:val="center"/>
        </w:trPr>
        <w:tc>
          <w:tcPr>
            <w:tcW w:w="9752" w:type="dxa"/>
            <w:gridSpan w:val="2"/>
            <w:tcBorders>
              <w:top w:val="nil"/>
              <w:left w:val="nil"/>
              <w:bottom w:val="nil"/>
              <w:right w:val="nil"/>
            </w:tcBorders>
          </w:tcPr>
          <w:p w14:paraId="3343DD6C" w14:textId="77777777" w:rsidR="004D2B5D" w:rsidRPr="00087644" w:rsidRDefault="004D2B5D" w:rsidP="00D063A2"/>
        </w:tc>
      </w:tr>
      <w:tr w:rsidR="004D2B5D" w:rsidRPr="00087644" w14:paraId="2B2C2D2F" w14:textId="77777777" w:rsidTr="00D063A2">
        <w:trPr>
          <w:trHeight w:val="240"/>
          <w:jc w:val="center"/>
        </w:trPr>
        <w:tc>
          <w:tcPr>
            <w:tcW w:w="4876" w:type="dxa"/>
            <w:tcBorders>
              <w:top w:val="nil"/>
              <w:left w:val="nil"/>
              <w:bottom w:val="nil"/>
              <w:right w:val="nil"/>
            </w:tcBorders>
            <w:hideMark/>
          </w:tcPr>
          <w:p w14:paraId="023B0AE1"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2E1D0A98" w14:textId="77777777" w:rsidR="004D2B5D" w:rsidRPr="00087644" w:rsidRDefault="004D2B5D" w:rsidP="00D063A2">
            <w:pPr>
              <w:pStyle w:val="AmColumnHeading"/>
            </w:pPr>
            <w:r w:rsidRPr="00087644">
              <w:t>Alteração</w:t>
            </w:r>
          </w:p>
        </w:tc>
      </w:tr>
      <w:tr w:rsidR="004D2B5D" w:rsidRPr="00087644" w14:paraId="3730C41F" w14:textId="77777777" w:rsidTr="00D063A2">
        <w:trPr>
          <w:jc w:val="center"/>
        </w:trPr>
        <w:tc>
          <w:tcPr>
            <w:tcW w:w="4876" w:type="dxa"/>
            <w:tcBorders>
              <w:top w:val="nil"/>
              <w:left w:val="nil"/>
              <w:bottom w:val="nil"/>
              <w:right w:val="nil"/>
            </w:tcBorders>
            <w:hideMark/>
          </w:tcPr>
          <w:p w14:paraId="58CE24E3" w14:textId="77777777" w:rsidR="004D2B5D" w:rsidRPr="00087644" w:rsidRDefault="004D2B5D" w:rsidP="00D063A2">
            <w:pPr>
              <w:pStyle w:val="Normal6a"/>
            </w:pPr>
            <w:r w:rsidRPr="00087644">
              <w:t>(b)</w:t>
            </w:r>
            <w:r w:rsidRPr="00087644">
              <w:tab/>
              <w:t xml:space="preserve">Tem uma função equivalente à da substância classificada, num produto cosmético acabado, com um efeito </w:t>
            </w:r>
            <w:r w:rsidRPr="00087644">
              <w:rPr>
                <w:b/>
                <w:i/>
              </w:rPr>
              <w:t>semelhante e o mesmo nível de eficácia</w:t>
            </w:r>
            <w:r w:rsidRPr="00087644">
              <w:t>;</w:t>
            </w:r>
          </w:p>
        </w:tc>
        <w:tc>
          <w:tcPr>
            <w:tcW w:w="4876" w:type="dxa"/>
            <w:tcBorders>
              <w:top w:val="nil"/>
              <w:left w:val="nil"/>
              <w:bottom w:val="nil"/>
              <w:right w:val="nil"/>
            </w:tcBorders>
            <w:hideMark/>
          </w:tcPr>
          <w:p w14:paraId="7769F6DF" w14:textId="77777777" w:rsidR="004D2B5D" w:rsidRPr="00087644" w:rsidRDefault="004D2B5D" w:rsidP="00D063A2">
            <w:pPr>
              <w:pStyle w:val="Normal6a"/>
            </w:pPr>
            <w:r w:rsidRPr="00087644">
              <w:t>(b)</w:t>
            </w:r>
            <w:r w:rsidRPr="00087644">
              <w:tab/>
              <w:t>Tem uma função equivalente à da substância classificada, num produto cosmético acabado, com um efeito</w:t>
            </w:r>
            <w:r w:rsidRPr="00087644">
              <w:rPr>
                <w:b/>
                <w:i/>
              </w:rPr>
              <w:t>, um nível de eficácia e um desempenho comparáveis</w:t>
            </w:r>
            <w:r w:rsidRPr="00087644">
              <w:t>;</w:t>
            </w:r>
          </w:p>
        </w:tc>
      </w:tr>
    </w:tbl>
    <w:p w14:paraId="64E09D85" w14:textId="77777777" w:rsidR="004D2B5D" w:rsidRPr="00087644" w:rsidRDefault="004D2B5D" w:rsidP="004D2B5D"/>
    <w:p w14:paraId="1807E35E" w14:textId="77777777" w:rsidR="004D2B5D" w:rsidRPr="00087644" w:rsidRDefault="004D2B5D" w:rsidP="004D2B5D">
      <w:pPr>
        <w:pStyle w:val="AmNumberTabs"/>
      </w:pPr>
      <w:r w:rsidRPr="00087644">
        <w:t>Alteração</w:t>
      </w:r>
      <w:r w:rsidRPr="00087644">
        <w:tab/>
      </w:r>
      <w:r w:rsidRPr="00087644">
        <w:tab/>
        <w:t>53</w:t>
      </w:r>
    </w:p>
    <w:p w14:paraId="01AA3DC8" w14:textId="77777777" w:rsidR="004D2B5D" w:rsidRPr="00087644" w:rsidRDefault="004D2B5D" w:rsidP="004D2B5D">
      <w:pPr>
        <w:pStyle w:val="NormalBold"/>
      </w:pPr>
      <w:r w:rsidRPr="00087644">
        <w:t>Proposta de regulamento</w:t>
      </w:r>
    </w:p>
    <w:p w14:paraId="7B10D0B5" w14:textId="77777777" w:rsidR="004D2B5D" w:rsidRPr="00087644" w:rsidRDefault="004D2B5D" w:rsidP="004D2B5D">
      <w:pPr>
        <w:pStyle w:val="NormalBold"/>
      </w:pPr>
      <w:r w:rsidRPr="00087644">
        <w:t xml:space="preserve">Artigo 2 – parágrafo 1 – ponto 2 – alínea a – subalínea </w:t>
      </w:r>
      <w:proofErr w:type="spellStart"/>
      <w:r w:rsidRPr="00087644">
        <w:t>ii</w:t>
      </w:r>
      <w:proofErr w:type="spellEnd"/>
    </w:p>
    <w:p w14:paraId="4F23B2A7" w14:textId="77777777" w:rsidR="004D2B5D" w:rsidRPr="00087644" w:rsidRDefault="004D2B5D" w:rsidP="004D2B5D">
      <w:r w:rsidRPr="00087644">
        <w:t>Regulamento (CE) n.º 1223/2009</w:t>
      </w:r>
    </w:p>
    <w:p w14:paraId="2789A2A3" w14:textId="77777777" w:rsidR="004D2B5D" w:rsidRPr="00087644" w:rsidRDefault="004D2B5D" w:rsidP="004D2B5D">
      <w:r w:rsidRPr="00087644">
        <w:t>Artigo 15 – n.º 2 – parágrafo 3 – alínea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01A377BE" w14:textId="77777777" w:rsidTr="00D063A2">
        <w:trPr>
          <w:trHeight w:val="240"/>
          <w:jc w:val="center"/>
        </w:trPr>
        <w:tc>
          <w:tcPr>
            <w:tcW w:w="9752" w:type="dxa"/>
            <w:gridSpan w:val="2"/>
            <w:tcBorders>
              <w:top w:val="nil"/>
              <w:left w:val="nil"/>
              <w:bottom w:val="nil"/>
              <w:right w:val="nil"/>
            </w:tcBorders>
          </w:tcPr>
          <w:p w14:paraId="66310541" w14:textId="77777777" w:rsidR="004D2B5D" w:rsidRPr="00087644" w:rsidRDefault="004D2B5D" w:rsidP="00D063A2"/>
        </w:tc>
      </w:tr>
      <w:tr w:rsidR="004D2B5D" w:rsidRPr="00087644" w14:paraId="3064DAD8" w14:textId="77777777" w:rsidTr="00D063A2">
        <w:trPr>
          <w:trHeight w:val="240"/>
          <w:jc w:val="center"/>
        </w:trPr>
        <w:tc>
          <w:tcPr>
            <w:tcW w:w="4876" w:type="dxa"/>
            <w:tcBorders>
              <w:top w:val="nil"/>
              <w:left w:val="nil"/>
              <w:bottom w:val="nil"/>
              <w:right w:val="nil"/>
            </w:tcBorders>
            <w:hideMark/>
          </w:tcPr>
          <w:p w14:paraId="7735616D" w14:textId="77777777" w:rsidR="004D2B5D" w:rsidRPr="00087644" w:rsidRDefault="004D2B5D" w:rsidP="00D063A2">
            <w:pPr>
              <w:pStyle w:val="AmColumnHeading"/>
            </w:pPr>
            <w:r w:rsidRPr="00087644">
              <w:lastRenderedPageBreak/>
              <w:t>Texto da Comissão</w:t>
            </w:r>
          </w:p>
        </w:tc>
        <w:tc>
          <w:tcPr>
            <w:tcW w:w="4876" w:type="dxa"/>
            <w:tcBorders>
              <w:top w:val="nil"/>
              <w:left w:val="nil"/>
              <w:bottom w:val="nil"/>
              <w:right w:val="nil"/>
            </w:tcBorders>
            <w:hideMark/>
          </w:tcPr>
          <w:p w14:paraId="55E795A6" w14:textId="77777777" w:rsidR="004D2B5D" w:rsidRPr="00087644" w:rsidRDefault="004D2B5D" w:rsidP="00D063A2">
            <w:pPr>
              <w:pStyle w:val="AmColumnHeading"/>
            </w:pPr>
            <w:r w:rsidRPr="00087644">
              <w:t>Alteração</w:t>
            </w:r>
          </w:p>
        </w:tc>
      </w:tr>
      <w:tr w:rsidR="004D2B5D" w:rsidRPr="00087644" w14:paraId="61A82A83" w14:textId="77777777" w:rsidTr="00D063A2">
        <w:trPr>
          <w:jc w:val="center"/>
        </w:trPr>
        <w:tc>
          <w:tcPr>
            <w:tcW w:w="4876" w:type="dxa"/>
            <w:tcBorders>
              <w:top w:val="nil"/>
              <w:left w:val="nil"/>
              <w:bottom w:val="nil"/>
              <w:right w:val="nil"/>
            </w:tcBorders>
            <w:hideMark/>
          </w:tcPr>
          <w:p w14:paraId="282C6CA2" w14:textId="77777777" w:rsidR="004D2B5D" w:rsidRPr="00087644" w:rsidRDefault="004D2B5D" w:rsidP="00D063A2">
            <w:pPr>
              <w:pStyle w:val="Normal6a"/>
            </w:pPr>
            <w:r w:rsidRPr="00087644">
              <w:t>(c)</w:t>
            </w:r>
            <w:r w:rsidRPr="00087644">
              <w:tab/>
              <w:t xml:space="preserve">É </w:t>
            </w:r>
            <w:r w:rsidRPr="00087644">
              <w:rPr>
                <w:b/>
                <w:i/>
              </w:rPr>
              <w:t>tecnicamente</w:t>
            </w:r>
            <w:r w:rsidRPr="00087644">
              <w:t xml:space="preserve"> exequível e </w:t>
            </w:r>
            <w:r w:rsidRPr="00087644">
              <w:rPr>
                <w:b/>
                <w:i/>
              </w:rPr>
              <w:t>economicamente viável</w:t>
            </w:r>
            <w:r w:rsidRPr="00087644">
              <w:t>;</w:t>
            </w:r>
          </w:p>
        </w:tc>
        <w:tc>
          <w:tcPr>
            <w:tcW w:w="4876" w:type="dxa"/>
            <w:tcBorders>
              <w:top w:val="nil"/>
              <w:left w:val="nil"/>
              <w:bottom w:val="nil"/>
              <w:right w:val="nil"/>
            </w:tcBorders>
            <w:hideMark/>
          </w:tcPr>
          <w:p w14:paraId="4B50465D" w14:textId="77777777" w:rsidR="004D2B5D" w:rsidRPr="00087644" w:rsidRDefault="004D2B5D" w:rsidP="00D063A2">
            <w:pPr>
              <w:pStyle w:val="Normal6a"/>
            </w:pPr>
            <w:r w:rsidRPr="00087644">
              <w:t>(c)</w:t>
            </w:r>
            <w:r w:rsidRPr="00087644">
              <w:tab/>
              <w:t xml:space="preserve">É </w:t>
            </w:r>
            <w:r w:rsidRPr="00087644">
              <w:rPr>
                <w:b/>
                <w:i/>
              </w:rPr>
              <w:t>técnica e economicamente</w:t>
            </w:r>
            <w:r w:rsidRPr="00087644">
              <w:t xml:space="preserve"> exequível</w:t>
            </w:r>
            <w:r w:rsidRPr="00087644">
              <w:rPr>
                <w:b/>
                <w:i/>
              </w:rPr>
              <w:t>, contanto que os custos</w:t>
            </w:r>
            <w:r w:rsidRPr="00087644">
              <w:t xml:space="preserve"> e </w:t>
            </w:r>
            <w:r w:rsidRPr="00087644">
              <w:rPr>
                <w:b/>
                <w:i/>
              </w:rPr>
              <w:t>as condições de abastecimento permitam uma produção sustentada</w:t>
            </w:r>
            <w:r w:rsidRPr="00087644">
              <w:t>;</w:t>
            </w:r>
          </w:p>
        </w:tc>
      </w:tr>
    </w:tbl>
    <w:p w14:paraId="0B73BD6F" w14:textId="77777777" w:rsidR="004D2B5D" w:rsidRPr="00087644" w:rsidRDefault="004D2B5D" w:rsidP="004D2B5D"/>
    <w:p w14:paraId="7236F6A1" w14:textId="77777777" w:rsidR="004D2B5D" w:rsidRPr="00087644" w:rsidRDefault="004D2B5D" w:rsidP="004D2B5D">
      <w:pPr>
        <w:pStyle w:val="AmNumberTabs"/>
      </w:pPr>
      <w:r w:rsidRPr="00087644">
        <w:t>Alteração</w:t>
      </w:r>
      <w:r w:rsidRPr="00087644">
        <w:tab/>
      </w:r>
      <w:r w:rsidRPr="00087644">
        <w:tab/>
        <w:t>54</w:t>
      </w:r>
    </w:p>
    <w:p w14:paraId="41A07E3E" w14:textId="77777777" w:rsidR="004D2B5D" w:rsidRPr="00087644" w:rsidRDefault="004D2B5D" w:rsidP="004D2B5D">
      <w:pPr>
        <w:pStyle w:val="NormalBold"/>
      </w:pPr>
      <w:r w:rsidRPr="00087644">
        <w:t>Proposta de regulamento</w:t>
      </w:r>
    </w:p>
    <w:p w14:paraId="4517DED3" w14:textId="77777777" w:rsidR="004D2B5D" w:rsidRPr="00087644" w:rsidRDefault="004D2B5D" w:rsidP="004D2B5D">
      <w:pPr>
        <w:pStyle w:val="NormalBold"/>
      </w:pPr>
      <w:r w:rsidRPr="00087644">
        <w:t xml:space="preserve">Artigo 2 – parágrafo 1 – ponto 2 – alínea a – subalínea </w:t>
      </w:r>
      <w:proofErr w:type="spellStart"/>
      <w:r w:rsidRPr="00087644">
        <w:t>ii</w:t>
      </w:r>
      <w:proofErr w:type="spellEnd"/>
    </w:p>
    <w:p w14:paraId="3FCC1760" w14:textId="77777777" w:rsidR="004D2B5D" w:rsidRPr="00087644" w:rsidRDefault="004D2B5D" w:rsidP="004D2B5D">
      <w:r w:rsidRPr="00087644">
        <w:t>Regulamento (CE) n.º 1223/2009</w:t>
      </w:r>
    </w:p>
    <w:p w14:paraId="13A985BC" w14:textId="77777777" w:rsidR="004D2B5D" w:rsidRPr="00087644" w:rsidRDefault="004D2B5D" w:rsidP="004D2B5D">
      <w:r w:rsidRPr="00087644">
        <w:t>Artigo 15 – n.º 2 – parágrafo 3 – alínea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5D8480CC" w14:textId="77777777" w:rsidTr="00D063A2">
        <w:trPr>
          <w:trHeight w:val="240"/>
          <w:jc w:val="center"/>
        </w:trPr>
        <w:tc>
          <w:tcPr>
            <w:tcW w:w="9752" w:type="dxa"/>
            <w:gridSpan w:val="2"/>
            <w:tcBorders>
              <w:top w:val="nil"/>
              <w:left w:val="nil"/>
              <w:bottom w:val="nil"/>
              <w:right w:val="nil"/>
            </w:tcBorders>
          </w:tcPr>
          <w:p w14:paraId="697C3830" w14:textId="77777777" w:rsidR="004D2B5D" w:rsidRPr="00087644" w:rsidRDefault="004D2B5D" w:rsidP="00D063A2"/>
        </w:tc>
      </w:tr>
      <w:tr w:rsidR="004D2B5D" w:rsidRPr="00087644" w14:paraId="524B13E0" w14:textId="77777777" w:rsidTr="00D063A2">
        <w:trPr>
          <w:trHeight w:val="240"/>
          <w:jc w:val="center"/>
        </w:trPr>
        <w:tc>
          <w:tcPr>
            <w:tcW w:w="4876" w:type="dxa"/>
            <w:tcBorders>
              <w:top w:val="nil"/>
              <w:left w:val="nil"/>
              <w:bottom w:val="nil"/>
              <w:right w:val="nil"/>
            </w:tcBorders>
            <w:hideMark/>
          </w:tcPr>
          <w:p w14:paraId="3F4DF983"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2D69E38B" w14:textId="77777777" w:rsidR="004D2B5D" w:rsidRPr="00087644" w:rsidRDefault="004D2B5D" w:rsidP="00D063A2">
            <w:pPr>
              <w:pStyle w:val="AmColumnHeading"/>
            </w:pPr>
            <w:r w:rsidRPr="00087644">
              <w:t>Alteração</w:t>
            </w:r>
          </w:p>
        </w:tc>
      </w:tr>
      <w:tr w:rsidR="004D2B5D" w:rsidRPr="00087644" w14:paraId="743D2708" w14:textId="77777777" w:rsidTr="00D063A2">
        <w:trPr>
          <w:jc w:val="center"/>
        </w:trPr>
        <w:tc>
          <w:tcPr>
            <w:tcW w:w="4876" w:type="dxa"/>
            <w:tcBorders>
              <w:top w:val="nil"/>
              <w:left w:val="nil"/>
              <w:bottom w:val="nil"/>
              <w:right w:val="nil"/>
            </w:tcBorders>
            <w:hideMark/>
          </w:tcPr>
          <w:p w14:paraId="2546640D" w14:textId="77777777" w:rsidR="004D2B5D" w:rsidRPr="00087644" w:rsidRDefault="004D2B5D" w:rsidP="00D063A2">
            <w:pPr>
              <w:pStyle w:val="Normal6a"/>
            </w:pPr>
            <w:r w:rsidRPr="00087644">
              <w:t>(d)</w:t>
            </w:r>
            <w:r w:rsidRPr="00087644">
              <w:tab/>
              <w:t>Não está sujeita a restrições</w:t>
            </w:r>
            <w:r w:rsidRPr="00087644">
              <w:rPr>
                <w:b/>
                <w:i/>
              </w:rPr>
              <w:t>, não é protegida por direitos exclusivos e</w:t>
            </w:r>
            <w:r w:rsidRPr="00087644">
              <w:t xml:space="preserve"> está disponível no mercado em grande escala</w:t>
            </w:r>
            <w:r w:rsidRPr="00087644">
              <w:rPr>
                <w:b/>
                <w:i/>
              </w:rPr>
              <w:t>,</w:t>
            </w:r>
            <w:r w:rsidRPr="00087644">
              <w:t xml:space="preserve"> em quantidades </w:t>
            </w:r>
            <w:r w:rsidRPr="00087644">
              <w:rPr>
                <w:b/>
                <w:i/>
              </w:rPr>
              <w:t>suficientemente grandes</w:t>
            </w:r>
            <w:r w:rsidRPr="00087644">
              <w:t xml:space="preserve"> para satisfazer a procura atual </w:t>
            </w:r>
            <w:r w:rsidRPr="00087644">
              <w:rPr>
                <w:b/>
                <w:i/>
              </w:rPr>
              <w:t>e</w:t>
            </w:r>
            <w:r w:rsidRPr="00087644">
              <w:t xml:space="preserve"> prevista.</w:t>
            </w:r>
            <w:r w:rsidRPr="00087644">
              <w:rPr>
                <w:b/>
                <w:i/>
              </w:rPr>
              <w:t>»</w:t>
            </w:r>
          </w:p>
        </w:tc>
        <w:tc>
          <w:tcPr>
            <w:tcW w:w="4876" w:type="dxa"/>
            <w:tcBorders>
              <w:top w:val="nil"/>
              <w:left w:val="nil"/>
              <w:bottom w:val="nil"/>
              <w:right w:val="nil"/>
            </w:tcBorders>
            <w:hideMark/>
          </w:tcPr>
          <w:p w14:paraId="1878FAE0" w14:textId="77777777" w:rsidR="004D2B5D" w:rsidRPr="00087644" w:rsidRDefault="004D2B5D" w:rsidP="00D063A2">
            <w:pPr>
              <w:pStyle w:val="Normal6a"/>
            </w:pPr>
            <w:r w:rsidRPr="00087644">
              <w:t>(d)</w:t>
            </w:r>
            <w:r w:rsidRPr="00087644">
              <w:tab/>
              <w:t xml:space="preserve">Não está sujeita a restrições </w:t>
            </w:r>
            <w:r w:rsidRPr="00087644">
              <w:rPr>
                <w:b/>
                <w:i/>
              </w:rPr>
              <w:t>e ou</w:t>
            </w:r>
            <w:r w:rsidRPr="00087644">
              <w:t xml:space="preserve"> está disponível no mercado em grande escala </w:t>
            </w:r>
            <w:r w:rsidRPr="00087644">
              <w:rPr>
                <w:b/>
                <w:i/>
              </w:rPr>
              <w:t>e</w:t>
            </w:r>
            <w:r w:rsidRPr="00087644">
              <w:t xml:space="preserve"> em quantidades </w:t>
            </w:r>
            <w:r w:rsidRPr="00087644">
              <w:rPr>
                <w:b/>
                <w:i/>
              </w:rPr>
              <w:t>suficientes para satisfazer a procura atual ou dispõe do potencial</w:t>
            </w:r>
            <w:r w:rsidRPr="00087644">
              <w:t xml:space="preserve"> para satisfazer a procura atual </w:t>
            </w:r>
            <w:r w:rsidRPr="00087644">
              <w:rPr>
                <w:b/>
                <w:i/>
              </w:rPr>
              <w:t>ou</w:t>
            </w:r>
            <w:r w:rsidRPr="00087644">
              <w:t xml:space="preserve"> prevista </w:t>
            </w:r>
            <w:r w:rsidRPr="00087644">
              <w:rPr>
                <w:b/>
                <w:i/>
              </w:rPr>
              <w:t>num prazo razoável</w:t>
            </w:r>
            <w:r w:rsidRPr="00087644">
              <w:t>.</w:t>
            </w:r>
          </w:p>
        </w:tc>
      </w:tr>
    </w:tbl>
    <w:p w14:paraId="690F5EEE" w14:textId="77777777" w:rsidR="004D2B5D" w:rsidRPr="00087644" w:rsidRDefault="004D2B5D" w:rsidP="004D2B5D"/>
    <w:p w14:paraId="0DB9C893" w14:textId="77777777" w:rsidR="004D2B5D" w:rsidRPr="00087644" w:rsidRDefault="004D2B5D" w:rsidP="004D2B5D">
      <w:pPr>
        <w:pStyle w:val="AmNumberTabs"/>
      </w:pPr>
      <w:r w:rsidRPr="00087644">
        <w:t>Alteração</w:t>
      </w:r>
      <w:r w:rsidRPr="00087644">
        <w:tab/>
      </w:r>
      <w:r w:rsidRPr="00087644">
        <w:tab/>
        <w:t>55</w:t>
      </w:r>
    </w:p>
    <w:p w14:paraId="2B506966" w14:textId="77777777" w:rsidR="004D2B5D" w:rsidRPr="00087644" w:rsidRDefault="004D2B5D" w:rsidP="004D2B5D">
      <w:pPr>
        <w:pStyle w:val="NormalBold"/>
      </w:pPr>
      <w:r w:rsidRPr="00087644">
        <w:t>Proposta de regulamento</w:t>
      </w:r>
    </w:p>
    <w:p w14:paraId="46E83829" w14:textId="77777777" w:rsidR="004D2B5D" w:rsidRPr="00087644" w:rsidRDefault="004D2B5D" w:rsidP="004D2B5D">
      <w:pPr>
        <w:pStyle w:val="NormalBold"/>
      </w:pPr>
      <w:r w:rsidRPr="00087644">
        <w:t xml:space="preserve">Artigo 2 – parágrafo 1 – ponto 2 – alínea a – subalínea </w:t>
      </w:r>
      <w:proofErr w:type="spellStart"/>
      <w:r w:rsidRPr="00087644">
        <w:t>ii</w:t>
      </w:r>
      <w:r w:rsidRPr="00087644">
        <w:noBreakHyphen/>
        <w:t>A</w:t>
      </w:r>
      <w:proofErr w:type="spellEnd"/>
      <w:r w:rsidRPr="00087644">
        <w:t xml:space="preserve"> (nova)</w:t>
      </w:r>
    </w:p>
    <w:p w14:paraId="55BF4905" w14:textId="77777777" w:rsidR="004D2B5D" w:rsidRPr="00087644" w:rsidRDefault="004D2B5D" w:rsidP="004D2B5D">
      <w:r w:rsidRPr="00087644">
        <w:t>Regulamento (CE) n.º 1223/2009</w:t>
      </w:r>
    </w:p>
    <w:p w14:paraId="266133A3" w14:textId="77777777" w:rsidR="004D2B5D" w:rsidRPr="00087644" w:rsidRDefault="004D2B5D" w:rsidP="004D2B5D">
      <w:r w:rsidRPr="00087644">
        <w:t>Artigo 15 – n.º 2 – parágrafo 3</w:t>
      </w:r>
      <w:r w:rsidRPr="00087644">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7013782A" w14:textId="77777777" w:rsidTr="00D063A2">
        <w:trPr>
          <w:trHeight w:val="240"/>
          <w:jc w:val="center"/>
        </w:trPr>
        <w:tc>
          <w:tcPr>
            <w:tcW w:w="9752" w:type="dxa"/>
            <w:gridSpan w:val="2"/>
            <w:tcBorders>
              <w:top w:val="nil"/>
              <w:left w:val="nil"/>
              <w:bottom w:val="nil"/>
              <w:right w:val="nil"/>
            </w:tcBorders>
          </w:tcPr>
          <w:p w14:paraId="7A06C07D" w14:textId="77777777" w:rsidR="004D2B5D" w:rsidRPr="00087644" w:rsidRDefault="004D2B5D" w:rsidP="00D063A2"/>
        </w:tc>
      </w:tr>
      <w:tr w:rsidR="004D2B5D" w:rsidRPr="00087644" w14:paraId="541B2E1A" w14:textId="77777777" w:rsidTr="00D063A2">
        <w:trPr>
          <w:trHeight w:val="240"/>
          <w:jc w:val="center"/>
        </w:trPr>
        <w:tc>
          <w:tcPr>
            <w:tcW w:w="4876" w:type="dxa"/>
            <w:tcBorders>
              <w:top w:val="nil"/>
              <w:left w:val="nil"/>
              <w:bottom w:val="nil"/>
              <w:right w:val="nil"/>
            </w:tcBorders>
            <w:hideMark/>
          </w:tcPr>
          <w:p w14:paraId="35F5CDBB"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31E25D1F" w14:textId="77777777" w:rsidR="004D2B5D" w:rsidRPr="00087644" w:rsidRDefault="004D2B5D" w:rsidP="00D063A2">
            <w:pPr>
              <w:pStyle w:val="AmColumnHeading"/>
            </w:pPr>
            <w:r w:rsidRPr="00087644">
              <w:t>Alteração</w:t>
            </w:r>
          </w:p>
        </w:tc>
      </w:tr>
      <w:tr w:rsidR="004D2B5D" w:rsidRPr="00087644" w14:paraId="78073DBF" w14:textId="77777777" w:rsidTr="00D063A2">
        <w:trPr>
          <w:jc w:val="center"/>
        </w:trPr>
        <w:tc>
          <w:tcPr>
            <w:tcW w:w="4876" w:type="dxa"/>
            <w:tcBorders>
              <w:top w:val="nil"/>
              <w:left w:val="nil"/>
              <w:bottom w:val="nil"/>
              <w:right w:val="nil"/>
            </w:tcBorders>
          </w:tcPr>
          <w:p w14:paraId="31C46BFF" w14:textId="77777777" w:rsidR="004D2B5D" w:rsidRPr="00087644" w:rsidRDefault="004D2B5D" w:rsidP="00D063A2">
            <w:pPr>
              <w:pStyle w:val="Normal6a"/>
            </w:pPr>
          </w:p>
        </w:tc>
        <w:tc>
          <w:tcPr>
            <w:tcW w:w="4876" w:type="dxa"/>
            <w:tcBorders>
              <w:top w:val="nil"/>
              <w:left w:val="nil"/>
              <w:bottom w:val="nil"/>
              <w:right w:val="nil"/>
            </w:tcBorders>
            <w:hideMark/>
          </w:tcPr>
          <w:p w14:paraId="576FD33A" w14:textId="77777777" w:rsidR="004D2B5D" w:rsidRPr="00087644" w:rsidRDefault="004D2B5D" w:rsidP="00D063A2">
            <w:pPr>
              <w:pStyle w:val="Normal6a"/>
            </w:pPr>
            <w:proofErr w:type="spellStart"/>
            <w:r w:rsidRPr="00087644">
              <w:rPr>
                <w:b/>
                <w:i/>
              </w:rPr>
              <w:t>ii</w:t>
            </w:r>
            <w:r w:rsidRPr="00087644">
              <w:rPr>
                <w:b/>
                <w:i/>
              </w:rPr>
              <w:noBreakHyphen/>
              <w:t>A</w:t>
            </w:r>
            <w:proofErr w:type="spellEnd"/>
            <w:r w:rsidRPr="00087644">
              <w:rPr>
                <w:b/>
                <w:i/>
              </w:rPr>
              <w:t>)</w:t>
            </w:r>
            <w:r w:rsidRPr="00087644">
              <w:tab/>
            </w:r>
            <w:r w:rsidRPr="00087644">
              <w:rPr>
                <w:b/>
                <w:i/>
              </w:rPr>
              <w:t>após o quarto parágrafo, é inserido o seguinte parágrafo:</w:t>
            </w:r>
          </w:p>
        </w:tc>
      </w:tr>
      <w:tr w:rsidR="004D2B5D" w:rsidRPr="00087644" w14:paraId="6573BD30" w14:textId="77777777" w:rsidTr="00D063A2">
        <w:trPr>
          <w:jc w:val="center"/>
        </w:trPr>
        <w:tc>
          <w:tcPr>
            <w:tcW w:w="4876" w:type="dxa"/>
            <w:tcBorders>
              <w:top w:val="nil"/>
              <w:left w:val="nil"/>
              <w:bottom w:val="nil"/>
              <w:right w:val="nil"/>
            </w:tcBorders>
          </w:tcPr>
          <w:p w14:paraId="48D8B4E2" w14:textId="77777777" w:rsidR="004D2B5D" w:rsidRPr="00087644" w:rsidRDefault="004D2B5D" w:rsidP="00D063A2">
            <w:pPr>
              <w:pStyle w:val="Normal6a"/>
            </w:pPr>
          </w:p>
        </w:tc>
        <w:tc>
          <w:tcPr>
            <w:tcW w:w="4876" w:type="dxa"/>
            <w:tcBorders>
              <w:top w:val="nil"/>
              <w:left w:val="nil"/>
              <w:bottom w:val="nil"/>
              <w:right w:val="nil"/>
            </w:tcBorders>
            <w:hideMark/>
          </w:tcPr>
          <w:p w14:paraId="3CA01C8A" w14:textId="77777777" w:rsidR="004D2B5D" w:rsidRPr="00087644" w:rsidRDefault="004D2B5D" w:rsidP="00D063A2">
            <w:pPr>
              <w:pStyle w:val="Normal6a"/>
            </w:pPr>
            <w:r w:rsidRPr="00087644">
              <w:rPr>
                <w:b/>
                <w:i/>
              </w:rPr>
              <w:t>«A Comissão consulta as partes interessadas pertinentes para efeitos do segundo parágrafo, alínea a), e para efeitos do terceiro parágrafo.»</w:t>
            </w:r>
          </w:p>
        </w:tc>
      </w:tr>
    </w:tbl>
    <w:p w14:paraId="242DB939" w14:textId="77777777" w:rsidR="004D2B5D" w:rsidRPr="00087644" w:rsidRDefault="004D2B5D" w:rsidP="004D2B5D"/>
    <w:p w14:paraId="092790EF" w14:textId="77777777" w:rsidR="004D2B5D" w:rsidRPr="00087644" w:rsidRDefault="004D2B5D" w:rsidP="004D2B5D">
      <w:pPr>
        <w:pStyle w:val="AmNumberTabs"/>
      </w:pPr>
      <w:r w:rsidRPr="00087644">
        <w:t>Alteração</w:t>
      </w:r>
      <w:r w:rsidRPr="00087644">
        <w:tab/>
      </w:r>
      <w:r w:rsidRPr="00087644">
        <w:tab/>
        <w:t>56</w:t>
      </w:r>
    </w:p>
    <w:p w14:paraId="4DEFD067" w14:textId="77777777" w:rsidR="004D2B5D" w:rsidRPr="00087644" w:rsidRDefault="004D2B5D" w:rsidP="004D2B5D">
      <w:pPr>
        <w:pStyle w:val="NormalBold"/>
      </w:pPr>
      <w:r w:rsidRPr="00087644">
        <w:t>Proposta de regulamento</w:t>
      </w:r>
    </w:p>
    <w:p w14:paraId="041AE660" w14:textId="77777777" w:rsidR="004D2B5D" w:rsidRPr="00087644" w:rsidRDefault="004D2B5D" w:rsidP="004D2B5D">
      <w:pPr>
        <w:pStyle w:val="NormalBold"/>
      </w:pPr>
      <w:r w:rsidRPr="00087644">
        <w:t>Artigo 2 – parágrafo 1 – ponto 2 – alínea a – subalínea </w:t>
      </w:r>
      <w:proofErr w:type="spellStart"/>
      <w:r w:rsidRPr="00087644">
        <w:t>iii</w:t>
      </w:r>
      <w:proofErr w:type="spellEnd"/>
      <w:r w:rsidRPr="00087644">
        <w:t xml:space="preserve"> – parte introdutória</w:t>
      </w:r>
    </w:p>
    <w:p w14:paraId="17049405" w14:textId="77777777" w:rsidR="004D2B5D" w:rsidRPr="00087644" w:rsidRDefault="004D2B5D" w:rsidP="004D2B5D">
      <w:r w:rsidRPr="00087644">
        <w:t>Regulamento (CE) n.º 1223/2009</w:t>
      </w:r>
    </w:p>
    <w:p w14:paraId="25AF3E90" w14:textId="77777777" w:rsidR="004D2B5D" w:rsidRPr="00087644" w:rsidRDefault="004D2B5D" w:rsidP="004D2B5D">
      <w:r w:rsidRPr="00087644">
        <w:t>Artigo 15 – n.º 2 – parágrafo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48DC7528" w14:textId="77777777" w:rsidTr="00D063A2">
        <w:trPr>
          <w:trHeight w:val="240"/>
          <w:jc w:val="center"/>
        </w:trPr>
        <w:tc>
          <w:tcPr>
            <w:tcW w:w="9752" w:type="dxa"/>
            <w:gridSpan w:val="2"/>
            <w:tcBorders>
              <w:top w:val="nil"/>
              <w:left w:val="nil"/>
              <w:bottom w:val="nil"/>
              <w:right w:val="nil"/>
            </w:tcBorders>
          </w:tcPr>
          <w:p w14:paraId="4EFFDD5F" w14:textId="77777777" w:rsidR="004D2B5D" w:rsidRPr="00087644" w:rsidRDefault="004D2B5D" w:rsidP="00D063A2"/>
        </w:tc>
      </w:tr>
      <w:tr w:rsidR="004D2B5D" w:rsidRPr="00087644" w14:paraId="7BE6935C" w14:textId="77777777" w:rsidTr="00D063A2">
        <w:trPr>
          <w:trHeight w:val="240"/>
          <w:jc w:val="center"/>
        </w:trPr>
        <w:tc>
          <w:tcPr>
            <w:tcW w:w="4876" w:type="dxa"/>
            <w:tcBorders>
              <w:top w:val="nil"/>
              <w:left w:val="nil"/>
              <w:bottom w:val="nil"/>
              <w:right w:val="nil"/>
            </w:tcBorders>
            <w:hideMark/>
          </w:tcPr>
          <w:p w14:paraId="4C874BBC"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7D713AB8" w14:textId="77777777" w:rsidR="004D2B5D" w:rsidRPr="00087644" w:rsidRDefault="004D2B5D" w:rsidP="00D063A2">
            <w:pPr>
              <w:pStyle w:val="AmColumnHeading"/>
            </w:pPr>
            <w:r w:rsidRPr="00087644">
              <w:t>Alteração</w:t>
            </w:r>
          </w:p>
        </w:tc>
      </w:tr>
      <w:tr w:rsidR="004D2B5D" w:rsidRPr="00087644" w14:paraId="6F732EBE" w14:textId="77777777" w:rsidTr="00D063A2">
        <w:trPr>
          <w:jc w:val="center"/>
        </w:trPr>
        <w:tc>
          <w:tcPr>
            <w:tcW w:w="4876" w:type="dxa"/>
            <w:tcBorders>
              <w:top w:val="nil"/>
              <w:left w:val="nil"/>
              <w:bottom w:val="nil"/>
              <w:right w:val="nil"/>
            </w:tcBorders>
            <w:hideMark/>
          </w:tcPr>
          <w:p w14:paraId="57B02DA0" w14:textId="77777777" w:rsidR="004D2B5D" w:rsidRPr="00087644" w:rsidRDefault="004D2B5D" w:rsidP="00D063A2">
            <w:pPr>
              <w:pStyle w:val="Normal6a"/>
            </w:pPr>
            <w:proofErr w:type="spellStart"/>
            <w:r w:rsidRPr="00087644">
              <w:t>iii</w:t>
            </w:r>
            <w:proofErr w:type="spellEnd"/>
            <w:r w:rsidRPr="00087644">
              <w:t>)</w:t>
            </w:r>
            <w:r w:rsidRPr="00087644">
              <w:tab/>
              <w:t xml:space="preserve">após o quarto parágrafo, </w:t>
            </w:r>
            <w:r w:rsidRPr="00087644">
              <w:rPr>
                <w:b/>
                <w:i/>
              </w:rPr>
              <w:t>é inserido o seguinte parágrafo</w:t>
            </w:r>
            <w:r w:rsidRPr="00087644">
              <w:t>:</w:t>
            </w:r>
          </w:p>
        </w:tc>
        <w:tc>
          <w:tcPr>
            <w:tcW w:w="4876" w:type="dxa"/>
            <w:tcBorders>
              <w:top w:val="nil"/>
              <w:left w:val="nil"/>
              <w:bottom w:val="nil"/>
              <w:right w:val="nil"/>
            </w:tcBorders>
            <w:hideMark/>
          </w:tcPr>
          <w:p w14:paraId="1CD3410C" w14:textId="77777777" w:rsidR="004D2B5D" w:rsidRPr="00087644" w:rsidRDefault="004D2B5D" w:rsidP="00D063A2">
            <w:pPr>
              <w:pStyle w:val="Normal6a"/>
            </w:pPr>
            <w:proofErr w:type="spellStart"/>
            <w:r w:rsidRPr="00087644">
              <w:t>iii</w:t>
            </w:r>
            <w:proofErr w:type="spellEnd"/>
            <w:r w:rsidRPr="00087644">
              <w:t>)</w:t>
            </w:r>
            <w:r w:rsidRPr="00087644">
              <w:tab/>
              <w:t xml:space="preserve">após o quarto parágrafo, </w:t>
            </w:r>
            <w:r w:rsidRPr="00087644">
              <w:rPr>
                <w:b/>
                <w:i/>
              </w:rPr>
              <w:t>são inseridos os seguintes parágrafos</w:t>
            </w:r>
            <w:r w:rsidRPr="00087644">
              <w:t>:</w:t>
            </w:r>
          </w:p>
        </w:tc>
      </w:tr>
    </w:tbl>
    <w:p w14:paraId="30D51082" w14:textId="77777777" w:rsidR="004D2B5D" w:rsidRPr="00087644" w:rsidRDefault="004D2B5D" w:rsidP="004D2B5D"/>
    <w:p w14:paraId="78E70AD6" w14:textId="77777777" w:rsidR="004D2B5D" w:rsidRPr="00087644" w:rsidRDefault="004D2B5D" w:rsidP="004D2B5D">
      <w:pPr>
        <w:pStyle w:val="AmNumberTabs"/>
      </w:pPr>
      <w:r w:rsidRPr="00087644">
        <w:t>Alteração</w:t>
      </w:r>
      <w:r w:rsidRPr="00087644">
        <w:tab/>
      </w:r>
      <w:r w:rsidRPr="00087644">
        <w:tab/>
        <w:t>57</w:t>
      </w:r>
    </w:p>
    <w:p w14:paraId="5297BC1C" w14:textId="77777777" w:rsidR="004D2B5D" w:rsidRPr="00087644" w:rsidRDefault="004D2B5D" w:rsidP="004D2B5D">
      <w:pPr>
        <w:pStyle w:val="NormalBold"/>
      </w:pPr>
      <w:r w:rsidRPr="00087644">
        <w:t>Proposta de regulamento</w:t>
      </w:r>
    </w:p>
    <w:p w14:paraId="22186E7E" w14:textId="77777777" w:rsidR="004D2B5D" w:rsidRPr="00087644" w:rsidRDefault="004D2B5D" w:rsidP="004D2B5D">
      <w:pPr>
        <w:pStyle w:val="NormalBold"/>
      </w:pPr>
      <w:r w:rsidRPr="00087644">
        <w:t xml:space="preserve">Artigo 2 – parágrafo 1 – ponto 2 – alínea a – subalínea </w:t>
      </w:r>
      <w:proofErr w:type="spellStart"/>
      <w:r w:rsidRPr="00087644">
        <w:t>iii</w:t>
      </w:r>
      <w:proofErr w:type="spellEnd"/>
    </w:p>
    <w:p w14:paraId="1E5395F7" w14:textId="77777777" w:rsidR="004D2B5D" w:rsidRPr="00087644" w:rsidRDefault="004D2B5D" w:rsidP="004D2B5D">
      <w:r w:rsidRPr="00087644">
        <w:t>Regulamento (CE) n.º 1223/2009</w:t>
      </w:r>
    </w:p>
    <w:p w14:paraId="07ACF56F" w14:textId="77777777" w:rsidR="004D2B5D" w:rsidRPr="00087644" w:rsidRDefault="004D2B5D" w:rsidP="004D2B5D">
      <w:r w:rsidRPr="00087644">
        <w:t>Artigo 15 – n.º 2 – parágrafo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4FF9C0D8" w14:textId="77777777" w:rsidTr="00D063A2">
        <w:trPr>
          <w:trHeight w:val="240"/>
          <w:jc w:val="center"/>
        </w:trPr>
        <w:tc>
          <w:tcPr>
            <w:tcW w:w="9752" w:type="dxa"/>
            <w:gridSpan w:val="2"/>
            <w:tcBorders>
              <w:top w:val="nil"/>
              <w:left w:val="nil"/>
              <w:bottom w:val="nil"/>
              <w:right w:val="nil"/>
            </w:tcBorders>
          </w:tcPr>
          <w:p w14:paraId="1150487E" w14:textId="77777777" w:rsidR="004D2B5D" w:rsidRPr="00087644" w:rsidRDefault="004D2B5D" w:rsidP="00D063A2"/>
        </w:tc>
      </w:tr>
      <w:tr w:rsidR="004D2B5D" w:rsidRPr="00087644" w14:paraId="1BF6F796" w14:textId="77777777" w:rsidTr="00D063A2">
        <w:trPr>
          <w:trHeight w:val="240"/>
          <w:jc w:val="center"/>
        </w:trPr>
        <w:tc>
          <w:tcPr>
            <w:tcW w:w="4876" w:type="dxa"/>
            <w:tcBorders>
              <w:top w:val="nil"/>
              <w:left w:val="nil"/>
              <w:bottom w:val="nil"/>
              <w:right w:val="nil"/>
            </w:tcBorders>
            <w:hideMark/>
          </w:tcPr>
          <w:p w14:paraId="3B680BB7"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21963EE1" w14:textId="77777777" w:rsidR="004D2B5D" w:rsidRPr="00087644" w:rsidRDefault="004D2B5D" w:rsidP="00D063A2">
            <w:pPr>
              <w:pStyle w:val="AmColumnHeading"/>
            </w:pPr>
            <w:r w:rsidRPr="00087644">
              <w:t>Alteração</w:t>
            </w:r>
          </w:p>
        </w:tc>
      </w:tr>
      <w:tr w:rsidR="004D2B5D" w:rsidRPr="00087644" w14:paraId="4B1E8B0F" w14:textId="77777777" w:rsidTr="00D063A2">
        <w:trPr>
          <w:jc w:val="center"/>
        </w:trPr>
        <w:tc>
          <w:tcPr>
            <w:tcW w:w="4876" w:type="dxa"/>
            <w:tcBorders>
              <w:top w:val="nil"/>
              <w:left w:val="nil"/>
              <w:bottom w:val="nil"/>
              <w:right w:val="nil"/>
            </w:tcBorders>
            <w:hideMark/>
          </w:tcPr>
          <w:p w14:paraId="6C84F1A8" w14:textId="77777777" w:rsidR="004D2B5D" w:rsidRPr="00087644" w:rsidRDefault="004D2B5D" w:rsidP="00D063A2">
            <w:pPr>
              <w:pStyle w:val="Normal6a"/>
            </w:pPr>
            <w:r w:rsidRPr="00087644">
              <w:t>«O prazo estabelecido no quarto parágrafo do presente número começa a correr a partir da data de entrada em vigor das alterações pertinentes da parte 3 do anexo VI do Regulamento (CE) n.º 1272/2008, que classifica a substância em causa como substância CMR da categoria 1A ou 1B.</w:t>
            </w:r>
            <w:r w:rsidRPr="00087644">
              <w:rPr>
                <w:b/>
                <w:i/>
              </w:rPr>
              <w:t>»;</w:t>
            </w:r>
          </w:p>
        </w:tc>
        <w:tc>
          <w:tcPr>
            <w:tcW w:w="4876" w:type="dxa"/>
            <w:tcBorders>
              <w:top w:val="nil"/>
              <w:left w:val="nil"/>
              <w:bottom w:val="nil"/>
              <w:right w:val="nil"/>
            </w:tcBorders>
            <w:hideMark/>
          </w:tcPr>
          <w:p w14:paraId="4337B4C4" w14:textId="5D84E27E" w:rsidR="004D2B5D" w:rsidRPr="00087644" w:rsidRDefault="004D2B5D" w:rsidP="00D063A2">
            <w:pPr>
              <w:pStyle w:val="Normal6a"/>
            </w:pPr>
            <w:r w:rsidRPr="00087644">
              <w:t>«O prazo estabelecido no quarto parágrafo do presente número começa a correr a partir da data de entrada em vigor das alterações pertinentes da parte 3 do anexo VI do Regulamento (CE) n.º 1272/2008, que classifica a substância em causa como substância CMR da categoria 1A ou 1B.</w:t>
            </w:r>
            <w:r w:rsidR="00C13C4C" w:rsidRPr="00087644">
              <w:t>»</w:t>
            </w:r>
          </w:p>
        </w:tc>
      </w:tr>
    </w:tbl>
    <w:p w14:paraId="6DC99FB4" w14:textId="77777777" w:rsidR="004D2B5D" w:rsidRPr="00087644" w:rsidRDefault="004D2B5D" w:rsidP="004D2B5D"/>
    <w:p w14:paraId="6B00B3C0" w14:textId="77777777" w:rsidR="004D2B5D" w:rsidRPr="00087644" w:rsidRDefault="004D2B5D" w:rsidP="004D2B5D">
      <w:pPr>
        <w:pStyle w:val="AmNumberTabs"/>
      </w:pPr>
      <w:r w:rsidRPr="00087644">
        <w:t>Alteração</w:t>
      </w:r>
      <w:r w:rsidRPr="00087644">
        <w:tab/>
      </w:r>
      <w:r w:rsidRPr="00087644">
        <w:tab/>
        <w:t>58</w:t>
      </w:r>
    </w:p>
    <w:p w14:paraId="14FCB43B" w14:textId="77777777" w:rsidR="004D2B5D" w:rsidRPr="00087644" w:rsidRDefault="004D2B5D" w:rsidP="004D2B5D">
      <w:pPr>
        <w:pStyle w:val="NormalBold"/>
      </w:pPr>
      <w:r w:rsidRPr="00087644">
        <w:t>Proposta de regulamento</w:t>
      </w:r>
    </w:p>
    <w:p w14:paraId="3D9AE911" w14:textId="77777777" w:rsidR="004D2B5D" w:rsidRPr="00087644" w:rsidRDefault="004D2B5D" w:rsidP="004D2B5D">
      <w:pPr>
        <w:pStyle w:val="NormalBold"/>
      </w:pPr>
      <w:r w:rsidRPr="00087644">
        <w:t>Artigo 2 – parágrafo 1 – ponto 2 – alínea a</w:t>
      </w:r>
    </w:p>
    <w:p w14:paraId="7AEBFC67" w14:textId="77777777" w:rsidR="004D2B5D" w:rsidRPr="00087644" w:rsidRDefault="004D2B5D" w:rsidP="004D2B5D">
      <w:r w:rsidRPr="00087644">
        <w:t>Regulamento (CE) n.º 1223/2009</w:t>
      </w:r>
    </w:p>
    <w:p w14:paraId="4A3EE358" w14:textId="77777777" w:rsidR="004D2B5D" w:rsidRPr="00087644" w:rsidRDefault="004D2B5D" w:rsidP="004D2B5D">
      <w:r w:rsidRPr="00087644">
        <w:t>Artigo 15 – n.º 2 – parágrafo 5</w:t>
      </w:r>
      <w:r w:rsidRPr="00087644">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66925B02" w14:textId="77777777" w:rsidTr="00D063A2">
        <w:trPr>
          <w:trHeight w:val="240"/>
          <w:jc w:val="center"/>
        </w:trPr>
        <w:tc>
          <w:tcPr>
            <w:tcW w:w="9752" w:type="dxa"/>
            <w:gridSpan w:val="2"/>
            <w:tcBorders>
              <w:top w:val="nil"/>
              <w:left w:val="nil"/>
              <w:bottom w:val="nil"/>
              <w:right w:val="nil"/>
            </w:tcBorders>
          </w:tcPr>
          <w:p w14:paraId="69A47E68" w14:textId="77777777" w:rsidR="004D2B5D" w:rsidRPr="00087644" w:rsidRDefault="004D2B5D" w:rsidP="00D063A2"/>
        </w:tc>
      </w:tr>
      <w:tr w:rsidR="004D2B5D" w:rsidRPr="00087644" w14:paraId="24B9D4E3" w14:textId="77777777" w:rsidTr="00D063A2">
        <w:trPr>
          <w:trHeight w:val="240"/>
          <w:jc w:val="center"/>
        </w:trPr>
        <w:tc>
          <w:tcPr>
            <w:tcW w:w="4876" w:type="dxa"/>
            <w:tcBorders>
              <w:top w:val="nil"/>
              <w:left w:val="nil"/>
              <w:bottom w:val="nil"/>
              <w:right w:val="nil"/>
            </w:tcBorders>
            <w:hideMark/>
          </w:tcPr>
          <w:p w14:paraId="17BA45E7"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60187127" w14:textId="77777777" w:rsidR="004D2B5D" w:rsidRPr="00087644" w:rsidRDefault="004D2B5D" w:rsidP="00D063A2">
            <w:pPr>
              <w:pStyle w:val="AmColumnHeading"/>
            </w:pPr>
            <w:r w:rsidRPr="00087644">
              <w:t>Alteração</w:t>
            </w:r>
          </w:p>
        </w:tc>
      </w:tr>
      <w:tr w:rsidR="004D2B5D" w:rsidRPr="00087644" w14:paraId="74B901D8" w14:textId="77777777" w:rsidTr="00D063A2">
        <w:trPr>
          <w:jc w:val="center"/>
        </w:trPr>
        <w:tc>
          <w:tcPr>
            <w:tcW w:w="4876" w:type="dxa"/>
            <w:tcBorders>
              <w:top w:val="nil"/>
              <w:left w:val="nil"/>
              <w:bottom w:val="nil"/>
              <w:right w:val="nil"/>
            </w:tcBorders>
          </w:tcPr>
          <w:p w14:paraId="0828DBA4" w14:textId="77777777" w:rsidR="004D2B5D" w:rsidRPr="00087644" w:rsidRDefault="004D2B5D" w:rsidP="00D063A2">
            <w:pPr>
              <w:pStyle w:val="Normal6a"/>
            </w:pPr>
          </w:p>
        </w:tc>
        <w:tc>
          <w:tcPr>
            <w:tcW w:w="4876" w:type="dxa"/>
            <w:tcBorders>
              <w:top w:val="nil"/>
              <w:left w:val="nil"/>
              <w:bottom w:val="nil"/>
              <w:right w:val="nil"/>
            </w:tcBorders>
            <w:hideMark/>
          </w:tcPr>
          <w:p w14:paraId="227EC785" w14:textId="031F3C5F" w:rsidR="004D2B5D" w:rsidRPr="00087644" w:rsidRDefault="00C13C4C" w:rsidP="00D063A2">
            <w:pPr>
              <w:pStyle w:val="Normal6a"/>
            </w:pPr>
            <w:r w:rsidRPr="00087644">
              <w:rPr>
                <w:b/>
                <w:i/>
              </w:rPr>
              <w:t>«</w:t>
            </w:r>
            <w:r w:rsidR="004D2B5D" w:rsidRPr="00087644">
              <w:rPr>
                <w:b/>
                <w:i/>
              </w:rPr>
              <w:t>5</w:t>
            </w:r>
            <w:r w:rsidR="004D2B5D" w:rsidRPr="00087644">
              <w:rPr>
                <w:b/>
                <w:i/>
              </w:rPr>
              <w:noBreakHyphen/>
              <w:t>A.</w:t>
            </w:r>
            <w:r w:rsidR="004D2B5D" w:rsidRPr="00087644">
              <w:tab/>
            </w:r>
            <w:r w:rsidR="004D2B5D" w:rsidRPr="00087644">
              <w:rPr>
                <w:b/>
                <w:i/>
              </w:rPr>
              <w:t>Caso tenha sido apresentado um pedido de derrogação previsto no segundo parágrafo do n.º 2 para substâncias CMR das categorias 1A ou 1B, este prazo pode, se for caso disso, ser prorrogado por 12 meses.»</w:t>
            </w:r>
          </w:p>
        </w:tc>
      </w:tr>
    </w:tbl>
    <w:p w14:paraId="7888B513" w14:textId="77777777" w:rsidR="004D2B5D" w:rsidRPr="00087644" w:rsidRDefault="004D2B5D" w:rsidP="004D2B5D"/>
    <w:p w14:paraId="2F97929D" w14:textId="77777777" w:rsidR="004D2B5D" w:rsidRPr="00087644" w:rsidRDefault="004D2B5D" w:rsidP="004D2B5D">
      <w:pPr>
        <w:pStyle w:val="AmNumberTabs"/>
      </w:pPr>
      <w:r w:rsidRPr="00087644">
        <w:t>Alteração</w:t>
      </w:r>
      <w:r w:rsidRPr="00087644">
        <w:tab/>
      </w:r>
      <w:r w:rsidRPr="00087644">
        <w:tab/>
        <w:t>59</w:t>
      </w:r>
    </w:p>
    <w:p w14:paraId="64E05C7C" w14:textId="77777777" w:rsidR="004D2B5D" w:rsidRPr="00087644" w:rsidRDefault="004D2B5D" w:rsidP="004D2B5D">
      <w:pPr>
        <w:pStyle w:val="NormalBold"/>
      </w:pPr>
      <w:r w:rsidRPr="00087644">
        <w:t>Proposta de regulamento</w:t>
      </w:r>
    </w:p>
    <w:p w14:paraId="0E48FDE1" w14:textId="77777777" w:rsidR="004D2B5D" w:rsidRPr="00087644" w:rsidRDefault="004D2B5D" w:rsidP="004D2B5D">
      <w:pPr>
        <w:pStyle w:val="NormalBold"/>
      </w:pPr>
      <w:r w:rsidRPr="00087644">
        <w:t>Artigo 2 – parágrafo 1 – ponto 2 – alínea b</w:t>
      </w:r>
    </w:p>
    <w:p w14:paraId="21406BBE" w14:textId="77777777" w:rsidR="004D2B5D" w:rsidRPr="00087644" w:rsidRDefault="004D2B5D" w:rsidP="004D2B5D">
      <w:r w:rsidRPr="00087644">
        <w:t>Regulamento (CE) n.º 1223/2009</w:t>
      </w:r>
    </w:p>
    <w:p w14:paraId="3F722B0B" w14:textId="77777777" w:rsidR="004D2B5D" w:rsidRPr="00087644" w:rsidRDefault="004D2B5D" w:rsidP="004D2B5D">
      <w:r w:rsidRPr="00087644">
        <w:t>Artigo 15 – n.º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47293858" w14:textId="77777777" w:rsidTr="00D063A2">
        <w:trPr>
          <w:trHeight w:val="240"/>
          <w:jc w:val="center"/>
        </w:trPr>
        <w:tc>
          <w:tcPr>
            <w:tcW w:w="9752" w:type="dxa"/>
            <w:gridSpan w:val="2"/>
            <w:tcBorders>
              <w:top w:val="nil"/>
              <w:left w:val="nil"/>
              <w:bottom w:val="nil"/>
              <w:right w:val="nil"/>
            </w:tcBorders>
          </w:tcPr>
          <w:p w14:paraId="19EA28BA" w14:textId="77777777" w:rsidR="004D2B5D" w:rsidRPr="00087644" w:rsidRDefault="004D2B5D" w:rsidP="00D063A2"/>
        </w:tc>
      </w:tr>
      <w:tr w:rsidR="004D2B5D" w:rsidRPr="00087644" w14:paraId="3B8EA21E" w14:textId="77777777" w:rsidTr="00D063A2">
        <w:trPr>
          <w:trHeight w:val="240"/>
          <w:jc w:val="center"/>
        </w:trPr>
        <w:tc>
          <w:tcPr>
            <w:tcW w:w="4876" w:type="dxa"/>
            <w:tcBorders>
              <w:top w:val="nil"/>
              <w:left w:val="nil"/>
              <w:bottom w:val="nil"/>
              <w:right w:val="nil"/>
            </w:tcBorders>
            <w:hideMark/>
          </w:tcPr>
          <w:p w14:paraId="13635A78"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6592608B" w14:textId="77777777" w:rsidR="004D2B5D" w:rsidRPr="00087644" w:rsidRDefault="004D2B5D" w:rsidP="00D063A2">
            <w:pPr>
              <w:pStyle w:val="AmColumnHeading"/>
            </w:pPr>
            <w:r w:rsidRPr="00087644">
              <w:t>Alteração</w:t>
            </w:r>
          </w:p>
        </w:tc>
      </w:tr>
      <w:tr w:rsidR="004D2B5D" w:rsidRPr="00087644" w14:paraId="1EBDE8D0" w14:textId="77777777" w:rsidTr="00D063A2">
        <w:trPr>
          <w:jc w:val="center"/>
        </w:trPr>
        <w:tc>
          <w:tcPr>
            <w:tcW w:w="4876" w:type="dxa"/>
            <w:tcBorders>
              <w:top w:val="nil"/>
              <w:left w:val="nil"/>
              <w:bottom w:val="nil"/>
              <w:right w:val="nil"/>
            </w:tcBorders>
            <w:hideMark/>
          </w:tcPr>
          <w:p w14:paraId="69EE28C5" w14:textId="77777777" w:rsidR="004D2B5D" w:rsidRPr="00087644" w:rsidRDefault="004D2B5D" w:rsidP="00D063A2">
            <w:pPr>
              <w:pStyle w:val="Normal6a"/>
            </w:pPr>
            <w:r w:rsidRPr="00087644">
              <w:rPr>
                <w:b/>
                <w:i/>
              </w:rPr>
              <w:t>5.</w:t>
            </w:r>
            <w:r w:rsidRPr="00087644">
              <w:tab/>
            </w:r>
            <w:r w:rsidRPr="00087644">
              <w:rPr>
                <w:b/>
                <w:i/>
              </w:rPr>
              <w:t>A proibição a que se referem os n.</w:t>
            </w:r>
            <w:r w:rsidRPr="00087644">
              <w:rPr>
                <w:b/>
                <w:i/>
                <w:vertAlign w:val="superscript"/>
              </w:rPr>
              <w:t>os</w:t>
            </w:r>
            <w:r w:rsidRPr="00087644">
              <w:rPr>
                <w:b/>
                <w:i/>
              </w:rPr>
              <w:t xml:space="preserve"> 1 e 2 do presente artigo não se aplica a uma substância cuja via de exposição por via oral ou por inalação, para efeitos da classificação harmonizada CMR, tenha sido explicitamente indicada na coluna «Código(s) das advertências de </w:t>
            </w:r>
            <w:r w:rsidRPr="00087644">
              <w:rPr>
                <w:b/>
                <w:i/>
              </w:rPr>
              <w:lastRenderedPageBreak/>
              <w:t>perigo», sob o título «Classificação», na parte 3 do anexo VI do Regulamento (CE) n.º 1272/2008. Se os produtos cosméticos que contêm essa substância representarem um risco potencial para a saúde humana devido a ingestão ou inalação acidentais, a Comissão deve solicitar, sem demora injustificada, um parecer do CCSC sobre a segurança da substância em causa nesses tipos de produtos específicos.</w:t>
            </w:r>
          </w:p>
        </w:tc>
        <w:tc>
          <w:tcPr>
            <w:tcW w:w="4876" w:type="dxa"/>
            <w:tcBorders>
              <w:top w:val="nil"/>
              <w:left w:val="nil"/>
              <w:bottom w:val="nil"/>
              <w:right w:val="nil"/>
            </w:tcBorders>
            <w:hideMark/>
          </w:tcPr>
          <w:p w14:paraId="709EFF88" w14:textId="77777777" w:rsidR="004D2B5D" w:rsidRPr="00087644" w:rsidRDefault="004D2B5D" w:rsidP="00D063A2">
            <w:pPr>
              <w:pStyle w:val="Normal6a"/>
            </w:pPr>
            <w:r w:rsidRPr="00087644">
              <w:rPr>
                <w:b/>
                <w:i/>
              </w:rPr>
              <w:lastRenderedPageBreak/>
              <w:t>Suprimido</w:t>
            </w:r>
          </w:p>
        </w:tc>
      </w:tr>
    </w:tbl>
    <w:p w14:paraId="76993652" w14:textId="77777777" w:rsidR="004D2B5D" w:rsidRPr="00087644" w:rsidRDefault="004D2B5D" w:rsidP="004D2B5D"/>
    <w:p w14:paraId="6EC5E1EB" w14:textId="77777777" w:rsidR="004D2B5D" w:rsidRPr="00087644" w:rsidRDefault="004D2B5D" w:rsidP="004D2B5D">
      <w:pPr>
        <w:pStyle w:val="AmNumberTabs"/>
      </w:pPr>
      <w:r w:rsidRPr="00087644">
        <w:t>Alteração</w:t>
      </w:r>
      <w:r w:rsidRPr="00087644">
        <w:tab/>
      </w:r>
      <w:r w:rsidRPr="00087644">
        <w:tab/>
        <w:t>60</w:t>
      </w:r>
    </w:p>
    <w:p w14:paraId="3878F792" w14:textId="77777777" w:rsidR="004D2B5D" w:rsidRPr="00087644" w:rsidRDefault="004D2B5D" w:rsidP="004D2B5D">
      <w:pPr>
        <w:pStyle w:val="NormalBold"/>
      </w:pPr>
      <w:r w:rsidRPr="00087644">
        <w:t>Proposta de regulamento</w:t>
      </w:r>
    </w:p>
    <w:p w14:paraId="13BE77FB" w14:textId="77777777" w:rsidR="004D2B5D" w:rsidRPr="00087644" w:rsidRDefault="004D2B5D" w:rsidP="004D2B5D">
      <w:pPr>
        <w:pStyle w:val="NormalBold"/>
      </w:pPr>
      <w:r w:rsidRPr="00087644">
        <w:t>Artigo 2 – parágrafo 1 – ponto 2 – alínea b</w:t>
      </w:r>
    </w:p>
    <w:p w14:paraId="0D0D86CB" w14:textId="77777777" w:rsidR="004D2B5D" w:rsidRPr="00087644" w:rsidRDefault="004D2B5D" w:rsidP="004D2B5D">
      <w:r w:rsidRPr="00087644">
        <w:t>Regulamento (CE) n.º 1223/2009</w:t>
      </w:r>
    </w:p>
    <w:p w14:paraId="5AF8CC79" w14:textId="77777777" w:rsidR="004D2B5D" w:rsidRPr="00087644" w:rsidRDefault="004D2B5D" w:rsidP="004D2B5D">
      <w:r w:rsidRPr="00087644">
        <w:t>Artigo 15 – n.º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5E77A0B8" w14:textId="77777777" w:rsidTr="00D063A2">
        <w:trPr>
          <w:trHeight w:val="240"/>
          <w:jc w:val="center"/>
        </w:trPr>
        <w:tc>
          <w:tcPr>
            <w:tcW w:w="9752" w:type="dxa"/>
            <w:gridSpan w:val="2"/>
            <w:tcBorders>
              <w:top w:val="nil"/>
              <w:left w:val="nil"/>
              <w:bottom w:val="nil"/>
              <w:right w:val="nil"/>
            </w:tcBorders>
          </w:tcPr>
          <w:p w14:paraId="15C916AD" w14:textId="77777777" w:rsidR="004D2B5D" w:rsidRPr="00087644" w:rsidRDefault="004D2B5D" w:rsidP="00D063A2"/>
        </w:tc>
      </w:tr>
      <w:tr w:rsidR="004D2B5D" w:rsidRPr="00087644" w14:paraId="6E2731B5" w14:textId="77777777" w:rsidTr="00D063A2">
        <w:trPr>
          <w:trHeight w:val="240"/>
          <w:jc w:val="center"/>
        </w:trPr>
        <w:tc>
          <w:tcPr>
            <w:tcW w:w="4876" w:type="dxa"/>
            <w:tcBorders>
              <w:top w:val="nil"/>
              <w:left w:val="nil"/>
              <w:bottom w:val="nil"/>
              <w:right w:val="nil"/>
            </w:tcBorders>
            <w:hideMark/>
          </w:tcPr>
          <w:p w14:paraId="2E5DA3B0"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595D5F8B" w14:textId="77777777" w:rsidR="004D2B5D" w:rsidRPr="00087644" w:rsidRDefault="004D2B5D" w:rsidP="00D063A2">
            <w:pPr>
              <w:pStyle w:val="AmColumnHeading"/>
            </w:pPr>
            <w:r w:rsidRPr="00087644">
              <w:t>Alteração</w:t>
            </w:r>
          </w:p>
        </w:tc>
      </w:tr>
      <w:tr w:rsidR="004D2B5D" w:rsidRPr="00087644" w14:paraId="5DDED33D" w14:textId="77777777" w:rsidTr="00D063A2">
        <w:trPr>
          <w:jc w:val="center"/>
        </w:trPr>
        <w:tc>
          <w:tcPr>
            <w:tcW w:w="4876" w:type="dxa"/>
            <w:tcBorders>
              <w:top w:val="nil"/>
              <w:left w:val="nil"/>
              <w:bottom w:val="nil"/>
              <w:right w:val="nil"/>
            </w:tcBorders>
            <w:hideMark/>
          </w:tcPr>
          <w:p w14:paraId="70AAE144" w14:textId="77777777" w:rsidR="004D2B5D" w:rsidRPr="00087644" w:rsidRDefault="004D2B5D" w:rsidP="00D063A2">
            <w:pPr>
              <w:pStyle w:val="Normal6a"/>
            </w:pPr>
            <w:r w:rsidRPr="00087644">
              <w:t>6.</w:t>
            </w:r>
            <w:r w:rsidRPr="00087644">
              <w:tab/>
              <w:t>A proibição a que se referem os n.</w:t>
            </w:r>
            <w:r w:rsidRPr="00087644">
              <w:rPr>
                <w:vertAlign w:val="superscript"/>
              </w:rPr>
              <w:t>os</w:t>
            </w:r>
            <w:r w:rsidRPr="00087644">
              <w:t xml:space="preserve"> 1 e 2 do presente artigo não se aplica a </w:t>
            </w:r>
            <w:r w:rsidRPr="00087644">
              <w:rPr>
                <w:b/>
                <w:i/>
              </w:rPr>
              <w:t>uma substância extraída</w:t>
            </w:r>
            <w:r w:rsidRPr="00087644">
              <w:t xml:space="preserve"> de plantas ou partes de plantas e não quimicamente modificada, na aceção do artigo 3.º, ponto 40, do Regulamento (CE) n.º 1907/2006, que contenha mais do que um constituinte, dos quais pelo menos um tenha sido classificado como substância CMR das categorias 1A, 1B ou 2 ao abrigo da parte 3 do anexo VI do Regulamento (CE) n.º 1272/2008. </w:t>
            </w:r>
            <w:r w:rsidRPr="00087644">
              <w:rPr>
                <w:b/>
                <w:i/>
              </w:rPr>
              <w:t>Se</w:t>
            </w:r>
            <w:r w:rsidRPr="00087644">
              <w:t xml:space="preserve"> a utilização</w:t>
            </w:r>
            <w:r w:rsidRPr="00087644">
              <w:rPr>
                <w:b/>
                <w:i/>
              </w:rPr>
              <w:t xml:space="preserve"> dessa substância</w:t>
            </w:r>
            <w:r w:rsidRPr="00087644">
              <w:t xml:space="preserve"> em produtos cosméticos representar um risco potencial para a saúde humana, a Comissão deve </w:t>
            </w:r>
            <w:r w:rsidRPr="00087644">
              <w:rPr>
                <w:b/>
                <w:i/>
              </w:rPr>
              <w:t>solicitar</w:t>
            </w:r>
            <w:r w:rsidRPr="00087644">
              <w:t xml:space="preserve">, sem demora injustificada, </w:t>
            </w:r>
            <w:r w:rsidRPr="00087644">
              <w:rPr>
                <w:b/>
                <w:i/>
              </w:rPr>
              <w:t>um parecer do CCSC sobre a segurança dessa substância para a sua utilização em produtos cosméticos</w:t>
            </w:r>
            <w:r w:rsidRPr="00087644">
              <w:t>.</w:t>
            </w:r>
          </w:p>
        </w:tc>
        <w:tc>
          <w:tcPr>
            <w:tcW w:w="4876" w:type="dxa"/>
            <w:tcBorders>
              <w:top w:val="nil"/>
              <w:left w:val="nil"/>
              <w:bottom w:val="nil"/>
              <w:right w:val="nil"/>
            </w:tcBorders>
            <w:hideMark/>
          </w:tcPr>
          <w:p w14:paraId="6690D8EC" w14:textId="77777777" w:rsidR="004D2B5D" w:rsidRPr="00087644" w:rsidRDefault="004D2B5D" w:rsidP="00D063A2">
            <w:pPr>
              <w:pStyle w:val="Normal6a"/>
            </w:pPr>
            <w:r w:rsidRPr="00087644">
              <w:t>6.</w:t>
            </w:r>
            <w:r w:rsidRPr="00087644">
              <w:tab/>
              <w:t>A proibição a que se referem os n.</w:t>
            </w:r>
            <w:r w:rsidRPr="00087644">
              <w:rPr>
                <w:vertAlign w:val="superscript"/>
              </w:rPr>
              <w:t>os</w:t>
            </w:r>
            <w:r w:rsidRPr="00087644">
              <w:t xml:space="preserve"> 1 e 2 do presente artigo não se aplica a </w:t>
            </w:r>
            <w:r w:rsidRPr="00087644">
              <w:rPr>
                <w:b/>
                <w:i/>
              </w:rPr>
              <w:t>substâncias extraídas</w:t>
            </w:r>
            <w:r w:rsidRPr="00087644">
              <w:t xml:space="preserve"> de plantas ou partes de plantas e não quimicamente modificada, na aceção do artigo 3.º, ponto 40, do Regulamento (CE) n.º 1907/2006, que contenha mais do que um constituinte, dos quais pelo menos um tenha sido classificado como substância CMR das categorias 1A, 1B ou 2 ao abrigo da parte 3 do anexo VI do Regulamento (CE) n.º 1272/2008. </w:t>
            </w:r>
            <w:r w:rsidRPr="00087644">
              <w:rPr>
                <w:b/>
                <w:i/>
              </w:rPr>
              <w:t xml:space="preserve">Dado que a presença desse constituinte classificado como CMR das categorias 1A, 1B ou 2 nessas substâncias em produtos cosméticos representa um risco potencial para a saúde humana, a Comissão deve solicitar, sem demora, um parecer do CCSC sobre a segurança desse constituinte para a sua presença em produtos cosméticos. O CCSC deve emitir parecer no prazo de 12 meses após o pedido da Comissão. A Comissão pode prorrogar esse prazo por seis meses se forem necessários elementos de prova adicionais. O CCSC emite o parecer final no prazo de seis meses após a apresentação dos dados suplementares. O parecer do CCSC é tornado público. Tendo em conta o parecer do CCSC, e sempre que </w:t>
            </w:r>
            <w:r w:rsidRPr="00087644">
              <w:t xml:space="preserve">a utilização em produtos </w:t>
            </w:r>
            <w:r w:rsidRPr="00087644">
              <w:lastRenderedPageBreak/>
              <w:t xml:space="preserve">cosméticos </w:t>
            </w:r>
            <w:r w:rsidRPr="00087644">
              <w:rPr>
                <w:b/>
                <w:i/>
              </w:rPr>
              <w:t>de uma substância referida no primeiro parágrafo, que contenha um constituinte classificado como CMR das categorias 1A, 1B ou 2 para a saúde humana,</w:t>
            </w:r>
            <w:r w:rsidRPr="00087644">
              <w:t xml:space="preserve"> representar um risco potencial para a saúde humana, a Comissão deve, sem demora injustificada, </w:t>
            </w:r>
            <w:r w:rsidRPr="00087644">
              <w:rPr>
                <w:b/>
                <w:i/>
              </w:rPr>
              <w:t>alterar os anexos do presente regulamento</w:t>
            </w:r>
            <w:r w:rsidRPr="00087644">
              <w:t xml:space="preserve">. </w:t>
            </w:r>
            <w:r w:rsidRPr="00087644">
              <w:rPr>
                <w:b/>
                <w:i/>
              </w:rPr>
              <w:t>Para efeitos do presente número, entende</w:t>
            </w:r>
            <w:r w:rsidRPr="00087644">
              <w:rPr>
                <w:b/>
                <w:i/>
              </w:rPr>
              <w:noBreakHyphen/>
              <w:t>se por «plantas» os organismos vivos ou mortos dos reinos das plantas e dos fungos, incluindo algas, líquenes e leveduras.</w:t>
            </w:r>
          </w:p>
        </w:tc>
      </w:tr>
    </w:tbl>
    <w:p w14:paraId="485AAE84" w14:textId="77777777" w:rsidR="004D2B5D" w:rsidRPr="00087644" w:rsidRDefault="004D2B5D" w:rsidP="004D2B5D"/>
    <w:p w14:paraId="59E5D23F" w14:textId="77777777" w:rsidR="004D2B5D" w:rsidRPr="00087644" w:rsidRDefault="004D2B5D" w:rsidP="004D2B5D">
      <w:pPr>
        <w:pStyle w:val="AmNumberTabs"/>
      </w:pPr>
      <w:r w:rsidRPr="00087644">
        <w:t>Alteração</w:t>
      </w:r>
      <w:r w:rsidRPr="00087644">
        <w:tab/>
      </w:r>
      <w:r w:rsidRPr="00087644">
        <w:tab/>
        <w:t>61</w:t>
      </w:r>
    </w:p>
    <w:p w14:paraId="60BFA1FD" w14:textId="77777777" w:rsidR="004D2B5D" w:rsidRPr="00087644" w:rsidRDefault="004D2B5D" w:rsidP="004D2B5D">
      <w:pPr>
        <w:pStyle w:val="NormalBold"/>
      </w:pPr>
      <w:r w:rsidRPr="00087644">
        <w:t>Proposta de regulamento</w:t>
      </w:r>
    </w:p>
    <w:p w14:paraId="32B63E5A" w14:textId="77777777" w:rsidR="004D2B5D" w:rsidRPr="00087644" w:rsidRDefault="004D2B5D" w:rsidP="004D2B5D">
      <w:pPr>
        <w:pStyle w:val="NormalBold"/>
      </w:pPr>
      <w:r w:rsidRPr="00087644">
        <w:t>Artigo 2 – parágrafo 1 – ponto 2 – alínea b</w:t>
      </w:r>
    </w:p>
    <w:p w14:paraId="1482DB90" w14:textId="77777777" w:rsidR="004D2B5D" w:rsidRPr="00087644" w:rsidRDefault="004D2B5D" w:rsidP="004D2B5D">
      <w:r w:rsidRPr="00087644">
        <w:t>Regulamento (CE) n.º 1223/2009</w:t>
      </w:r>
    </w:p>
    <w:p w14:paraId="7B2DE71F" w14:textId="77777777" w:rsidR="004D2B5D" w:rsidRPr="00087644" w:rsidRDefault="004D2B5D" w:rsidP="004D2B5D">
      <w:r w:rsidRPr="00087644">
        <w:t>Artigo 15 – n.º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7F117FA3" w14:textId="77777777" w:rsidTr="00D063A2">
        <w:trPr>
          <w:trHeight w:val="240"/>
          <w:jc w:val="center"/>
        </w:trPr>
        <w:tc>
          <w:tcPr>
            <w:tcW w:w="9752" w:type="dxa"/>
            <w:gridSpan w:val="2"/>
            <w:tcBorders>
              <w:top w:val="nil"/>
              <w:left w:val="nil"/>
              <w:bottom w:val="nil"/>
              <w:right w:val="nil"/>
            </w:tcBorders>
          </w:tcPr>
          <w:p w14:paraId="2B0878DD" w14:textId="77777777" w:rsidR="004D2B5D" w:rsidRPr="00087644" w:rsidRDefault="004D2B5D" w:rsidP="00D063A2"/>
        </w:tc>
      </w:tr>
      <w:tr w:rsidR="004D2B5D" w:rsidRPr="00087644" w14:paraId="7EEEDF5B" w14:textId="77777777" w:rsidTr="00D063A2">
        <w:trPr>
          <w:trHeight w:val="240"/>
          <w:jc w:val="center"/>
        </w:trPr>
        <w:tc>
          <w:tcPr>
            <w:tcW w:w="4876" w:type="dxa"/>
            <w:tcBorders>
              <w:top w:val="nil"/>
              <w:left w:val="nil"/>
              <w:bottom w:val="nil"/>
              <w:right w:val="nil"/>
            </w:tcBorders>
            <w:hideMark/>
          </w:tcPr>
          <w:p w14:paraId="5D5A89BF"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75635633" w14:textId="77777777" w:rsidR="004D2B5D" w:rsidRPr="00087644" w:rsidRDefault="004D2B5D" w:rsidP="00D063A2">
            <w:pPr>
              <w:pStyle w:val="AmColumnHeading"/>
            </w:pPr>
            <w:r w:rsidRPr="00087644">
              <w:t>Alteração</w:t>
            </w:r>
          </w:p>
        </w:tc>
      </w:tr>
      <w:tr w:rsidR="004D2B5D" w:rsidRPr="00087644" w14:paraId="5E405BC7" w14:textId="77777777" w:rsidTr="00D063A2">
        <w:trPr>
          <w:jc w:val="center"/>
        </w:trPr>
        <w:tc>
          <w:tcPr>
            <w:tcW w:w="4876" w:type="dxa"/>
            <w:tcBorders>
              <w:top w:val="nil"/>
              <w:left w:val="nil"/>
              <w:bottom w:val="nil"/>
              <w:right w:val="nil"/>
            </w:tcBorders>
            <w:hideMark/>
          </w:tcPr>
          <w:p w14:paraId="2CFB9794" w14:textId="77777777" w:rsidR="004D2B5D" w:rsidRPr="00087644" w:rsidRDefault="004D2B5D" w:rsidP="00D063A2">
            <w:pPr>
              <w:pStyle w:val="Normal6a"/>
            </w:pPr>
            <w:r w:rsidRPr="00087644">
              <w:t>7.</w:t>
            </w:r>
            <w:r w:rsidRPr="00087644">
              <w:tab/>
              <w:t xml:space="preserve">Os produtos cosméticos que contenham uma substância classificada como substância CMR das categorias 1A, 1B ou 2 ao abrigo da parte 3 do anexo VI do Regulamento (CE) n.º 1272/2008, cuja utilização em produtos cosméticos seja proibida ou que não cumpra uma restrição, podem continuar a ser colocados no mercado durante </w:t>
            </w:r>
            <w:r w:rsidRPr="00087644">
              <w:rPr>
                <w:b/>
                <w:i/>
              </w:rPr>
              <w:t>12</w:t>
            </w:r>
            <w:r w:rsidRPr="00087644">
              <w:t xml:space="preserve"> meses e ser disponibilizados no mercado durante </w:t>
            </w:r>
            <w:r w:rsidRPr="00087644">
              <w:rPr>
                <w:b/>
                <w:i/>
              </w:rPr>
              <w:t>24</w:t>
            </w:r>
            <w:r w:rsidRPr="00087644">
              <w:t xml:space="preserve"> meses após a entrada em vigor das alterações pertinentes dos anexos correspondentes do presente regulamento.</w:t>
            </w:r>
            <w:r w:rsidRPr="00087644">
              <w:rPr>
                <w:b/>
                <w:i/>
              </w:rPr>
              <w:t>»</w:t>
            </w:r>
          </w:p>
        </w:tc>
        <w:tc>
          <w:tcPr>
            <w:tcW w:w="4876" w:type="dxa"/>
            <w:tcBorders>
              <w:top w:val="nil"/>
              <w:left w:val="nil"/>
              <w:bottom w:val="nil"/>
              <w:right w:val="nil"/>
            </w:tcBorders>
            <w:hideMark/>
          </w:tcPr>
          <w:p w14:paraId="4AF2C36F" w14:textId="77777777" w:rsidR="004D2B5D" w:rsidRPr="00087644" w:rsidRDefault="004D2B5D" w:rsidP="00D063A2">
            <w:pPr>
              <w:pStyle w:val="Normal6a"/>
            </w:pPr>
            <w:r w:rsidRPr="00087644">
              <w:t>7.</w:t>
            </w:r>
            <w:r w:rsidRPr="00087644">
              <w:tab/>
            </w:r>
            <w:r w:rsidRPr="00087644">
              <w:rPr>
                <w:b/>
                <w:i/>
              </w:rPr>
              <w:t xml:space="preserve">Os produtos cosméticos que contenham uma substância classificada como substância CMR das categorias 1A, 1B ou 2 ao abrigo da parte 3 do anexo VI do Regulamento (CE) n.º 1272/2008, cuja utilização em produtos cosméticos seja proibida e para a qual não tenha sido apresentado um pedido de derrogação nos termos do n.º 2 ou que não cumpra uma restrição, podem continuar a ser colocados no mercado durante seis meses e estar disponíveis no mercado durante 15 meses após a entrada em vigor das alterações pertinentes dos anexos correspondentes do presente regulamento. Os produtos cosméticos que contenham uma substância classificada como substância CMR das categorias 1A, 1B ou 2 ao abrigo da parte 3 do anexo VI do Regulamento (CE) n.º 1272/2008, cuja utilização em produtos cosméticos seja proibida e para a qual tenha sido apresentado um pedido de derrogação nos termos do n.º 2, mas não tenha sido aceite devido a preocupações de segurança por parte do CCSC ou que não cumpra uma restrição, podem continuar a ser colocados no mercado durante três meses </w:t>
            </w:r>
            <w:r w:rsidRPr="00087644">
              <w:rPr>
                <w:b/>
                <w:i/>
              </w:rPr>
              <w:lastRenderedPageBreak/>
              <w:t>e estar disponíveis no mercado durante 12 meses após a entrada em vigor das alterações pertinentes dos anexos correspondentes do presente regulamento.</w:t>
            </w:r>
            <w:r w:rsidRPr="00087644">
              <w:t xml:space="preserve"> Os produtos cosméticos que contenham uma substância classificada como substância CMR das categorias 1A, 1B ou 2 ao abrigo da parte 3 do anexo VI do Regulamento (CE) n.º 1272/2008, cuja utilização em produtos cosméticos seja proibida ou que não cumpra uma restrição </w:t>
            </w:r>
            <w:r w:rsidRPr="00087644">
              <w:rPr>
                <w:b/>
                <w:i/>
              </w:rPr>
              <w:t>e para a qual tenha sido apresentado um pedido de derrogação nos termos do n.º 2, mas não tenha sido aceite por estar disponível uma alternativa adequada</w:t>
            </w:r>
            <w:r w:rsidRPr="00087644">
              <w:t xml:space="preserve">, podem continuar a ser colocados no mercado durante </w:t>
            </w:r>
            <w:r w:rsidRPr="00087644">
              <w:rPr>
                <w:b/>
                <w:i/>
              </w:rPr>
              <w:t>24</w:t>
            </w:r>
            <w:r w:rsidRPr="00087644">
              <w:t xml:space="preserve"> meses e ser disponibilizados no mercado durante </w:t>
            </w:r>
            <w:r w:rsidRPr="00087644">
              <w:rPr>
                <w:b/>
                <w:i/>
              </w:rPr>
              <w:t>48</w:t>
            </w:r>
            <w:r w:rsidRPr="00087644">
              <w:t xml:space="preserve"> meses após a entrada em vigor das alterações pertinentes dos anexos correspondentes do presente regulamento</w:t>
            </w:r>
            <w:r w:rsidRPr="00087644">
              <w:rPr>
                <w:b/>
                <w:i/>
              </w:rPr>
              <w:t>, na condição de se manter disponível um relatório, se necessário atualizado, sobre a segurança do produto cosmético</w:t>
            </w:r>
            <w:r w:rsidRPr="00087644">
              <w:t>.</w:t>
            </w:r>
          </w:p>
        </w:tc>
      </w:tr>
    </w:tbl>
    <w:p w14:paraId="660DD50E" w14:textId="77777777" w:rsidR="004D2B5D" w:rsidRPr="00087644" w:rsidRDefault="004D2B5D" w:rsidP="004D2B5D"/>
    <w:p w14:paraId="3BB36C47" w14:textId="77777777" w:rsidR="004D2B5D" w:rsidRPr="00087644" w:rsidRDefault="004D2B5D" w:rsidP="004D2B5D">
      <w:pPr>
        <w:pStyle w:val="AmNumberTabs"/>
      </w:pPr>
      <w:r w:rsidRPr="00087644">
        <w:t>Alteração</w:t>
      </w:r>
      <w:r w:rsidRPr="00087644">
        <w:tab/>
      </w:r>
      <w:r w:rsidRPr="00087644">
        <w:tab/>
        <w:t>62</w:t>
      </w:r>
    </w:p>
    <w:p w14:paraId="6D4DB2BC" w14:textId="77777777" w:rsidR="004D2B5D" w:rsidRPr="00087644" w:rsidRDefault="004D2B5D" w:rsidP="004D2B5D">
      <w:pPr>
        <w:pStyle w:val="NormalBold"/>
      </w:pPr>
      <w:r w:rsidRPr="00087644">
        <w:t>Proposta de regulamento</w:t>
      </w:r>
    </w:p>
    <w:p w14:paraId="58CED96C" w14:textId="77777777" w:rsidR="004D2B5D" w:rsidRPr="00087644" w:rsidRDefault="004D2B5D" w:rsidP="004D2B5D">
      <w:pPr>
        <w:pStyle w:val="NormalBold"/>
      </w:pPr>
      <w:r w:rsidRPr="00087644">
        <w:t>Artigo 2 – parágrafo 1 – ponto 3</w:t>
      </w:r>
    </w:p>
    <w:p w14:paraId="1277D948" w14:textId="77777777" w:rsidR="004D2B5D" w:rsidRPr="00087644" w:rsidRDefault="004D2B5D" w:rsidP="004D2B5D">
      <w:r w:rsidRPr="00087644">
        <w:t>Regulamento (CE) n.º 1223/2009</w:t>
      </w:r>
    </w:p>
    <w:p w14:paraId="1AD758DB" w14:textId="77777777" w:rsidR="004D2B5D" w:rsidRPr="00087644" w:rsidRDefault="004D2B5D" w:rsidP="004D2B5D">
      <w:r w:rsidRPr="00087644">
        <w:t>Artigo 16 – n.º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72985CFE" w14:textId="77777777" w:rsidTr="00D063A2">
        <w:trPr>
          <w:trHeight w:val="240"/>
          <w:jc w:val="center"/>
        </w:trPr>
        <w:tc>
          <w:tcPr>
            <w:tcW w:w="9752" w:type="dxa"/>
            <w:gridSpan w:val="2"/>
            <w:tcBorders>
              <w:top w:val="nil"/>
              <w:left w:val="nil"/>
              <w:bottom w:val="nil"/>
              <w:right w:val="nil"/>
            </w:tcBorders>
          </w:tcPr>
          <w:p w14:paraId="527877CA" w14:textId="77777777" w:rsidR="004D2B5D" w:rsidRPr="00087644" w:rsidRDefault="004D2B5D" w:rsidP="00D063A2"/>
        </w:tc>
      </w:tr>
      <w:tr w:rsidR="004D2B5D" w:rsidRPr="00087644" w14:paraId="1CA8FE17" w14:textId="77777777" w:rsidTr="00D063A2">
        <w:trPr>
          <w:trHeight w:val="240"/>
          <w:jc w:val="center"/>
        </w:trPr>
        <w:tc>
          <w:tcPr>
            <w:tcW w:w="4876" w:type="dxa"/>
            <w:tcBorders>
              <w:top w:val="nil"/>
              <w:left w:val="nil"/>
              <w:bottom w:val="nil"/>
              <w:right w:val="nil"/>
            </w:tcBorders>
            <w:hideMark/>
          </w:tcPr>
          <w:p w14:paraId="5A346998"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27C3C6A9" w14:textId="77777777" w:rsidR="004D2B5D" w:rsidRPr="00087644" w:rsidRDefault="004D2B5D" w:rsidP="00D063A2">
            <w:pPr>
              <w:pStyle w:val="AmColumnHeading"/>
            </w:pPr>
            <w:r w:rsidRPr="00087644">
              <w:t>Alteração</w:t>
            </w:r>
          </w:p>
        </w:tc>
      </w:tr>
      <w:tr w:rsidR="004D2B5D" w:rsidRPr="00087644" w14:paraId="423FC4E5" w14:textId="77777777" w:rsidTr="00D063A2">
        <w:trPr>
          <w:jc w:val="center"/>
        </w:trPr>
        <w:tc>
          <w:tcPr>
            <w:tcW w:w="4876" w:type="dxa"/>
            <w:tcBorders>
              <w:top w:val="nil"/>
              <w:left w:val="nil"/>
              <w:bottom w:val="nil"/>
              <w:right w:val="nil"/>
            </w:tcBorders>
            <w:hideMark/>
          </w:tcPr>
          <w:p w14:paraId="1A2870C7" w14:textId="77777777" w:rsidR="004D2B5D" w:rsidRPr="00087644" w:rsidRDefault="004D2B5D" w:rsidP="00D063A2">
            <w:pPr>
              <w:pStyle w:val="Normal6a"/>
            </w:pPr>
            <w:r w:rsidRPr="00087644">
              <w:t>(3)</w:t>
            </w:r>
            <w:r w:rsidRPr="00087644">
              <w:tab/>
              <w:t xml:space="preserve">No artigo 16.º, </w:t>
            </w:r>
            <w:r w:rsidRPr="00087644">
              <w:rPr>
                <w:b/>
                <w:i/>
              </w:rPr>
              <w:t>os</w:t>
            </w:r>
            <w:r w:rsidRPr="00087644">
              <w:t xml:space="preserve"> n.</w:t>
            </w:r>
            <w:r w:rsidRPr="00087644">
              <w:rPr>
                <w:b/>
                <w:i/>
                <w:vertAlign w:val="superscript"/>
              </w:rPr>
              <w:t>os</w:t>
            </w:r>
            <w:r w:rsidRPr="00087644">
              <w:t xml:space="preserve"> 3 </w:t>
            </w:r>
            <w:r w:rsidRPr="00087644">
              <w:rPr>
                <w:b/>
                <w:i/>
              </w:rPr>
              <w:t>e 7 são suprimidos;</w:t>
            </w:r>
          </w:p>
        </w:tc>
        <w:tc>
          <w:tcPr>
            <w:tcW w:w="4876" w:type="dxa"/>
            <w:tcBorders>
              <w:top w:val="nil"/>
              <w:left w:val="nil"/>
              <w:bottom w:val="nil"/>
              <w:right w:val="nil"/>
            </w:tcBorders>
            <w:hideMark/>
          </w:tcPr>
          <w:p w14:paraId="1C7B5385" w14:textId="77777777" w:rsidR="004D2B5D" w:rsidRPr="00087644" w:rsidRDefault="004D2B5D" w:rsidP="00D063A2">
            <w:pPr>
              <w:pStyle w:val="Normal6a"/>
            </w:pPr>
            <w:r w:rsidRPr="00087644">
              <w:t>(3)</w:t>
            </w:r>
            <w:r w:rsidRPr="00087644">
              <w:tab/>
              <w:t xml:space="preserve">No artigo 16.º, </w:t>
            </w:r>
            <w:r w:rsidRPr="00087644">
              <w:rPr>
                <w:b/>
                <w:i/>
              </w:rPr>
              <w:t>o</w:t>
            </w:r>
            <w:r w:rsidRPr="00087644">
              <w:t> n.</w:t>
            </w:r>
            <w:r w:rsidRPr="00087644">
              <w:rPr>
                <w:b/>
                <w:i/>
              </w:rPr>
              <w:t>º</w:t>
            </w:r>
            <w:r w:rsidRPr="00087644">
              <w:t xml:space="preserve"> 3 </w:t>
            </w:r>
            <w:r w:rsidRPr="00087644">
              <w:rPr>
                <w:b/>
                <w:i/>
              </w:rPr>
              <w:t>passa a ter a seguinte redação:</w:t>
            </w:r>
          </w:p>
        </w:tc>
      </w:tr>
      <w:tr w:rsidR="004D2B5D" w:rsidRPr="00087644" w14:paraId="4E1B7505" w14:textId="77777777" w:rsidTr="00D063A2">
        <w:trPr>
          <w:jc w:val="center"/>
        </w:trPr>
        <w:tc>
          <w:tcPr>
            <w:tcW w:w="4876" w:type="dxa"/>
            <w:tcBorders>
              <w:top w:val="nil"/>
              <w:left w:val="nil"/>
              <w:bottom w:val="nil"/>
              <w:right w:val="nil"/>
            </w:tcBorders>
          </w:tcPr>
          <w:p w14:paraId="23716C25" w14:textId="77777777" w:rsidR="004D2B5D" w:rsidRPr="00087644" w:rsidRDefault="004D2B5D" w:rsidP="00D063A2">
            <w:pPr>
              <w:pStyle w:val="Normal6a"/>
            </w:pPr>
          </w:p>
        </w:tc>
        <w:tc>
          <w:tcPr>
            <w:tcW w:w="4876" w:type="dxa"/>
            <w:tcBorders>
              <w:top w:val="nil"/>
              <w:left w:val="nil"/>
              <w:bottom w:val="nil"/>
              <w:right w:val="nil"/>
            </w:tcBorders>
            <w:hideMark/>
          </w:tcPr>
          <w:p w14:paraId="514E90F2" w14:textId="77777777" w:rsidR="004D2B5D" w:rsidRPr="00087644" w:rsidRDefault="004D2B5D" w:rsidP="00D063A2">
            <w:pPr>
              <w:pStyle w:val="Normal6a"/>
            </w:pPr>
            <w:r w:rsidRPr="00087644">
              <w:rPr>
                <w:b/>
                <w:i/>
              </w:rPr>
              <w:t xml:space="preserve">«3. Além da notificação a que se refere o artigo 13.º, os produtos cosméticos que contenham </w:t>
            </w:r>
            <w:proofErr w:type="spellStart"/>
            <w:r w:rsidRPr="00087644">
              <w:rPr>
                <w:b/>
                <w:i/>
              </w:rPr>
              <w:t>nanomateriais</w:t>
            </w:r>
            <w:proofErr w:type="spellEnd"/>
            <w:r w:rsidRPr="00087644">
              <w:rPr>
                <w:b/>
                <w:i/>
              </w:rPr>
              <w:t xml:space="preserve"> devem ser notificados pela pessoa responsável à Comissão, por via eletrónica, antes da sua colocação no mercado. O primeiro parágrafo não se aplica aos produtos cosméticos que contenham </w:t>
            </w:r>
            <w:proofErr w:type="spellStart"/>
            <w:r w:rsidRPr="00087644">
              <w:rPr>
                <w:b/>
                <w:i/>
              </w:rPr>
              <w:t>nanomateriais</w:t>
            </w:r>
            <w:proofErr w:type="spellEnd"/>
            <w:r w:rsidRPr="00087644">
              <w:rPr>
                <w:b/>
                <w:i/>
              </w:rPr>
              <w:t xml:space="preserve"> conformes com os requisitos estabelecidos no anexo III. Das informações notificadas à Comissão deve constar, pelo menos, o seguinte:</w:t>
            </w:r>
          </w:p>
        </w:tc>
      </w:tr>
      <w:tr w:rsidR="004D2B5D" w:rsidRPr="00087644" w14:paraId="0C728C0B" w14:textId="77777777" w:rsidTr="00D063A2">
        <w:trPr>
          <w:jc w:val="center"/>
        </w:trPr>
        <w:tc>
          <w:tcPr>
            <w:tcW w:w="4876" w:type="dxa"/>
            <w:tcBorders>
              <w:top w:val="nil"/>
              <w:left w:val="nil"/>
              <w:bottom w:val="nil"/>
              <w:right w:val="nil"/>
            </w:tcBorders>
          </w:tcPr>
          <w:p w14:paraId="0E652A3E" w14:textId="77777777" w:rsidR="004D2B5D" w:rsidRPr="00087644" w:rsidRDefault="004D2B5D" w:rsidP="00D063A2">
            <w:pPr>
              <w:pStyle w:val="Normal6a"/>
            </w:pPr>
          </w:p>
        </w:tc>
        <w:tc>
          <w:tcPr>
            <w:tcW w:w="4876" w:type="dxa"/>
            <w:tcBorders>
              <w:top w:val="nil"/>
              <w:left w:val="nil"/>
              <w:bottom w:val="nil"/>
              <w:right w:val="nil"/>
            </w:tcBorders>
            <w:hideMark/>
          </w:tcPr>
          <w:p w14:paraId="5A1255CD" w14:textId="77777777" w:rsidR="004D2B5D" w:rsidRPr="00087644" w:rsidRDefault="004D2B5D" w:rsidP="00D063A2">
            <w:pPr>
              <w:pStyle w:val="Normal6a"/>
            </w:pPr>
            <w:r w:rsidRPr="00087644">
              <w:rPr>
                <w:b/>
                <w:i/>
              </w:rPr>
              <w:t xml:space="preserve">(a) Identificação do </w:t>
            </w:r>
            <w:proofErr w:type="spellStart"/>
            <w:r w:rsidRPr="00087644">
              <w:rPr>
                <w:b/>
                <w:i/>
              </w:rPr>
              <w:t>nanomaterial</w:t>
            </w:r>
            <w:proofErr w:type="spellEnd"/>
            <w:r w:rsidRPr="00087644">
              <w:rPr>
                <w:b/>
                <w:i/>
              </w:rPr>
              <w:t xml:space="preserve">, incluindo a sua denominação química </w:t>
            </w:r>
            <w:r w:rsidRPr="00087644">
              <w:rPr>
                <w:b/>
                <w:i/>
              </w:rPr>
              <w:lastRenderedPageBreak/>
              <w:t>(IUPAC) e outros descritores especificados no ponto 2 do preâmbulo aos anexos II a VI; e</w:t>
            </w:r>
          </w:p>
        </w:tc>
      </w:tr>
      <w:tr w:rsidR="004D2B5D" w:rsidRPr="00087644" w14:paraId="09CF5F14" w14:textId="77777777" w:rsidTr="00D063A2">
        <w:trPr>
          <w:jc w:val="center"/>
        </w:trPr>
        <w:tc>
          <w:tcPr>
            <w:tcW w:w="4876" w:type="dxa"/>
            <w:tcBorders>
              <w:top w:val="nil"/>
              <w:left w:val="nil"/>
              <w:bottom w:val="nil"/>
              <w:right w:val="nil"/>
            </w:tcBorders>
          </w:tcPr>
          <w:p w14:paraId="21732B0F" w14:textId="77777777" w:rsidR="004D2B5D" w:rsidRPr="00087644" w:rsidRDefault="004D2B5D" w:rsidP="00D063A2">
            <w:pPr>
              <w:pStyle w:val="Normal6a"/>
            </w:pPr>
          </w:p>
        </w:tc>
        <w:tc>
          <w:tcPr>
            <w:tcW w:w="4876" w:type="dxa"/>
            <w:tcBorders>
              <w:top w:val="nil"/>
              <w:left w:val="nil"/>
              <w:bottom w:val="nil"/>
              <w:right w:val="nil"/>
            </w:tcBorders>
            <w:hideMark/>
          </w:tcPr>
          <w:p w14:paraId="5A47A69B" w14:textId="77777777" w:rsidR="004D2B5D" w:rsidRPr="00087644" w:rsidRDefault="004D2B5D" w:rsidP="00D063A2">
            <w:pPr>
              <w:pStyle w:val="Normal6a"/>
            </w:pPr>
            <w:r w:rsidRPr="00087644">
              <w:rPr>
                <w:b/>
                <w:i/>
              </w:rPr>
              <w:t xml:space="preserve">(b) Especificação do </w:t>
            </w:r>
            <w:proofErr w:type="spellStart"/>
            <w:r w:rsidRPr="00087644">
              <w:rPr>
                <w:b/>
                <w:i/>
              </w:rPr>
              <w:t>nanomaterial</w:t>
            </w:r>
            <w:proofErr w:type="spellEnd"/>
            <w:r w:rsidRPr="00087644">
              <w:rPr>
                <w:b/>
                <w:i/>
              </w:rPr>
              <w:t>, nomeadamente o tamanho das partículas e as propriedades físicas e químicas.</w:t>
            </w:r>
          </w:p>
        </w:tc>
      </w:tr>
      <w:tr w:rsidR="004D2B5D" w:rsidRPr="00087644" w14:paraId="3200FE08" w14:textId="77777777" w:rsidTr="00D063A2">
        <w:trPr>
          <w:jc w:val="center"/>
        </w:trPr>
        <w:tc>
          <w:tcPr>
            <w:tcW w:w="4876" w:type="dxa"/>
            <w:tcBorders>
              <w:top w:val="nil"/>
              <w:left w:val="nil"/>
              <w:bottom w:val="nil"/>
              <w:right w:val="nil"/>
            </w:tcBorders>
          </w:tcPr>
          <w:p w14:paraId="737F42C7" w14:textId="77777777" w:rsidR="004D2B5D" w:rsidRPr="00087644" w:rsidRDefault="004D2B5D" w:rsidP="00D063A2">
            <w:pPr>
              <w:pStyle w:val="Normal6a"/>
            </w:pPr>
          </w:p>
        </w:tc>
        <w:tc>
          <w:tcPr>
            <w:tcW w:w="4876" w:type="dxa"/>
            <w:tcBorders>
              <w:top w:val="nil"/>
              <w:left w:val="nil"/>
              <w:bottom w:val="nil"/>
              <w:right w:val="nil"/>
            </w:tcBorders>
            <w:hideMark/>
          </w:tcPr>
          <w:p w14:paraId="7431B531" w14:textId="77777777" w:rsidR="004D2B5D" w:rsidRPr="00087644" w:rsidRDefault="004D2B5D" w:rsidP="00D063A2">
            <w:pPr>
              <w:pStyle w:val="Normal6a"/>
            </w:pPr>
            <w:r w:rsidRPr="00087644">
              <w:rPr>
                <w:b/>
                <w:i/>
              </w:rPr>
              <w:t xml:space="preserve">A pessoa responsável pode designar, por mandato escrito, outra pessoa singular ou coletiva para a notificação dos </w:t>
            </w:r>
            <w:proofErr w:type="spellStart"/>
            <w:r w:rsidRPr="00087644">
              <w:rPr>
                <w:b/>
                <w:i/>
              </w:rPr>
              <w:t>nanomateriais</w:t>
            </w:r>
            <w:proofErr w:type="spellEnd"/>
            <w:r w:rsidRPr="00087644">
              <w:rPr>
                <w:b/>
                <w:i/>
              </w:rPr>
              <w:t xml:space="preserve"> e informa a Comissão desse facto. A Comissão atribui um número de referência à apresentação, que pode substituir a informação a notificar caso o mesmo </w:t>
            </w:r>
            <w:proofErr w:type="spellStart"/>
            <w:r w:rsidRPr="00087644">
              <w:rPr>
                <w:b/>
                <w:i/>
              </w:rPr>
              <w:t>nanomaterial</w:t>
            </w:r>
            <w:proofErr w:type="spellEnd"/>
            <w:r w:rsidRPr="00087644">
              <w:rPr>
                <w:b/>
                <w:i/>
              </w:rPr>
              <w:t xml:space="preserve"> seja utilizado em diferentes produtos.»</w:t>
            </w:r>
          </w:p>
        </w:tc>
      </w:tr>
    </w:tbl>
    <w:p w14:paraId="6B1E3BAA" w14:textId="77777777" w:rsidR="004D2B5D" w:rsidRPr="00087644" w:rsidRDefault="004D2B5D" w:rsidP="004D2B5D"/>
    <w:p w14:paraId="01E3E2E5" w14:textId="77777777" w:rsidR="004D2B5D" w:rsidRPr="00087644" w:rsidRDefault="004D2B5D" w:rsidP="004D2B5D">
      <w:pPr>
        <w:pStyle w:val="AmNumberTabs"/>
      </w:pPr>
      <w:r w:rsidRPr="00087644">
        <w:t>Alteração</w:t>
      </w:r>
      <w:r w:rsidRPr="00087644">
        <w:tab/>
      </w:r>
      <w:r w:rsidRPr="00087644">
        <w:tab/>
        <w:t>63</w:t>
      </w:r>
    </w:p>
    <w:p w14:paraId="1E8421AB" w14:textId="77777777" w:rsidR="004D2B5D" w:rsidRPr="00087644" w:rsidRDefault="004D2B5D" w:rsidP="004D2B5D">
      <w:pPr>
        <w:pStyle w:val="NormalBold"/>
      </w:pPr>
      <w:r w:rsidRPr="00087644">
        <w:t>Proposta de regulamento</w:t>
      </w:r>
    </w:p>
    <w:p w14:paraId="4E0C529F" w14:textId="77777777" w:rsidR="004D2B5D" w:rsidRPr="00087644" w:rsidRDefault="004D2B5D" w:rsidP="004D2B5D">
      <w:pPr>
        <w:pStyle w:val="NormalBold"/>
      </w:pPr>
      <w:r w:rsidRPr="00087644">
        <w:t>Artigo 2 – parágrafo 1 – ponto 4</w:t>
      </w:r>
      <w:r w:rsidRPr="00087644">
        <w:noBreakHyphen/>
        <w:t>A (novo)</w:t>
      </w:r>
    </w:p>
    <w:p w14:paraId="49CA82C4" w14:textId="77777777" w:rsidR="004D2B5D" w:rsidRPr="00087644" w:rsidRDefault="004D2B5D" w:rsidP="004D2B5D">
      <w:r w:rsidRPr="00087644">
        <w:t>Regulamento (CE) n.º 1223/2009</w:t>
      </w:r>
    </w:p>
    <w:p w14:paraId="79076D58" w14:textId="77777777" w:rsidR="004D2B5D" w:rsidRPr="00087644" w:rsidRDefault="004D2B5D" w:rsidP="004D2B5D">
      <w:r w:rsidRPr="00087644">
        <w:t>Artigo 19 – n.º 6</w:t>
      </w:r>
      <w:r w:rsidRPr="00087644">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2BEA8FF9" w14:textId="77777777" w:rsidTr="00D063A2">
        <w:trPr>
          <w:trHeight w:val="240"/>
          <w:jc w:val="center"/>
        </w:trPr>
        <w:tc>
          <w:tcPr>
            <w:tcW w:w="9752" w:type="dxa"/>
            <w:gridSpan w:val="2"/>
            <w:tcBorders>
              <w:top w:val="nil"/>
              <w:left w:val="nil"/>
              <w:bottom w:val="nil"/>
              <w:right w:val="nil"/>
            </w:tcBorders>
          </w:tcPr>
          <w:p w14:paraId="2CFAC880" w14:textId="77777777" w:rsidR="004D2B5D" w:rsidRPr="00087644" w:rsidRDefault="004D2B5D" w:rsidP="00D063A2"/>
        </w:tc>
      </w:tr>
      <w:tr w:rsidR="004D2B5D" w:rsidRPr="00087644" w14:paraId="66744DB4" w14:textId="77777777" w:rsidTr="00D063A2">
        <w:trPr>
          <w:trHeight w:val="240"/>
          <w:jc w:val="center"/>
        </w:trPr>
        <w:tc>
          <w:tcPr>
            <w:tcW w:w="4876" w:type="dxa"/>
            <w:tcBorders>
              <w:top w:val="nil"/>
              <w:left w:val="nil"/>
              <w:bottom w:val="nil"/>
              <w:right w:val="nil"/>
            </w:tcBorders>
            <w:hideMark/>
          </w:tcPr>
          <w:p w14:paraId="60A20325"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425F8B6B" w14:textId="77777777" w:rsidR="004D2B5D" w:rsidRPr="00087644" w:rsidRDefault="004D2B5D" w:rsidP="00D063A2">
            <w:pPr>
              <w:pStyle w:val="AmColumnHeading"/>
            </w:pPr>
            <w:r w:rsidRPr="00087644">
              <w:t>Alteração</w:t>
            </w:r>
          </w:p>
        </w:tc>
      </w:tr>
      <w:tr w:rsidR="004D2B5D" w:rsidRPr="00087644" w14:paraId="6333AE04" w14:textId="77777777" w:rsidTr="00D063A2">
        <w:trPr>
          <w:jc w:val="center"/>
        </w:trPr>
        <w:tc>
          <w:tcPr>
            <w:tcW w:w="4876" w:type="dxa"/>
            <w:tcBorders>
              <w:top w:val="nil"/>
              <w:left w:val="nil"/>
              <w:bottom w:val="nil"/>
              <w:right w:val="nil"/>
            </w:tcBorders>
          </w:tcPr>
          <w:p w14:paraId="16D5D752" w14:textId="77777777" w:rsidR="004D2B5D" w:rsidRPr="00087644" w:rsidRDefault="004D2B5D" w:rsidP="00D063A2">
            <w:pPr>
              <w:pStyle w:val="Normal6a"/>
            </w:pPr>
          </w:p>
        </w:tc>
        <w:tc>
          <w:tcPr>
            <w:tcW w:w="4876" w:type="dxa"/>
            <w:tcBorders>
              <w:top w:val="nil"/>
              <w:left w:val="nil"/>
              <w:bottom w:val="nil"/>
              <w:right w:val="nil"/>
            </w:tcBorders>
            <w:hideMark/>
          </w:tcPr>
          <w:p w14:paraId="24B231F8" w14:textId="77777777" w:rsidR="004D2B5D" w:rsidRPr="00087644" w:rsidRDefault="004D2B5D" w:rsidP="00D063A2">
            <w:pPr>
              <w:pStyle w:val="Normal6a"/>
            </w:pPr>
            <w:r w:rsidRPr="00087644">
              <w:rPr>
                <w:b/>
                <w:i/>
              </w:rPr>
              <w:t>(4</w:t>
            </w:r>
            <w:r w:rsidRPr="00087644">
              <w:rPr>
                <w:b/>
                <w:i/>
              </w:rPr>
              <w:noBreakHyphen/>
              <w:t>A)</w:t>
            </w:r>
            <w:r w:rsidRPr="00087644">
              <w:tab/>
            </w:r>
            <w:r w:rsidRPr="00087644">
              <w:rPr>
                <w:b/>
                <w:i/>
              </w:rPr>
              <w:t>Ao artigo 19.º, é aditado o seguinte número:</w:t>
            </w:r>
          </w:p>
        </w:tc>
      </w:tr>
      <w:tr w:rsidR="004D2B5D" w:rsidRPr="00087644" w14:paraId="297E09C8" w14:textId="77777777" w:rsidTr="00D063A2">
        <w:trPr>
          <w:jc w:val="center"/>
        </w:trPr>
        <w:tc>
          <w:tcPr>
            <w:tcW w:w="4876" w:type="dxa"/>
            <w:tcBorders>
              <w:top w:val="nil"/>
              <w:left w:val="nil"/>
              <w:bottom w:val="nil"/>
              <w:right w:val="nil"/>
            </w:tcBorders>
          </w:tcPr>
          <w:p w14:paraId="50A7AEC3" w14:textId="77777777" w:rsidR="004D2B5D" w:rsidRPr="00087644" w:rsidRDefault="004D2B5D" w:rsidP="00D063A2">
            <w:pPr>
              <w:pStyle w:val="Normal6a"/>
            </w:pPr>
          </w:p>
        </w:tc>
        <w:tc>
          <w:tcPr>
            <w:tcW w:w="4876" w:type="dxa"/>
            <w:tcBorders>
              <w:top w:val="nil"/>
              <w:left w:val="nil"/>
              <w:bottom w:val="nil"/>
              <w:right w:val="nil"/>
            </w:tcBorders>
            <w:hideMark/>
          </w:tcPr>
          <w:p w14:paraId="4BE84A7A" w14:textId="77777777" w:rsidR="004D2B5D" w:rsidRPr="00087644" w:rsidRDefault="004D2B5D" w:rsidP="00D063A2">
            <w:pPr>
              <w:pStyle w:val="Normal6a"/>
            </w:pPr>
            <w:r w:rsidRPr="00087644">
              <w:rPr>
                <w:b/>
                <w:i/>
              </w:rPr>
              <w:t>«6</w:t>
            </w:r>
            <w:r w:rsidRPr="00087644">
              <w:rPr>
                <w:b/>
                <w:i/>
              </w:rPr>
              <w:noBreakHyphen/>
              <w:t>A. Sempre que os produtos cosméticos forem disponibilizados no mercado através da venda à distância, a disponibilização deve indicar de forma clara e visível as informações referidas no n.º 1.»</w:t>
            </w:r>
          </w:p>
        </w:tc>
      </w:tr>
    </w:tbl>
    <w:p w14:paraId="634A00DD" w14:textId="77777777" w:rsidR="004D2B5D" w:rsidRPr="00087644" w:rsidRDefault="004D2B5D" w:rsidP="004D2B5D"/>
    <w:p w14:paraId="29101BDE" w14:textId="77777777" w:rsidR="004D2B5D" w:rsidRPr="00087644" w:rsidRDefault="004D2B5D" w:rsidP="004D2B5D">
      <w:pPr>
        <w:pStyle w:val="AmNumberTabs"/>
      </w:pPr>
      <w:r w:rsidRPr="00087644">
        <w:t>Alteração</w:t>
      </w:r>
      <w:r w:rsidRPr="00087644">
        <w:tab/>
      </w:r>
      <w:r w:rsidRPr="00087644">
        <w:tab/>
        <w:t>64</w:t>
      </w:r>
    </w:p>
    <w:p w14:paraId="6A09D79B" w14:textId="77777777" w:rsidR="004D2B5D" w:rsidRPr="00087644" w:rsidRDefault="004D2B5D" w:rsidP="004D2B5D">
      <w:pPr>
        <w:pStyle w:val="NormalBold"/>
      </w:pPr>
      <w:r w:rsidRPr="00087644">
        <w:t>Proposta de regulamento</w:t>
      </w:r>
    </w:p>
    <w:p w14:paraId="16A14BD9" w14:textId="77777777" w:rsidR="004D2B5D" w:rsidRPr="00087644" w:rsidRDefault="004D2B5D" w:rsidP="004D2B5D">
      <w:pPr>
        <w:pStyle w:val="NormalBold"/>
      </w:pPr>
      <w:r w:rsidRPr="00087644">
        <w:t>Artigo 2 – parágrafo 1 – ponto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00E40BD7" w14:textId="77777777" w:rsidTr="00D063A2">
        <w:trPr>
          <w:trHeight w:val="240"/>
          <w:jc w:val="center"/>
        </w:trPr>
        <w:tc>
          <w:tcPr>
            <w:tcW w:w="9752" w:type="dxa"/>
            <w:gridSpan w:val="2"/>
            <w:tcBorders>
              <w:top w:val="nil"/>
              <w:left w:val="nil"/>
              <w:bottom w:val="nil"/>
              <w:right w:val="nil"/>
            </w:tcBorders>
          </w:tcPr>
          <w:p w14:paraId="44E784F2" w14:textId="77777777" w:rsidR="004D2B5D" w:rsidRPr="00087644" w:rsidRDefault="004D2B5D" w:rsidP="00D063A2"/>
        </w:tc>
      </w:tr>
      <w:tr w:rsidR="004D2B5D" w:rsidRPr="00087644" w14:paraId="3206A7D1" w14:textId="77777777" w:rsidTr="00D063A2">
        <w:trPr>
          <w:trHeight w:val="240"/>
          <w:jc w:val="center"/>
        </w:trPr>
        <w:tc>
          <w:tcPr>
            <w:tcW w:w="4876" w:type="dxa"/>
            <w:tcBorders>
              <w:top w:val="nil"/>
              <w:left w:val="nil"/>
              <w:bottom w:val="nil"/>
              <w:right w:val="nil"/>
            </w:tcBorders>
            <w:hideMark/>
          </w:tcPr>
          <w:p w14:paraId="47A6D500"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66464D0C" w14:textId="77777777" w:rsidR="004D2B5D" w:rsidRPr="00087644" w:rsidRDefault="004D2B5D" w:rsidP="00D063A2">
            <w:pPr>
              <w:pStyle w:val="AmColumnHeading"/>
            </w:pPr>
            <w:r w:rsidRPr="00087644">
              <w:t>Alteração</w:t>
            </w:r>
          </w:p>
        </w:tc>
      </w:tr>
      <w:tr w:rsidR="004D2B5D" w:rsidRPr="00087644" w14:paraId="12FF36EB" w14:textId="77777777" w:rsidTr="00D063A2">
        <w:trPr>
          <w:jc w:val="center"/>
        </w:trPr>
        <w:tc>
          <w:tcPr>
            <w:tcW w:w="4876" w:type="dxa"/>
            <w:tcBorders>
              <w:top w:val="nil"/>
              <w:left w:val="nil"/>
              <w:bottom w:val="nil"/>
              <w:right w:val="nil"/>
            </w:tcBorders>
            <w:hideMark/>
          </w:tcPr>
          <w:p w14:paraId="4460CA54" w14:textId="77777777" w:rsidR="004D2B5D" w:rsidRPr="00087644" w:rsidRDefault="004D2B5D" w:rsidP="00D063A2">
            <w:pPr>
              <w:pStyle w:val="Normal6a"/>
            </w:pPr>
            <w:r w:rsidRPr="00087644">
              <w:rPr>
                <w:b/>
                <w:i/>
              </w:rPr>
              <w:t>(8)</w:t>
            </w:r>
            <w:r w:rsidRPr="00087644">
              <w:tab/>
            </w:r>
            <w:r w:rsidRPr="00087644">
              <w:rPr>
                <w:b/>
                <w:i/>
              </w:rPr>
              <w:t>Os anexos II a VI são alterados em conformidade com o anexo III do presente regulamento.</w:t>
            </w:r>
          </w:p>
        </w:tc>
        <w:tc>
          <w:tcPr>
            <w:tcW w:w="4876" w:type="dxa"/>
            <w:tcBorders>
              <w:top w:val="nil"/>
              <w:left w:val="nil"/>
              <w:bottom w:val="nil"/>
              <w:right w:val="nil"/>
            </w:tcBorders>
            <w:hideMark/>
          </w:tcPr>
          <w:p w14:paraId="503EC458" w14:textId="77777777" w:rsidR="004D2B5D" w:rsidRPr="00087644" w:rsidRDefault="004D2B5D" w:rsidP="00D063A2">
            <w:pPr>
              <w:pStyle w:val="Normal6a"/>
            </w:pPr>
            <w:r w:rsidRPr="00087644">
              <w:rPr>
                <w:b/>
                <w:i/>
              </w:rPr>
              <w:t>Suprimido</w:t>
            </w:r>
          </w:p>
        </w:tc>
      </w:tr>
    </w:tbl>
    <w:p w14:paraId="63EA8BC4" w14:textId="77777777" w:rsidR="004D2B5D" w:rsidRPr="00087644" w:rsidRDefault="004D2B5D" w:rsidP="004D2B5D"/>
    <w:p w14:paraId="3800D976" w14:textId="77777777" w:rsidR="004D2B5D" w:rsidRPr="00087644" w:rsidRDefault="004D2B5D" w:rsidP="004D2B5D">
      <w:pPr>
        <w:pStyle w:val="AmNumberTabs"/>
      </w:pPr>
      <w:r w:rsidRPr="00087644">
        <w:t>Alteração</w:t>
      </w:r>
      <w:r w:rsidRPr="00087644">
        <w:tab/>
      </w:r>
      <w:r w:rsidRPr="00087644">
        <w:tab/>
        <w:t>65</w:t>
      </w:r>
    </w:p>
    <w:p w14:paraId="13A355FE" w14:textId="77777777" w:rsidR="004D2B5D" w:rsidRPr="00087644" w:rsidRDefault="004D2B5D" w:rsidP="004D2B5D">
      <w:pPr>
        <w:pStyle w:val="NormalBold"/>
      </w:pPr>
      <w:r w:rsidRPr="00087644">
        <w:t>Proposta de regulamento</w:t>
      </w:r>
    </w:p>
    <w:p w14:paraId="7C26A7BE" w14:textId="77777777" w:rsidR="004D2B5D" w:rsidRPr="00087644" w:rsidRDefault="004D2B5D" w:rsidP="004D2B5D">
      <w:pPr>
        <w:pStyle w:val="NormalBold"/>
      </w:pPr>
      <w:r w:rsidRPr="00087644">
        <w:t>Artigo 3 – parágrafo 1 – ponto 1</w:t>
      </w:r>
    </w:p>
    <w:p w14:paraId="71FE263F" w14:textId="6513E936" w:rsidR="004D2B5D" w:rsidRPr="00087644" w:rsidRDefault="004D2B5D" w:rsidP="004D2B5D">
      <w:r w:rsidRPr="00087644">
        <w:lastRenderedPageBreak/>
        <w:t>Regulamento (UE) 2019/1009</w:t>
      </w:r>
    </w:p>
    <w:p w14:paraId="3E0E3367" w14:textId="77777777" w:rsidR="004D2B5D" w:rsidRPr="00087644" w:rsidRDefault="004D2B5D" w:rsidP="004D2B5D">
      <w:r w:rsidRPr="00087644">
        <w:t>Artigo 2 – parágrafo 1 – ponto 15</w:t>
      </w:r>
      <w:r w:rsidRPr="00087644">
        <w:noBreakHyphen/>
        <w: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65DB69DC" w14:textId="77777777" w:rsidTr="00D063A2">
        <w:trPr>
          <w:trHeight w:val="240"/>
          <w:jc w:val="center"/>
        </w:trPr>
        <w:tc>
          <w:tcPr>
            <w:tcW w:w="9752" w:type="dxa"/>
            <w:gridSpan w:val="2"/>
            <w:tcBorders>
              <w:top w:val="nil"/>
              <w:left w:val="nil"/>
              <w:bottom w:val="nil"/>
              <w:right w:val="nil"/>
            </w:tcBorders>
          </w:tcPr>
          <w:p w14:paraId="41D6BB47" w14:textId="77777777" w:rsidR="004D2B5D" w:rsidRPr="00087644" w:rsidRDefault="004D2B5D" w:rsidP="00D063A2"/>
        </w:tc>
      </w:tr>
      <w:tr w:rsidR="004D2B5D" w:rsidRPr="00087644" w14:paraId="67D35342" w14:textId="77777777" w:rsidTr="00D063A2">
        <w:trPr>
          <w:trHeight w:val="240"/>
          <w:jc w:val="center"/>
        </w:trPr>
        <w:tc>
          <w:tcPr>
            <w:tcW w:w="4876" w:type="dxa"/>
            <w:tcBorders>
              <w:top w:val="nil"/>
              <w:left w:val="nil"/>
              <w:bottom w:val="nil"/>
              <w:right w:val="nil"/>
            </w:tcBorders>
            <w:hideMark/>
          </w:tcPr>
          <w:p w14:paraId="2D78F94F"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1501241E" w14:textId="77777777" w:rsidR="004D2B5D" w:rsidRPr="00087644" w:rsidRDefault="004D2B5D" w:rsidP="00D063A2">
            <w:pPr>
              <w:pStyle w:val="AmColumnHeading"/>
            </w:pPr>
            <w:r w:rsidRPr="00087644">
              <w:t>Alteração</w:t>
            </w:r>
          </w:p>
        </w:tc>
      </w:tr>
      <w:tr w:rsidR="004D2B5D" w:rsidRPr="00087644" w14:paraId="24AE7E5A" w14:textId="77777777" w:rsidTr="00D063A2">
        <w:trPr>
          <w:jc w:val="center"/>
        </w:trPr>
        <w:tc>
          <w:tcPr>
            <w:tcW w:w="4876" w:type="dxa"/>
            <w:tcBorders>
              <w:top w:val="nil"/>
              <w:left w:val="nil"/>
              <w:bottom w:val="nil"/>
              <w:right w:val="nil"/>
            </w:tcBorders>
            <w:hideMark/>
          </w:tcPr>
          <w:p w14:paraId="312E0C4E" w14:textId="77777777" w:rsidR="004D2B5D" w:rsidRPr="00087644" w:rsidRDefault="004D2B5D" w:rsidP="00D063A2">
            <w:pPr>
              <w:pStyle w:val="Normal6a"/>
            </w:pPr>
            <w:r w:rsidRPr="00087644">
              <w:t xml:space="preserve">“Contacto digital”, qualquer canal de comunicação em linha atualizado e acessível através do qual </w:t>
            </w:r>
            <w:r w:rsidRPr="00087644">
              <w:rPr>
                <w:b/>
                <w:i/>
              </w:rPr>
              <w:t>os operadores económicos possam</w:t>
            </w:r>
            <w:r w:rsidRPr="00087644">
              <w:t xml:space="preserve"> ser </w:t>
            </w:r>
            <w:r w:rsidRPr="00087644">
              <w:rPr>
                <w:b/>
                <w:i/>
              </w:rPr>
              <w:t>contactados ou interpelados</w:t>
            </w:r>
            <w:r w:rsidRPr="00087644">
              <w:t xml:space="preserve"> sem necessidade de efetuar um registo ou </w:t>
            </w:r>
            <w:r w:rsidRPr="00087644">
              <w:rPr>
                <w:b/>
                <w:i/>
              </w:rPr>
              <w:t>descarregar uma aplicação</w:t>
            </w:r>
            <w:r w:rsidRPr="00087644">
              <w:t>;</w:t>
            </w:r>
            <w:r w:rsidRPr="00087644">
              <w:rPr>
                <w:b/>
                <w:i/>
              </w:rPr>
              <w:t>»</w:t>
            </w:r>
          </w:p>
        </w:tc>
        <w:tc>
          <w:tcPr>
            <w:tcW w:w="4876" w:type="dxa"/>
            <w:tcBorders>
              <w:top w:val="nil"/>
              <w:left w:val="nil"/>
              <w:bottom w:val="nil"/>
              <w:right w:val="nil"/>
            </w:tcBorders>
            <w:hideMark/>
          </w:tcPr>
          <w:p w14:paraId="4E9AD371" w14:textId="4550B432" w:rsidR="004D2B5D" w:rsidRPr="00087644" w:rsidRDefault="00067099" w:rsidP="00D063A2">
            <w:pPr>
              <w:pStyle w:val="Normal6a"/>
            </w:pPr>
            <w:r w:rsidRPr="00087644">
              <w:t>(</w:t>
            </w:r>
            <w:r w:rsidR="00C13C4C" w:rsidRPr="00087644">
              <w:t>15-A</w:t>
            </w:r>
            <w:r w:rsidRPr="00087644">
              <w:t>)</w:t>
            </w:r>
            <w:r w:rsidR="00C13C4C" w:rsidRPr="00087644">
              <w:tab/>
            </w:r>
            <w:r w:rsidR="004D2B5D" w:rsidRPr="00087644">
              <w:t xml:space="preserve">“Contacto digital”, qualquer canal de comunicação em linha atualizado e </w:t>
            </w:r>
            <w:r w:rsidR="004D2B5D" w:rsidRPr="00087644">
              <w:rPr>
                <w:b/>
                <w:i/>
              </w:rPr>
              <w:t>livremente</w:t>
            </w:r>
            <w:r w:rsidR="004D2B5D" w:rsidRPr="00087644">
              <w:t xml:space="preserve"> acessível através do qual </w:t>
            </w:r>
            <w:r w:rsidR="004D2B5D" w:rsidRPr="00087644">
              <w:rPr>
                <w:b/>
                <w:i/>
              </w:rPr>
              <w:t>um operador económico possa</w:t>
            </w:r>
            <w:r w:rsidR="004D2B5D" w:rsidRPr="00087644">
              <w:t xml:space="preserve"> ser </w:t>
            </w:r>
            <w:r w:rsidR="004D2B5D" w:rsidRPr="00087644">
              <w:rPr>
                <w:b/>
                <w:i/>
              </w:rPr>
              <w:t>contactado</w:t>
            </w:r>
            <w:r w:rsidR="004D2B5D" w:rsidRPr="00087644">
              <w:t xml:space="preserve"> sem necessidade de efetuar um registo</w:t>
            </w:r>
            <w:r w:rsidR="004D2B5D" w:rsidRPr="00087644">
              <w:rPr>
                <w:b/>
                <w:i/>
              </w:rPr>
              <w:t>, descarregar</w:t>
            </w:r>
            <w:r w:rsidR="004D2B5D" w:rsidRPr="00087644">
              <w:t xml:space="preserve"> ou </w:t>
            </w:r>
            <w:r w:rsidR="004D2B5D" w:rsidRPr="00087644">
              <w:rPr>
                <w:b/>
                <w:i/>
              </w:rPr>
              <w:t>utilizar aplicações adicionais específicas do operador económico</w:t>
            </w:r>
            <w:r w:rsidR="004D2B5D" w:rsidRPr="00087644">
              <w:t>;</w:t>
            </w:r>
          </w:p>
        </w:tc>
      </w:tr>
    </w:tbl>
    <w:p w14:paraId="5532168A" w14:textId="77777777" w:rsidR="004D2B5D" w:rsidRPr="00087644" w:rsidRDefault="004D2B5D" w:rsidP="004D2B5D"/>
    <w:p w14:paraId="7D978FC9" w14:textId="77777777" w:rsidR="004D2B5D" w:rsidRPr="00087644" w:rsidRDefault="004D2B5D" w:rsidP="004D2B5D">
      <w:pPr>
        <w:pStyle w:val="AmNumberTabs"/>
      </w:pPr>
      <w:r w:rsidRPr="00087644">
        <w:t>Alteração</w:t>
      </w:r>
      <w:r w:rsidRPr="00087644">
        <w:tab/>
      </w:r>
      <w:r w:rsidRPr="00087644">
        <w:tab/>
        <w:t>66</w:t>
      </w:r>
    </w:p>
    <w:p w14:paraId="3A740230" w14:textId="77777777" w:rsidR="004D2B5D" w:rsidRPr="00087644" w:rsidRDefault="004D2B5D" w:rsidP="004D2B5D">
      <w:pPr>
        <w:pStyle w:val="NormalBold"/>
      </w:pPr>
      <w:r w:rsidRPr="00087644">
        <w:t>Proposta de regulamento</w:t>
      </w:r>
    </w:p>
    <w:p w14:paraId="0F84C222" w14:textId="77777777" w:rsidR="004D2B5D" w:rsidRPr="00087644" w:rsidRDefault="004D2B5D" w:rsidP="004D2B5D">
      <w:pPr>
        <w:pStyle w:val="NormalBold"/>
      </w:pPr>
      <w:r w:rsidRPr="00087644">
        <w:t>Artigo 3 – parágrafo 1 – ponto 2 – alínea a – subalínea </w:t>
      </w:r>
      <w:proofErr w:type="spellStart"/>
      <w:r w:rsidRPr="00087644">
        <w:t>ii</w:t>
      </w:r>
      <w:proofErr w:type="spellEnd"/>
    </w:p>
    <w:p w14:paraId="73184BE5" w14:textId="47E6A046" w:rsidR="004D2B5D" w:rsidRPr="00087644" w:rsidRDefault="004D2B5D" w:rsidP="004D2B5D">
      <w:r w:rsidRPr="00087644">
        <w:t>Regulamento (UE) 2019/1009</w:t>
      </w:r>
    </w:p>
    <w:p w14:paraId="06247D37" w14:textId="759F673B" w:rsidR="004D2B5D" w:rsidRPr="00087644" w:rsidRDefault="004D2B5D" w:rsidP="004D2B5D">
      <w:r w:rsidRPr="00087644">
        <w:t>Artigo 6 – n.º 2 – parágrafo 2</w:t>
      </w:r>
      <w:r w:rsidR="00C13C4C" w:rsidRPr="00087644">
        <w:t>-</w:t>
      </w:r>
      <w:r w:rsidRPr="00087644">
        <w: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1518790A" w14:textId="77777777" w:rsidTr="00D063A2">
        <w:trPr>
          <w:trHeight w:val="240"/>
          <w:jc w:val="center"/>
        </w:trPr>
        <w:tc>
          <w:tcPr>
            <w:tcW w:w="9752" w:type="dxa"/>
            <w:gridSpan w:val="2"/>
            <w:tcBorders>
              <w:top w:val="nil"/>
              <w:left w:val="nil"/>
              <w:bottom w:val="nil"/>
              <w:right w:val="nil"/>
            </w:tcBorders>
          </w:tcPr>
          <w:p w14:paraId="40E4658C" w14:textId="77777777" w:rsidR="004D2B5D" w:rsidRPr="00087644" w:rsidRDefault="004D2B5D" w:rsidP="00D063A2"/>
        </w:tc>
      </w:tr>
      <w:tr w:rsidR="004D2B5D" w:rsidRPr="00087644" w14:paraId="5143BDD4" w14:textId="77777777" w:rsidTr="00D063A2">
        <w:trPr>
          <w:trHeight w:val="240"/>
          <w:jc w:val="center"/>
        </w:trPr>
        <w:tc>
          <w:tcPr>
            <w:tcW w:w="4876" w:type="dxa"/>
            <w:tcBorders>
              <w:top w:val="nil"/>
              <w:left w:val="nil"/>
              <w:bottom w:val="nil"/>
              <w:right w:val="nil"/>
            </w:tcBorders>
            <w:hideMark/>
          </w:tcPr>
          <w:p w14:paraId="66E82B8E"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73DBC5E4" w14:textId="77777777" w:rsidR="004D2B5D" w:rsidRPr="00087644" w:rsidRDefault="004D2B5D" w:rsidP="00D063A2">
            <w:pPr>
              <w:pStyle w:val="AmColumnHeading"/>
            </w:pPr>
            <w:r w:rsidRPr="00087644">
              <w:t>Alteração</w:t>
            </w:r>
          </w:p>
        </w:tc>
      </w:tr>
      <w:tr w:rsidR="004D2B5D" w:rsidRPr="00087644" w14:paraId="6F6C1683" w14:textId="77777777" w:rsidTr="00D063A2">
        <w:trPr>
          <w:jc w:val="center"/>
        </w:trPr>
        <w:tc>
          <w:tcPr>
            <w:tcW w:w="4876" w:type="dxa"/>
            <w:tcBorders>
              <w:top w:val="nil"/>
              <w:left w:val="nil"/>
              <w:bottom w:val="nil"/>
              <w:right w:val="nil"/>
            </w:tcBorders>
            <w:hideMark/>
          </w:tcPr>
          <w:p w14:paraId="2ED64D8D" w14:textId="77777777" w:rsidR="004D2B5D" w:rsidRPr="00087644" w:rsidRDefault="004D2B5D" w:rsidP="00D063A2">
            <w:pPr>
              <w:pStyle w:val="Normal6a"/>
            </w:pPr>
            <w:r w:rsidRPr="00087644">
              <w:t>Os fabricantes asseguram que o produto fertilizante UE é acompanhado do endereço Internet ou do suporte de dados através do qual se pode aceder à declaração UE de conformidade.</w:t>
            </w:r>
          </w:p>
        </w:tc>
        <w:tc>
          <w:tcPr>
            <w:tcW w:w="4876" w:type="dxa"/>
            <w:tcBorders>
              <w:top w:val="nil"/>
              <w:left w:val="nil"/>
              <w:bottom w:val="nil"/>
              <w:right w:val="nil"/>
            </w:tcBorders>
            <w:hideMark/>
          </w:tcPr>
          <w:p w14:paraId="6E69E466" w14:textId="77777777" w:rsidR="004D2B5D" w:rsidRPr="00087644" w:rsidRDefault="004D2B5D" w:rsidP="00D063A2">
            <w:pPr>
              <w:pStyle w:val="Normal6a"/>
            </w:pPr>
            <w:r w:rsidRPr="00087644">
              <w:t xml:space="preserve">Os fabricantes asseguram que o produto fertilizante UE é acompanhado do endereço Internet ou do suporte de dados através do qual se pode aceder </w:t>
            </w:r>
            <w:r w:rsidRPr="00087644">
              <w:rPr>
                <w:b/>
                <w:i/>
              </w:rPr>
              <w:t>diretamente</w:t>
            </w:r>
            <w:r w:rsidRPr="00087644">
              <w:t xml:space="preserve"> à declaração UE de conformidade.</w:t>
            </w:r>
          </w:p>
        </w:tc>
      </w:tr>
    </w:tbl>
    <w:p w14:paraId="20A88A5D" w14:textId="77777777" w:rsidR="004D2B5D" w:rsidRPr="00087644" w:rsidRDefault="004D2B5D" w:rsidP="004D2B5D"/>
    <w:p w14:paraId="7CD0E57A" w14:textId="77777777" w:rsidR="004D2B5D" w:rsidRPr="00087644" w:rsidRDefault="004D2B5D" w:rsidP="004D2B5D">
      <w:pPr>
        <w:pStyle w:val="AmNumberTabs"/>
      </w:pPr>
      <w:r w:rsidRPr="00087644">
        <w:t>Alteração</w:t>
      </w:r>
      <w:r w:rsidRPr="00087644">
        <w:tab/>
      </w:r>
      <w:r w:rsidRPr="00087644">
        <w:tab/>
        <w:t>67</w:t>
      </w:r>
    </w:p>
    <w:p w14:paraId="75007566" w14:textId="77777777" w:rsidR="004D2B5D" w:rsidRPr="00087644" w:rsidRDefault="004D2B5D" w:rsidP="004D2B5D">
      <w:pPr>
        <w:pStyle w:val="NormalBold"/>
      </w:pPr>
      <w:r w:rsidRPr="00087644">
        <w:t>Proposta de regulamento</w:t>
      </w:r>
    </w:p>
    <w:p w14:paraId="2DA4C277" w14:textId="77777777" w:rsidR="004D2B5D" w:rsidRPr="00087644" w:rsidRDefault="004D2B5D" w:rsidP="004D2B5D">
      <w:pPr>
        <w:pStyle w:val="NormalBold"/>
      </w:pPr>
      <w:r w:rsidRPr="00087644">
        <w:t>Artigo 3 – parágrafo 1 – ponto 2 – alínea c</w:t>
      </w:r>
    </w:p>
    <w:p w14:paraId="24C5252D" w14:textId="7F483F69" w:rsidR="004D2B5D" w:rsidRPr="00087644" w:rsidRDefault="004D2B5D" w:rsidP="004D2B5D">
      <w:r w:rsidRPr="00087644">
        <w:t>Regulamento (UE) 2019/1009</w:t>
      </w:r>
    </w:p>
    <w:p w14:paraId="3A2FEFF0" w14:textId="77777777" w:rsidR="004D2B5D" w:rsidRPr="00087644" w:rsidRDefault="004D2B5D" w:rsidP="004D2B5D">
      <w:r w:rsidRPr="00087644">
        <w:t>Artigo 6 – n.º 6 – parágrafo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1C72CE69" w14:textId="77777777" w:rsidTr="00D063A2">
        <w:trPr>
          <w:trHeight w:val="240"/>
          <w:jc w:val="center"/>
        </w:trPr>
        <w:tc>
          <w:tcPr>
            <w:tcW w:w="9752" w:type="dxa"/>
            <w:gridSpan w:val="2"/>
            <w:tcBorders>
              <w:top w:val="nil"/>
              <w:left w:val="nil"/>
              <w:bottom w:val="nil"/>
              <w:right w:val="nil"/>
            </w:tcBorders>
          </w:tcPr>
          <w:p w14:paraId="5C1493B1" w14:textId="77777777" w:rsidR="004D2B5D" w:rsidRPr="00087644" w:rsidRDefault="004D2B5D" w:rsidP="00D063A2"/>
        </w:tc>
      </w:tr>
      <w:tr w:rsidR="004D2B5D" w:rsidRPr="00087644" w14:paraId="2295A320" w14:textId="77777777" w:rsidTr="00D063A2">
        <w:trPr>
          <w:trHeight w:val="240"/>
          <w:jc w:val="center"/>
        </w:trPr>
        <w:tc>
          <w:tcPr>
            <w:tcW w:w="4876" w:type="dxa"/>
            <w:tcBorders>
              <w:top w:val="nil"/>
              <w:left w:val="nil"/>
              <w:bottom w:val="nil"/>
              <w:right w:val="nil"/>
            </w:tcBorders>
            <w:hideMark/>
          </w:tcPr>
          <w:p w14:paraId="7B655534"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79829B88" w14:textId="77777777" w:rsidR="004D2B5D" w:rsidRPr="00087644" w:rsidRDefault="004D2B5D" w:rsidP="00D063A2">
            <w:pPr>
              <w:pStyle w:val="AmColumnHeading"/>
            </w:pPr>
            <w:r w:rsidRPr="00087644">
              <w:t>Alteração</w:t>
            </w:r>
          </w:p>
        </w:tc>
      </w:tr>
      <w:tr w:rsidR="004D2B5D" w:rsidRPr="00087644" w14:paraId="72459409" w14:textId="77777777" w:rsidTr="00D063A2">
        <w:trPr>
          <w:jc w:val="center"/>
        </w:trPr>
        <w:tc>
          <w:tcPr>
            <w:tcW w:w="4876" w:type="dxa"/>
            <w:tcBorders>
              <w:top w:val="nil"/>
              <w:left w:val="nil"/>
              <w:bottom w:val="nil"/>
              <w:right w:val="nil"/>
            </w:tcBorders>
            <w:hideMark/>
          </w:tcPr>
          <w:p w14:paraId="619FB9B2" w14:textId="77777777" w:rsidR="004D2B5D" w:rsidRPr="00087644" w:rsidRDefault="004D2B5D" w:rsidP="00D063A2">
            <w:pPr>
              <w:pStyle w:val="Normal6a"/>
            </w:pPr>
            <w:r w:rsidRPr="00087644">
              <w:t xml:space="preserve">«Os fabricantes indicam o seu nome, a firma ou a marca registada e o seu endereço postal e contacto digital na embalagem do produto fertilizante UE ou, se este for fornecido sem embalagem, no documento que acompanha o produto fertilizante UE. O endereço postal e o contacto digital devem indicar um único ponto de contacto </w:t>
            </w:r>
            <w:r w:rsidRPr="00087644">
              <w:rPr>
                <w:b/>
                <w:i/>
              </w:rPr>
              <w:t>do</w:t>
            </w:r>
            <w:r w:rsidRPr="00087644">
              <w:t xml:space="preserve"> fabricante.»</w:t>
            </w:r>
          </w:p>
        </w:tc>
        <w:tc>
          <w:tcPr>
            <w:tcW w:w="4876" w:type="dxa"/>
            <w:tcBorders>
              <w:top w:val="nil"/>
              <w:left w:val="nil"/>
              <w:bottom w:val="nil"/>
              <w:right w:val="nil"/>
            </w:tcBorders>
            <w:hideMark/>
          </w:tcPr>
          <w:p w14:paraId="47A3CEE9" w14:textId="77777777" w:rsidR="004D2B5D" w:rsidRPr="00087644" w:rsidRDefault="004D2B5D" w:rsidP="00D063A2">
            <w:pPr>
              <w:pStyle w:val="Normal6a"/>
            </w:pPr>
            <w:r w:rsidRPr="00087644">
              <w:t xml:space="preserve">«Os fabricantes indicam o seu nome, a firma ou a marca registada e o seu endereço postal e contacto digital na embalagem do produto fertilizante UE ou, se este for fornecido sem embalagem, no documento que acompanha o produto fertilizante UE. O endereço postal e o contacto digital devem indicar um único ponto de contacto </w:t>
            </w:r>
            <w:r w:rsidRPr="00087644">
              <w:rPr>
                <w:b/>
                <w:i/>
              </w:rPr>
              <w:t>célere com o</w:t>
            </w:r>
            <w:r w:rsidRPr="00087644">
              <w:t xml:space="preserve"> fabricante.»</w:t>
            </w:r>
          </w:p>
        </w:tc>
      </w:tr>
    </w:tbl>
    <w:p w14:paraId="724D23D7" w14:textId="77777777" w:rsidR="004D2B5D" w:rsidRPr="00087644" w:rsidRDefault="004D2B5D" w:rsidP="004D2B5D"/>
    <w:p w14:paraId="1464D1A4" w14:textId="77777777" w:rsidR="004D2B5D" w:rsidRPr="00087644" w:rsidRDefault="004D2B5D" w:rsidP="004D2B5D">
      <w:pPr>
        <w:pStyle w:val="AmNumberTabs"/>
      </w:pPr>
      <w:r w:rsidRPr="00087644">
        <w:t>Alteração</w:t>
      </w:r>
      <w:r w:rsidRPr="00087644">
        <w:tab/>
      </w:r>
      <w:r w:rsidRPr="00087644">
        <w:tab/>
        <w:t>68</w:t>
      </w:r>
    </w:p>
    <w:p w14:paraId="7ACB2EA8" w14:textId="77777777" w:rsidR="004D2B5D" w:rsidRPr="00087644" w:rsidRDefault="004D2B5D" w:rsidP="004D2B5D">
      <w:pPr>
        <w:pStyle w:val="NormalBold"/>
      </w:pPr>
      <w:r w:rsidRPr="00087644">
        <w:lastRenderedPageBreak/>
        <w:t>Proposta de regulamento</w:t>
      </w:r>
    </w:p>
    <w:p w14:paraId="5FC9D811" w14:textId="77777777" w:rsidR="004D2B5D" w:rsidRPr="00087644" w:rsidRDefault="004D2B5D" w:rsidP="004D2B5D">
      <w:pPr>
        <w:pStyle w:val="NormalBold"/>
      </w:pPr>
      <w:r w:rsidRPr="00087644">
        <w:t>Artigo 3 – parágrafo 1 – ponto 4 – alínea a</w:t>
      </w:r>
    </w:p>
    <w:p w14:paraId="5D72F9E3" w14:textId="11B59E73" w:rsidR="004D2B5D" w:rsidRPr="00087644" w:rsidRDefault="004D2B5D" w:rsidP="004D2B5D">
      <w:r w:rsidRPr="00087644">
        <w:t>Regulamento (UE) 2019/1009</w:t>
      </w:r>
    </w:p>
    <w:p w14:paraId="1EE96105" w14:textId="77777777" w:rsidR="004D2B5D" w:rsidRPr="00087644" w:rsidRDefault="004D2B5D" w:rsidP="004D2B5D">
      <w:r w:rsidRPr="00087644">
        <w:t>Artigo 8 – n.º 2 – parágrafo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5F0F3D1B" w14:textId="77777777" w:rsidTr="00D063A2">
        <w:trPr>
          <w:trHeight w:val="240"/>
          <w:jc w:val="center"/>
        </w:trPr>
        <w:tc>
          <w:tcPr>
            <w:tcW w:w="9752" w:type="dxa"/>
            <w:gridSpan w:val="2"/>
            <w:tcBorders>
              <w:top w:val="nil"/>
              <w:left w:val="nil"/>
              <w:bottom w:val="nil"/>
              <w:right w:val="nil"/>
            </w:tcBorders>
          </w:tcPr>
          <w:p w14:paraId="7A3BB157" w14:textId="77777777" w:rsidR="004D2B5D" w:rsidRPr="00087644" w:rsidRDefault="004D2B5D" w:rsidP="00D063A2"/>
        </w:tc>
      </w:tr>
      <w:tr w:rsidR="004D2B5D" w:rsidRPr="00087644" w14:paraId="02A93019" w14:textId="77777777" w:rsidTr="00D063A2">
        <w:trPr>
          <w:trHeight w:val="240"/>
          <w:jc w:val="center"/>
        </w:trPr>
        <w:tc>
          <w:tcPr>
            <w:tcW w:w="4876" w:type="dxa"/>
            <w:tcBorders>
              <w:top w:val="nil"/>
              <w:left w:val="nil"/>
              <w:bottom w:val="nil"/>
              <w:right w:val="nil"/>
            </w:tcBorders>
            <w:hideMark/>
          </w:tcPr>
          <w:p w14:paraId="66A8213A"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5B0FA7E7" w14:textId="77777777" w:rsidR="004D2B5D" w:rsidRPr="00087644" w:rsidRDefault="004D2B5D" w:rsidP="00D063A2">
            <w:pPr>
              <w:pStyle w:val="AmColumnHeading"/>
            </w:pPr>
            <w:r w:rsidRPr="00087644">
              <w:t>Alteração</w:t>
            </w:r>
          </w:p>
        </w:tc>
      </w:tr>
      <w:tr w:rsidR="004D2B5D" w:rsidRPr="00087644" w14:paraId="0F98547D" w14:textId="77777777" w:rsidTr="00D063A2">
        <w:trPr>
          <w:jc w:val="center"/>
        </w:trPr>
        <w:tc>
          <w:tcPr>
            <w:tcW w:w="4876" w:type="dxa"/>
            <w:tcBorders>
              <w:top w:val="nil"/>
              <w:left w:val="nil"/>
              <w:bottom w:val="nil"/>
              <w:right w:val="nil"/>
            </w:tcBorders>
            <w:hideMark/>
          </w:tcPr>
          <w:p w14:paraId="2FA6E721" w14:textId="77777777" w:rsidR="004D2B5D" w:rsidRPr="00087644" w:rsidRDefault="004D2B5D" w:rsidP="00D063A2">
            <w:pPr>
              <w:pStyle w:val="Normal6a"/>
            </w:pPr>
            <w:r w:rsidRPr="00087644">
              <w:t>«Os importadores asseguram que o fabricante elaborou a documentação técnica, que o produto fertilizante UE está acompanhado de um endereço Internet ou de um suporte de dados que permitam aceder à declaração UE de conformidade e, se for caso disso, de outros documentos exigidos, e que o fabricante respeitou os requisitos previstos no artigo 6.º, n.</w:t>
            </w:r>
            <w:r w:rsidRPr="00087644">
              <w:rPr>
                <w:vertAlign w:val="superscript"/>
              </w:rPr>
              <w:t>os</w:t>
            </w:r>
            <w:r w:rsidRPr="00087644">
              <w:t> 5 e 6.»</w:t>
            </w:r>
          </w:p>
        </w:tc>
        <w:tc>
          <w:tcPr>
            <w:tcW w:w="4876" w:type="dxa"/>
            <w:tcBorders>
              <w:top w:val="nil"/>
              <w:left w:val="nil"/>
              <w:bottom w:val="nil"/>
              <w:right w:val="nil"/>
            </w:tcBorders>
            <w:hideMark/>
          </w:tcPr>
          <w:p w14:paraId="30FDB1BC" w14:textId="77777777" w:rsidR="004D2B5D" w:rsidRPr="00087644" w:rsidRDefault="004D2B5D" w:rsidP="00D063A2">
            <w:pPr>
              <w:pStyle w:val="Normal6a"/>
            </w:pPr>
            <w:r w:rsidRPr="00087644">
              <w:t xml:space="preserve">«Os importadores asseguram que o fabricante elaborou a documentação técnica, que o produto fertilizante UE está acompanhado de um endereço Internet ou de um suporte de dados que permitam aceder </w:t>
            </w:r>
            <w:r w:rsidRPr="00087644">
              <w:rPr>
                <w:b/>
                <w:i/>
              </w:rPr>
              <w:t>diretamente</w:t>
            </w:r>
            <w:r w:rsidRPr="00087644">
              <w:t xml:space="preserve"> à declaração UE de conformidade e, se for caso disso, de outros documentos exigidos, e que o fabricante respeitou os requisitos previstos no artigo 6.º, n.</w:t>
            </w:r>
            <w:r w:rsidRPr="00087644">
              <w:rPr>
                <w:vertAlign w:val="superscript"/>
              </w:rPr>
              <w:t>os</w:t>
            </w:r>
            <w:r w:rsidRPr="00087644">
              <w:t> 5 e 6.»</w:t>
            </w:r>
          </w:p>
        </w:tc>
      </w:tr>
    </w:tbl>
    <w:p w14:paraId="61EDF50F" w14:textId="77777777" w:rsidR="004D2B5D" w:rsidRPr="00087644" w:rsidRDefault="004D2B5D" w:rsidP="004D2B5D"/>
    <w:p w14:paraId="00DF1C64" w14:textId="77777777" w:rsidR="004D2B5D" w:rsidRPr="00087644" w:rsidRDefault="004D2B5D" w:rsidP="004D2B5D">
      <w:pPr>
        <w:pStyle w:val="AmNumberTabs"/>
      </w:pPr>
      <w:r w:rsidRPr="00087644">
        <w:t>Alteração</w:t>
      </w:r>
      <w:r w:rsidRPr="00087644">
        <w:tab/>
      </w:r>
      <w:r w:rsidRPr="00087644">
        <w:tab/>
        <w:t>69</w:t>
      </w:r>
    </w:p>
    <w:p w14:paraId="0A50D6F0" w14:textId="77777777" w:rsidR="004D2B5D" w:rsidRPr="00087644" w:rsidRDefault="004D2B5D" w:rsidP="004D2B5D">
      <w:pPr>
        <w:pStyle w:val="NormalBold"/>
      </w:pPr>
      <w:r w:rsidRPr="00087644">
        <w:t>Proposta de regulamento</w:t>
      </w:r>
    </w:p>
    <w:p w14:paraId="5A5267EA" w14:textId="77777777" w:rsidR="004D2B5D" w:rsidRPr="00087644" w:rsidRDefault="004D2B5D" w:rsidP="004D2B5D">
      <w:pPr>
        <w:pStyle w:val="NormalBold"/>
      </w:pPr>
      <w:r w:rsidRPr="00087644">
        <w:t>Artigo 3 – parágrafo 1 – ponto 4 – alínea c</w:t>
      </w:r>
    </w:p>
    <w:p w14:paraId="2669603A" w14:textId="7F8C6CA1" w:rsidR="004D2B5D" w:rsidRPr="00087644" w:rsidRDefault="004D2B5D" w:rsidP="004D2B5D">
      <w:r w:rsidRPr="00087644">
        <w:t>Regulamento (UE) 2019/1009</w:t>
      </w:r>
    </w:p>
    <w:p w14:paraId="339D558E" w14:textId="77777777" w:rsidR="004D2B5D" w:rsidRPr="00087644" w:rsidRDefault="004D2B5D" w:rsidP="004D2B5D">
      <w:r w:rsidRPr="00087644">
        <w:t>Artigo 8 – n.º 8 – parágrafo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20CE9FFA" w14:textId="77777777" w:rsidTr="00D063A2">
        <w:trPr>
          <w:trHeight w:val="240"/>
          <w:jc w:val="center"/>
        </w:trPr>
        <w:tc>
          <w:tcPr>
            <w:tcW w:w="9752" w:type="dxa"/>
            <w:gridSpan w:val="2"/>
            <w:tcBorders>
              <w:top w:val="nil"/>
              <w:left w:val="nil"/>
              <w:bottom w:val="nil"/>
              <w:right w:val="nil"/>
            </w:tcBorders>
          </w:tcPr>
          <w:p w14:paraId="35E8032D" w14:textId="77777777" w:rsidR="004D2B5D" w:rsidRPr="00087644" w:rsidRDefault="004D2B5D" w:rsidP="00D063A2"/>
        </w:tc>
      </w:tr>
      <w:tr w:rsidR="004D2B5D" w:rsidRPr="00087644" w14:paraId="7A208E5F" w14:textId="77777777" w:rsidTr="00D063A2">
        <w:trPr>
          <w:trHeight w:val="240"/>
          <w:jc w:val="center"/>
        </w:trPr>
        <w:tc>
          <w:tcPr>
            <w:tcW w:w="4876" w:type="dxa"/>
            <w:tcBorders>
              <w:top w:val="nil"/>
              <w:left w:val="nil"/>
              <w:bottom w:val="nil"/>
              <w:right w:val="nil"/>
            </w:tcBorders>
            <w:hideMark/>
          </w:tcPr>
          <w:p w14:paraId="31DC105D"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626C91C1" w14:textId="77777777" w:rsidR="004D2B5D" w:rsidRPr="00087644" w:rsidRDefault="004D2B5D" w:rsidP="00D063A2">
            <w:pPr>
              <w:pStyle w:val="AmColumnHeading"/>
            </w:pPr>
            <w:r w:rsidRPr="00087644">
              <w:t>Alteração</w:t>
            </w:r>
          </w:p>
        </w:tc>
      </w:tr>
      <w:tr w:rsidR="004D2B5D" w:rsidRPr="00087644" w14:paraId="78D4C493" w14:textId="77777777" w:rsidTr="00D063A2">
        <w:trPr>
          <w:jc w:val="center"/>
        </w:trPr>
        <w:tc>
          <w:tcPr>
            <w:tcW w:w="4876" w:type="dxa"/>
            <w:tcBorders>
              <w:top w:val="nil"/>
              <w:left w:val="nil"/>
              <w:bottom w:val="nil"/>
              <w:right w:val="nil"/>
            </w:tcBorders>
            <w:hideMark/>
          </w:tcPr>
          <w:p w14:paraId="4E02DCFB" w14:textId="77777777" w:rsidR="004D2B5D" w:rsidRPr="00087644" w:rsidRDefault="004D2B5D" w:rsidP="00D063A2">
            <w:pPr>
              <w:pStyle w:val="Normal6a"/>
            </w:pPr>
            <w:r w:rsidRPr="00087644">
              <w:t>Durante um prazo de cinco anos a contar da data de colocação no mercado do produto fertilizante UE, os importadores devem manter a declaração UE de conformidade à disposição das autoridades de fiscalização do mercado e assegurar que a documentação técnica possa ser facultada a essas autoridades, a pedido.</w:t>
            </w:r>
          </w:p>
        </w:tc>
        <w:tc>
          <w:tcPr>
            <w:tcW w:w="4876" w:type="dxa"/>
            <w:tcBorders>
              <w:top w:val="nil"/>
              <w:left w:val="nil"/>
              <w:bottom w:val="nil"/>
              <w:right w:val="nil"/>
            </w:tcBorders>
            <w:hideMark/>
          </w:tcPr>
          <w:p w14:paraId="5EE4566F" w14:textId="77777777" w:rsidR="004D2B5D" w:rsidRPr="00087644" w:rsidRDefault="004D2B5D" w:rsidP="00D063A2">
            <w:pPr>
              <w:pStyle w:val="Normal6a"/>
            </w:pPr>
            <w:r w:rsidRPr="00087644">
              <w:t xml:space="preserve">Durante um prazo de cinco anos a contar da data de colocação no mercado do produto fertilizante UE, os importadores devem manter a declaração UE de conformidade à disposição das autoridades de fiscalização do mercado e assegurar que a documentação técnica possa ser facultada </w:t>
            </w:r>
            <w:r w:rsidRPr="00087644">
              <w:rPr>
                <w:b/>
                <w:i/>
              </w:rPr>
              <w:t>de forma célere</w:t>
            </w:r>
            <w:r w:rsidRPr="00087644">
              <w:t xml:space="preserve"> a essas autoridades, a pedido.</w:t>
            </w:r>
          </w:p>
        </w:tc>
      </w:tr>
    </w:tbl>
    <w:p w14:paraId="15863CF5" w14:textId="77777777" w:rsidR="004D2B5D" w:rsidRPr="00087644" w:rsidRDefault="004D2B5D" w:rsidP="004D2B5D"/>
    <w:p w14:paraId="59DD38BA" w14:textId="77777777" w:rsidR="004D2B5D" w:rsidRPr="00087644" w:rsidRDefault="004D2B5D" w:rsidP="004D2B5D">
      <w:pPr>
        <w:pStyle w:val="AmNumberTabs"/>
      </w:pPr>
      <w:r w:rsidRPr="00087644">
        <w:t>Alteração</w:t>
      </w:r>
      <w:r w:rsidRPr="00087644">
        <w:tab/>
      </w:r>
      <w:r w:rsidRPr="00087644">
        <w:tab/>
        <w:t>70</w:t>
      </w:r>
    </w:p>
    <w:p w14:paraId="16D61A7A" w14:textId="77777777" w:rsidR="004D2B5D" w:rsidRPr="00087644" w:rsidRDefault="004D2B5D" w:rsidP="004D2B5D">
      <w:pPr>
        <w:pStyle w:val="NormalBold"/>
      </w:pPr>
      <w:r w:rsidRPr="00087644">
        <w:t>Proposta de regulamento</w:t>
      </w:r>
    </w:p>
    <w:p w14:paraId="2EC28B2B" w14:textId="77777777" w:rsidR="004D2B5D" w:rsidRPr="00087644" w:rsidRDefault="004D2B5D" w:rsidP="004D2B5D">
      <w:pPr>
        <w:pStyle w:val="NormalBold"/>
      </w:pPr>
      <w:r w:rsidRPr="00087644">
        <w:t>Artigo 3 – parágrafo 1 – ponto 4 – alínea c</w:t>
      </w:r>
    </w:p>
    <w:p w14:paraId="7861CA15" w14:textId="493047EF" w:rsidR="004D2B5D" w:rsidRPr="00087644" w:rsidRDefault="004D2B5D" w:rsidP="004D2B5D">
      <w:r w:rsidRPr="00087644">
        <w:t>Regulamento (UE) 2019/1009</w:t>
      </w:r>
    </w:p>
    <w:p w14:paraId="5A92832F" w14:textId="77777777" w:rsidR="004D2B5D" w:rsidRPr="00087644" w:rsidRDefault="004D2B5D" w:rsidP="004D2B5D">
      <w:r w:rsidRPr="00087644">
        <w:t>Artigo 8 – n.º 8 – parágrafo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6D09AEC2" w14:textId="77777777" w:rsidTr="00D063A2">
        <w:trPr>
          <w:trHeight w:val="240"/>
          <w:jc w:val="center"/>
        </w:trPr>
        <w:tc>
          <w:tcPr>
            <w:tcW w:w="9752" w:type="dxa"/>
            <w:gridSpan w:val="2"/>
            <w:tcBorders>
              <w:top w:val="nil"/>
              <w:left w:val="nil"/>
              <w:bottom w:val="nil"/>
              <w:right w:val="nil"/>
            </w:tcBorders>
          </w:tcPr>
          <w:p w14:paraId="41BF9025" w14:textId="77777777" w:rsidR="004D2B5D" w:rsidRPr="00087644" w:rsidRDefault="004D2B5D" w:rsidP="00D063A2"/>
        </w:tc>
      </w:tr>
      <w:tr w:rsidR="004D2B5D" w:rsidRPr="00087644" w14:paraId="3869A43D" w14:textId="77777777" w:rsidTr="00D063A2">
        <w:trPr>
          <w:trHeight w:val="240"/>
          <w:jc w:val="center"/>
        </w:trPr>
        <w:tc>
          <w:tcPr>
            <w:tcW w:w="4876" w:type="dxa"/>
            <w:tcBorders>
              <w:top w:val="nil"/>
              <w:left w:val="nil"/>
              <w:bottom w:val="nil"/>
              <w:right w:val="nil"/>
            </w:tcBorders>
            <w:hideMark/>
          </w:tcPr>
          <w:p w14:paraId="27824815"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4C140DFE" w14:textId="77777777" w:rsidR="004D2B5D" w:rsidRPr="00087644" w:rsidRDefault="004D2B5D" w:rsidP="00D063A2">
            <w:pPr>
              <w:pStyle w:val="AmColumnHeading"/>
            </w:pPr>
            <w:r w:rsidRPr="00087644">
              <w:t>Alteração</w:t>
            </w:r>
          </w:p>
        </w:tc>
      </w:tr>
      <w:tr w:rsidR="004D2B5D" w:rsidRPr="00087644" w14:paraId="760BC634" w14:textId="77777777" w:rsidTr="00D063A2">
        <w:trPr>
          <w:jc w:val="center"/>
        </w:trPr>
        <w:tc>
          <w:tcPr>
            <w:tcW w:w="4876" w:type="dxa"/>
            <w:tcBorders>
              <w:top w:val="nil"/>
              <w:left w:val="nil"/>
              <w:bottom w:val="nil"/>
              <w:right w:val="nil"/>
            </w:tcBorders>
            <w:hideMark/>
          </w:tcPr>
          <w:p w14:paraId="47CE7F44" w14:textId="77777777" w:rsidR="004D2B5D" w:rsidRPr="00087644" w:rsidRDefault="004D2B5D" w:rsidP="00D063A2">
            <w:pPr>
              <w:pStyle w:val="Normal6a"/>
            </w:pPr>
            <w:r w:rsidRPr="00087644">
              <w:t>Sempre que tal lhes seja pedido, os importadores disponibilizam a declaração UE de conformidade a outros operadores económicos em formato eletrónico.</w:t>
            </w:r>
          </w:p>
        </w:tc>
        <w:tc>
          <w:tcPr>
            <w:tcW w:w="4876" w:type="dxa"/>
            <w:tcBorders>
              <w:top w:val="nil"/>
              <w:left w:val="nil"/>
              <w:bottom w:val="nil"/>
              <w:right w:val="nil"/>
            </w:tcBorders>
            <w:hideMark/>
          </w:tcPr>
          <w:p w14:paraId="57F53C01" w14:textId="77777777" w:rsidR="004D2B5D" w:rsidRPr="00087644" w:rsidRDefault="004D2B5D" w:rsidP="00D063A2">
            <w:pPr>
              <w:pStyle w:val="Normal6a"/>
            </w:pPr>
            <w:r w:rsidRPr="00087644">
              <w:t xml:space="preserve">Sempre que tal lhes seja pedido, os importadores disponibilizam </w:t>
            </w:r>
            <w:r w:rsidRPr="00087644">
              <w:rPr>
                <w:b/>
                <w:i/>
              </w:rPr>
              <w:t>de forma célere</w:t>
            </w:r>
            <w:r w:rsidRPr="00087644">
              <w:t xml:space="preserve"> a declaração UE de conformidade a outros operadores económicos em formato eletrónico.</w:t>
            </w:r>
          </w:p>
        </w:tc>
      </w:tr>
    </w:tbl>
    <w:p w14:paraId="3CBFC2E9" w14:textId="77777777" w:rsidR="004D2B5D" w:rsidRPr="00087644" w:rsidRDefault="004D2B5D" w:rsidP="004D2B5D"/>
    <w:p w14:paraId="23A52E9A" w14:textId="77777777" w:rsidR="004D2B5D" w:rsidRPr="00087644" w:rsidRDefault="004D2B5D" w:rsidP="004D2B5D">
      <w:pPr>
        <w:pStyle w:val="AmNumberTabs"/>
      </w:pPr>
      <w:r w:rsidRPr="00087644">
        <w:t>Alteração</w:t>
      </w:r>
      <w:r w:rsidRPr="00087644">
        <w:tab/>
      </w:r>
      <w:r w:rsidRPr="00087644">
        <w:tab/>
        <w:t>71</w:t>
      </w:r>
    </w:p>
    <w:p w14:paraId="12F98824" w14:textId="77777777" w:rsidR="004D2B5D" w:rsidRPr="00087644" w:rsidRDefault="004D2B5D" w:rsidP="004D2B5D">
      <w:pPr>
        <w:pStyle w:val="NormalBold"/>
      </w:pPr>
      <w:r w:rsidRPr="00087644">
        <w:t>Proposta de regulamento</w:t>
      </w:r>
    </w:p>
    <w:p w14:paraId="09E8776B" w14:textId="77777777" w:rsidR="004D2B5D" w:rsidRPr="00087644" w:rsidRDefault="004D2B5D" w:rsidP="004D2B5D">
      <w:pPr>
        <w:pStyle w:val="NormalBold"/>
      </w:pPr>
      <w:r w:rsidRPr="00087644">
        <w:t>Artigo 3 – parágrafo 1 – ponto 5 – alínea a</w:t>
      </w:r>
    </w:p>
    <w:p w14:paraId="3639E909" w14:textId="5C4487F2" w:rsidR="004D2B5D" w:rsidRPr="00087644" w:rsidRDefault="004D2B5D" w:rsidP="004D2B5D">
      <w:r w:rsidRPr="00087644">
        <w:t>Regulamento (UE) 2019/1009</w:t>
      </w:r>
    </w:p>
    <w:p w14:paraId="66ADDBB4" w14:textId="77777777" w:rsidR="004D2B5D" w:rsidRPr="00087644" w:rsidRDefault="004D2B5D" w:rsidP="004D2B5D">
      <w:r w:rsidRPr="00087644">
        <w:t>Artigo 9 – n.º 2 – parágrafo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42F7C19C" w14:textId="77777777" w:rsidTr="00D063A2">
        <w:trPr>
          <w:trHeight w:val="240"/>
          <w:jc w:val="center"/>
        </w:trPr>
        <w:tc>
          <w:tcPr>
            <w:tcW w:w="9752" w:type="dxa"/>
            <w:gridSpan w:val="2"/>
            <w:tcBorders>
              <w:top w:val="nil"/>
              <w:left w:val="nil"/>
              <w:bottom w:val="nil"/>
              <w:right w:val="nil"/>
            </w:tcBorders>
          </w:tcPr>
          <w:p w14:paraId="36D275A3" w14:textId="77777777" w:rsidR="004D2B5D" w:rsidRPr="00087644" w:rsidRDefault="004D2B5D" w:rsidP="00D063A2"/>
        </w:tc>
      </w:tr>
      <w:tr w:rsidR="004D2B5D" w:rsidRPr="00087644" w14:paraId="29362270" w14:textId="77777777" w:rsidTr="00D063A2">
        <w:trPr>
          <w:trHeight w:val="240"/>
          <w:jc w:val="center"/>
        </w:trPr>
        <w:tc>
          <w:tcPr>
            <w:tcW w:w="4876" w:type="dxa"/>
            <w:tcBorders>
              <w:top w:val="nil"/>
              <w:left w:val="nil"/>
              <w:bottom w:val="nil"/>
              <w:right w:val="nil"/>
            </w:tcBorders>
            <w:hideMark/>
          </w:tcPr>
          <w:p w14:paraId="35CB5DE1"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55DD6345" w14:textId="77777777" w:rsidR="004D2B5D" w:rsidRPr="00087644" w:rsidRDefault="004D2B5D" w:rsidP="00D063A2">
            <w:pPr>
              <w:pStyle w:val="AmColumnHeading"/>
            </w:pPr>
            <w:r w:rsidRPr="00087644">
              <w:t>Alteração</w:t>
            </w:r>
          </w:p>
        </w:tc>
      </w:tr>
      <w:tr w:rsidR="004D2B5D" w:rsidRPr="00087644" w14:paraId="46DE6454" w14:textId="77777777" w:rsidTr="00D063A2">
        <w:trPr>
          <w:jc w:val="center"/>
        </w:trPr>
        <w:tc>
          <w:tcPr>
            <w:tcW w:w="4876" w:type="dxa"/>
            <w:tcBorders>
              <w:top w:val="nil"/>
              <w:left w:val="nil"/>
              <w:bottom w:val="nil"/>
              <w:right w:val="nil"/>
            </w:tcBorders>
            <w:hideMark/>
          </w:tcPr>
          <w:p w14:paraId="1CD3EA65" w14:textId="77777777" w:rsidR="004D2B5D" w:rsidRPr="00087644" w:rsidRDefault="004D2B5D" w:rsidP="00D063A2">
            <w:pPr>
              <w:pStyle w:val="Normal6a"/>
            </w:pPr>
            <w:r w:rsidRPr="00087644">
              <w:t>«Antes de disponibilizarem um produto fertilizante UE no mercado, os distribuidores verificam se o mesmo vem acompanhado de um endereço Internet ou de um suporte de dados que permitam aceder à declaração UE de conformidade e, se for caso disso, de outros documentos exigidos, incluindo as informações referidas no artigo 6.º, n.º 7, ou no artigo 8.º, n.º 4, fornecidas conforme especificado nesses artigos, numa língua facilmente compreendida pelos utilizadores finais no Estado</w:t>
            </w:r>
            <w:r w:rsidRPr="00087644">
              <w:noBreakHyphen/>
              <w:t>Membro em que o produto fertilizante UE é disponibilizado no mercado, e ainda se o fabricante e o importador respeitaram os requisitos previstos, respetivamente, no artigo 6.º, n.</w:t>
            </w:r>
            <w:r w:rsidRPr="00087644">
              <w:rPr>
                <w:vertAlign w:val="superscript"/>
              </w:rPr>
              <w:t>os</w:t>
            </w:r>
            <w:r w:rsidRPr="00087644">
              <w:t> 5 e 6, e no artigo 8.º, n.º 3.»</w:t>
            </w:r>
          </w:p>
        </w:tc>
        <w:tc>
          <w:tcPr>
            <w:tcW w:w="4876" w:type="dxa"/>
            <w:tcBorders>
              <w:top w:val="nil"/>
              <w:left w:val="nil"/>
              <w:bottom w:val="nil"/>
              <w:right w:val="nil"/>
            </w:tcBorders>
            <w:hideMark/>
          </w:tcPr>
          <w:p w14:paraId="08D3F804" w14:textId="77777777" w:rsidR="004D2B5D" w:rsidRPr="00087644" w:rsidRDefault="004D2B5D" w:rsidP="00D063A2">
            <w:pPr>
              <w:pStyle w:val="Normal6a"/>
            </w:pPr>
            <w:r w:rsidRPr="00087644">
              <w:t xml:space="preserve">«Antes de disponibilizarem um produto fertilizante UE no mercado, os distribuidores verificam se o mesmo vem acompanhado de um endereço Internet ou de um suporte de dados que permitam aceder </w:t>
            </w:r>
            <w:r w:rsidRPr="00087644">
              <w:rPr>
                <w:b/>
                <w:i/>
              </w:rPr>
              <w:t>diretamente</w:t>
            </w:r>
            <w:r w:rsidRPr="00087644">
              <w:t xml:space="preserve"> à declaração UE de conformidade e, se for caso disso, de outros documentos exigidos, incluindo as informações referidas no artigo 6.º, n.º 7, ou no artigo 8.º, n.º 4, fornecidas conforme especificado nesses artigos, numa língua facilmente compreendida pelos utilizadores finais no Estado</w:t>
            </w:r>
            <w:r w:rsidRPr="00087644">
              <w:noBreakHyphen/>
              <w:t>Membro em que o produto fertilizante UE é disponibilizado no mercado, e ainda se o fabricante e o importador respeitaram os requisitos previstos, respetivamente, no artigo 6.º, n.</w:t>
            </w:r>
            <w:r w:rsidRPr="00087644">
              <w:rPr>
                <w:vertAlign w:val="superscript"/>
              </w:rPr>
              <w:t>os</w:t>
            </w:r>
            <w:r w:rsidRPr="00087644">
              <w:t> 5 e 6, e no artigo 8.º, n.º 3.»</w:t>
            </w:r>
          </w:p>
        </w:tc>
      </w:tr>
    </w:tbl>
    <w:p w14:paraId="5CBBD12A" w14:textId="77777777" w:rsidR="004D2B5D" w:rsidRPr="00087644" w:rsidRDefault="004D2B5D" w:rsidP="004D2B5D"/>
    <w:p w14:paraId="2C54329E" w14:textId="77777777" w:rsidR="004D2B5D" w:rsidRPr="00087644" w:rsidRDefault="004D2B5D" w:rsidP="004D2B5D">
      <w:pPr>
        <w:pStyle w:val="AmNumberTabs"/>
      </w:pPr>
      <w:r w:rsidRPr="00087644">
        <w:t>Alteração</w:t>
      </w:r>
      <w:r w:rsidRPr="00087644">
        <w:tab/>
      </w:r>
      <w:r w:rsidRPr="00087644">
        <w:tab/>
        <w:t>72</w:t>
      </w:r>
    </w:p>
    <w:p w14:paraId="3526A2A1" w14:textId="77777777" w:rsidR="004D2B5D" w:rsidRPr="00087644" w:rsidRDefault="004D2B5D" w:rsidP="004D2B5D">
      <w:pPr>
        <w:pStyle w:val="NormalBold"/>
      </w:pPr>
      <w:r w:rsidRPr="00087644">
        <w:t>Proposta de regulamento</w:t>
      </w:r>
    </w:p>
    <w:p w14:paraId="2639BC0D" w14:textId="77777777" w:rsidR="004D2B5D" w:rsidRPr="00087644" w:rsidRDefault="004D2B5D" w:rsidP="004D2B5D">
      <w:pPr>
        <w:pStyle w:val="NormalBold"/>
      </w:pPr>
      <w:r w:rsidRPr="00087644">
        <w:t>Artigo 3 – parágrafo 1 – ponto 7</w:t>
      </w:r>
    </w:p>
    <w:p w14:paraId="0FF01618" w14:textId="4C202CE0" w:rsidR="004D2B5D" w:rsidRPr="00087644" w:rsidRDefault="004D2B5D" w:rsidP="004D2B5D">
      <w:r w:rsidRPr="00087644">
        <w:t>Regulamento (UE) 2019/1009</w:t>
      </w:r>
    </w:p>
    <w:p w14:paraId="088C4241" w14:textId="77777777" w:rsidR="004D2B5D" w:rsidRPr="00087644" w:rsidRDefault="004D2B5D" w:rsidP="004D2B5D">
      <w:r w:rsidRPr="00087644">
        <w:t>Artigo 16 – n.º 5 – parágrafo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4AE7DFB9" w14:textId="77777777" w:rsidTr="00D063A2">
        <w:trPr>
          <w:trHeight w:val="240"/>
          <w:jc w:val="center"/>
        </w:trPr>
        <w:tc>
          <w:tcPr>
            <w:tcW w:w="9752" w:type="dxa"/>
            <w:gridSpan w:val="2"/>
            <w:tcBorders>
              <w:top w:val="nil"/>
              <w:left w:val="nil"/>
              <w:bottom w:val="nil"/>
              <w:right w:val="nil"/>
            </w:tcBorders>
          </w:tcPr>
          <w:p w14:paraId="07D67F8C" w14:textId="77777777" w:rsidR="004D2B5D" w:rsidRPr="00087644" w:rsidRDefault="004D2B5D" w:rsidP="00D063A2"/>
        </w:tc>
      </w:tr>
      <w:tr w:rsidR="004D2B5D" w:rsidRPr="00087644" w14:paraId="735DA935" w14:textId="77777777" w:rsidTr="00D063A2">
        <w:trPr>
          <w:trHeight w:val="240"/>
          <w:jc w:val="center"/>
        </w:trPr>
        <w:tc>
          <w:tcPr>
            <w:tcW w:w="4876" w:type="dxa"/>
            <w:tcBorders>
              <w:top w:val="nil"/>
              <w:left w:val="nil"/>
              <w:bottom w:val="nil"/>
              <w:right w:val="nil"/>
            </w:tcBorders>
            <w:hideMark/>
          </w:tcPr>
          <w:p w14:paraId="3C7E8916"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5D5DD267" w14:textId="77777777" w:rsidR="004D2B5D" w:rsidRPr="00087644" w:rsidRDefault="004D2B5D" w:rsidP="00D063A2">
            <w:pPr>
              <w:pStyle w:val="AmColumnHeading"/>
            </w:pPr>
            <w:r w:rsidRPr="00087644">
              <w:t>Alteração</w:t>
            </w:r>
          </w:p>
        </w:tc>
      </w:tr>
      <w:tr w:rsidR="004D2B5D" w:rsidRPr="00087644" w14:paraId="6FCD573E" w14:textId="77777777" w:rsidTr="00D063A2">
        <w:trPr>
          <w:jc w:val="center"/>
        </w:trPr>
        <w:tc>
          <w:tcPr>
            <w:tcW w:w="4876" w:type="dxa"/>
            <w:tcBorders>
              <w:top w:val="nil"/>
              <w:left w:val="nil"/>
              <w:bottom w:val="nil"/>
              <w:right w:val="nil"/>
            </w:tcBorders>
            <w:hideMark/>
          </w:tcPr>
          <w:p w14:paraId="6B3156C1" w14:textId="77777777" w:rsidR="004D2B5D" w:rsidRPr="00087644" w:rsidRDefault="004D2B5D" w:rsidP="00D063A2">
            <w:pPr>
              <w:pStyle w:val="Normal6a"/>
            </w:pPr>
            <w:r w:rsidRPr="00087644">
              <w:t xml:space="preserve">A declaração UE de conformidade deve ser fornecida num formato </w:t>
            </w:r>
            <w:r w:rsidRPr="00087644">
              <w:rPr>
                <w:b/>
                <w:i/>
              </w:rPr>
              <w:t>aberto e</w:t>
            </w:r>
            <w:r w:rsidRPr="00087644">
              <w:t xml:space="preserve"> legível por máquina</w:t>
            </w:r>
            <w:r w:rsidRPr="00087644">
              <w:rPr>
                <w:b/>
                <w:i/>
              </w:rPr>
              <w:t>, na aceção do artigo 2.º, pontos 13 e 14, da Diretiva (UE) 2019/1024 do Parlamento Europeu e do Conselho*, e cumprir os requisitos aplicáveis aos rótulos digitais estabelecidos no artigo 11.º</w:t>
            </w:r>
            <w:r w:rsidRPr="00087644">
              <w:rPr>
                <w:b/>
                <w:i/>
              </w:rPr>
              <w:noBreakHyphen/>
              <w:t>B, n.º 4, alíneas a) a d)</w:t>
            </w:r>
            <w:r w:rsidRPr="00087644">
              <w:t>.</w:t>
            </w:r>
          </w:p>
        </w:tc>
        <w:tc>
          <w:tcPr>
            <w:tcW w:w="4876" w:type="dxa"/>
            <w:tcBorders>
              <w:top w:val="nil"/>
              <w:left w:val="nil"/>
              <w:bottom w:val="nil"/>
              <w:right w:val="nil"/>
            </w:tcBorders>
            <w:hideMark/>
          </w:tcPr>
          <w:p w14:paraId="5EDA17BB" w14:textId="77777777" w:rsidR="004D2B5D" w:rsidRPr="00087644" w:rsidRDefault="004D2B5D" w:rsidP="00D063A2">
            <w:pPr>
              <w:pStyle w:val="Normal6a"/>
            </w:pPr>
            <w:r w:rsidRPr="00087644">
              <w:t xml:space="preserve">A declaração UE de conformidade deve ser fornecida num formato legível por máquina </w:t>
            </w:r>
            <w:r w:rsidRPr="00087644">
              <w:rPr>
                <w:b/>
                <w:i/>
              </w:rPr>
              <w:t>que permita aceder</w:t>
            </w:r>
            <w:r w:rsidRPr="00087644">
              <w:rPr>
                <w:b/>
                <w:i/>
              </w:rPr>
              <w:noBreakHyphen/>
              <w:t>lhe diretamente</w:t>
            </w:r>
            <w:r w:rsidRPr="00087644">
              <w:t>.</w:t>
            </w:r>
          </w:p>
        </w:tc>
      </w:tr>
    </w:tbl>
    <w:p w14:paraId="3398DE75" w14:textId="77777777" w:rsidR="004D2B5D" w:rsidRPr="00087644" w:rsidRDefault="004D2B5D" w:rsidP="004D2B5D"/>
    <w:p w14:paraId="0A9B0EF1" w14:textId="77777777" w:rsidR="004D2B5D" w:rsidRPr="00087644" w:rsidRDefault="004D2B5D" w:rsidP="004D2B5D">
      <w:pPr>
        <w:pStyle w:val="AmNumberTabs"/>
      </w:pPr>
      <w:r w:rsidRPr="00087644">
        <w:t>Alteração</w:t>
      </w:r>
      <w:r w:rsidRPr="00087644">
        <w:tab/>
      </w:r>
      <w:r w:rsidRPr="00087644">
        <w:tab/>
        <w:t>73</w:t>
      </w:r>
    </w:p>
    <w:p w14:paraId="7998DE42" w14:textId="77777777" w:rsidR="004D2B5D" w:rsidRPr="00087644" w:rsidRDefault="004D2B5D" w:rsidP="004D2B5D">
      <w:pPr>
        <w:pStyle w:val="NormalBold"/>
      </w:pPr>
      <w:r w:rsidRPr="00087644">
        <w:t>Proposta de regulamento</w:t>
      </w:r>
    </w:p>
    <w:p w14:paraId="78937858" w14:textId="77777777" w:rsidR="004D2B5D" w:rsidRPr="00087644" w:rsidRDefault="004D2B5D" w:rsidP="004D2B5D">
      <w:pPr>
        <w:pStyle w:val="NormalBold"/>
      </w:pPr>
      <w:r w:rsidRPr="00087644">
        <w:t>Artigo 3 – parágrafo 1 – ponto 9 – alínea b</w:t>
      </w:r>
    </w:p>
    <w:p w14:paraId="4C7CB73D" w14:textId="09665EAD" w:rsidR="004D2B5D" w:rsidRPr="00087644" w:rsidRDefault="004D2B5D" w:rsidP="004D2B5D">
      <w:r w:rsidRPr="00087644">
        <w:lastRenderedPageBreak/>
        <w:t>Regulamento (UE) 2019/1009</w:t>
      </w:r>
    </w:p>
    <w:p w14:paraId="678E6EF5" w14:textId="77777777" w:rsidR="004D2B5D" w:rsidRPr="00087644" w:rsidRDefault="004D2B5D" w:rsidP="004D2B5D">
      <w:r w:rsidRPr="00087644">
        <w:t>Artigo 42 – n.º 4</w:t>
      </w:r>
      <w:r w:rsidRPr="00087644">
        <w:noBreakHyphen/>
        <w:t>A – parte introdutória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622B2086" w14:textId="77777777" w:rsidTr="00D063A2">
        <w:trPr>
          <w:trHeight w:val="240"/>
          <w:jc w:val="center"/>
        </w:trPr>
        <w:tc>
          <w:tcPr>
            <w:tcW w:w="9752" w:type="dxa"/>
            <w:gridSpan w:val="2"/>
            <w:tcBorders>
              <w:top w:val="nil"/>
              <w:left w:val="nil"/>
              <w:bottom w:val="nil"/>
              <w:right w:val="nil"/>
            </w:tcBorders>
          </w:tcPr>
          <w:p w14:paraId="5E439800" w14:textId="77777777" w:rsidR="004D2B5D" w:rsidRPr="00087644" w:rsidRDefault="004D2B5D" w:rsidP="00D063A2"/>
        </w:tc>
      </w:tr>
      <w:tr w:rsidR="004D2B5D" w:rsidRPr="00087644" w14:paraId="3596F48B" w14:textId="77777777" w:rsidTr="00D063A2">
        <w:trPr>
          <w:trHeight w:val="240"/>
          <w:jc w:val="center"/>
        </w:trPr>
        <w:tc>
          <w:tcPr>
            <w:tcW w:w="4876" w:type="dxa"/>
            <w:tcBorders>
              <w:top w:val="nil"/>
              <w:left w:val="nil"/>
              <w:bottom w:val="nil"/>
              <w:right w:val="nil"/>
            </w:tcBorders>
            <w:hideMark/>
          </w:tcPr>
          <w:p w14:paraId="2B8B9D6E"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26235C41" w14:textId="77777777" w:rsidR="004D2B5D" w:rsidRPr="00087644" w:rsidRDefault="004D2B5D" w:rsidP="00D063A2">
            <w:pPr>
              <w:pStyle w:val="AmColumnHeading"/>
            </w:pPr>
            <w:r w:rsidRPr="00087644">
              <w:t>Alteração</w:t>
            </w:r>
          </w:p>
        </w:tc>
      </w:tr>
      <w:tr w:rsidR="004D2B5D" w:rsidRPr="00087644" w14:paraId="151C94AB" w14:textId="77777777" w:rsidTr="00D063A2">
        <w:trPr>
          <w:jc w:val="center"/>
        </w:trPr>
        <w:tc>
          <w:tcPr>
            <w:tcW w:w="4876" w:type="dxa"/>
            <w:tcBorders>
              <w:top w:val="nil"/>
              <w:left w:val="nil"/>
              <w:bottom w:val="nil"/>
              <w:right w:val="nil"/>
            </w:tcBorders>
            <w:hideMark/>
          </w:tcPr>
          <w:p w14:paraId="7B30448C" w14:textId="77777777" w:rsidR="004D2B5D" w:rsidRPr="00087644" w:rsidRDefault="004D2B5D" w:rsidP="00D063A2">
            <w:pPr>
              <w:pStyle w:val="Normal6a"/>
            </w:pPr>
            <w:r w:rsidRPr="00087644">
              <w:t xml:space="preserve">A Comissão pode também adotar atos delegados nos termos do n.º 1 para alterar o anexo II a fim de estabelecer critérios e uma metodologia para a avaliação de microrganismos que não os enumerados no anexo II, os quais, se a conformidade com esses critérios </w:t>
            </w:r>
            <w:r w:rsidRPr="00087644">
              <w:rPr>
                <w:b/>
                <w:i/>
              </w:rPr>
              <w:t>for demonstrada</w:t>
            </w:r>
            <w:r w:rsidRPr="00087644">
              <w:t xml:space="preserve"> na avaliação da conformidade do produto fertilizante UE de acordo com essa metodologia, podem ser utilizados como componentes em produtos fertilizantes UE. Os critérios e a metodologia devem permitir </w:t>
            </w:r>
            <w:r w:rsidRPr="00087644">
              <w:rPr>
                <w:b/>
                <w:i/>
              </w:rPr>
              <w:t>verificar</w:t>
            </w:r>
            <w:r w:rsidRPr="00087644">
              <w:t xml:space="preserve"> se os microrganismos cumprem os critérios do n.º 1, alínea b), e prever, no mínimo, a tomada em consideração dos seguintes elementos:</w:t>
            </w:r>
          </w:p>
        </w:tc>
        <w:tc>
          <w:tcPr>
            <w:tcW w:w="4876" w:type="dxa"/>
            <w:tcBorders>
              <w:top w:val="nil"/>
              <w:left w:val="nil"/>
              <w:bottom w:val="nil"/>
              <w:right w:val="nil"/>
            </w:tcBorders>
            <w:hideMark/>
          </w:tcPr>
          <w:p w14:paraId="05C296B7" w14:textId="77777777" w:rsidR="004D2B5D" w:rsidRPr="00087644" w:rsidRDefault="004D2B5D" w:rsidP="00D063A2">
            <w:pPr>
              <w:pStyle w:val="Normal6a"/>
            </w:pPr>
            <w:r w:rsidRPr="00087644">
              <w:t xml:space="preserve">A Comissão pode também adotar atos delegados nos termos do n.º 1 para alterar o anexo II a fim de estabelecer critérios e uma metodologia para a avaliação de microrganismos que não os enumerados no anexo II, os quais, se </w:t>
            </w:r>
            <w:r w:rsidRPr="00087644">
              <w:rPr>
                <w:b/>
                <w:i/>
              </w:rPr>
              <w:t>um fabricante demonstrar e os organismos notificados verificarem</w:t>
            </w:r>
            <w:r w:rsidRPr="00087644">
              <w:t xml:space="preserve"> a conformidade com esses critérios na avaliação da conformidade do produto fertilizante UE de acordo com essa metodologia, podem ser utilizados como componentes em produtos fertilizantes UE. Os critérios e a metodologia devem permitir </w:t>
            </w:r>
            <w:r w:rsidRPr="00087644">
              <w:rPr>
                <w:b/>
                <w:i/>
              </w:rPr>
              <w:t>que o organismo notificado verifique</w:t>
            </w:r>
            <w:r w:rsidRPr="00087644">
              <w:t xml:space="preserve"> se os microrganismos cumprem os critérios do n.º 1, alínea b), e prever, no mínimo, a tomada em consideração dos seguintes elementos:</w:t>
            </w:r>
          </w:p>
        </w:tc>
      </w:tr>
    </w:tbl>
    <w:p w14:paraId="048021B7" w14:textId="77777777" w:rsidR="004D2B5D" w:rsidRPr="00087644" w:rsidRDefault="004D2B5D" w:rsidP="004D2B5D"/>
    <w:p w14:paraId="429A28CC" w14:textId="77777777" w:rsidR="004D2B5D" w:rsidRPr="00087644" w:rsidRDefault="004D2B5D" w:rsidP="004D2B5D">
      <w:pPr>
        <w:pStyle w:val="AmNumberTabs"/>
      </w:pPr>
      <w:r w:rsidRPr="00087644">
        <w:t>Alteração</w:t>
      </w:r>
      <w:r w:rsidRPr="00087644">
        <w:tab/>
      </w:r>
      <w:r w:rsidRPr="00087644">
        <w:tab/>
        <w:t>74</w:t>
      </w:r>
    </w:p>
    <w:p w14:paraId="2F1BE03E" w14:textId="77777777" w:rsidR="004D2B5D" w:rsidRPr="00087644" w:rsidRDefault="004D2B5D" w:rsidP="004D2B5D">
      <w:pPr>
        <w:pStyle w:val="NormalBold"/>
      </w:pPr>
      <w:r w:rsidRPr="00087644">
        <w:t>Proposta de regulamento</w:t>
      </w:r>
    </w:p>
    <w:p w14:paraId="5B7684F6" w14:textId="77777777" w:rsidR="004D2B5D" w:rsidRPr="00087644" w:rsidRDefault="004D2B5D" w:rsidP="004D2B5D">
      <w:pPr>
        <w:pStyle w:val="NormalBold"/>
      </w:pPr>
      <w:r w:rsidRPr="00087644">
        <w:t>Artigo 3 – parágrafo 1 – ponto 9 – alínea b</w:t>
      </w:r>
    </w:p>
    <w:p w14:paraId="6CD7B46C" w14:textId="374AC965" w:rsidR="004D2B5D" w:rsidRPr="00087644" w:rsidRDefault="004D2B5D" w:rsidP="004D2B5D">
      <w:r w:rsidRPr="00087644">
        <w:t>Regulamento (UE) 2019/1009</w:t>
      </w:r>
    </w:p>
    <w:p w14:paraId="2A317205" w14:textId="4B1D0A85" w:rsidR="004D2B5D" w:rsidRPr="00087644" w:rsidRDefault="004D2B5D" w:rsidP="004D2B5D">
      <w:r w:rsidRPr="00087644">
        <w:t>Artigo 42 – n.º 4</w:t>
      </w:r>
      <w:r w:rsidRPr="00087644">
        <w:noBreakHyphen/>
        <w:t>A</w:t>
      </w:r>
      <w:r w:rsidR="002A2F9A" w:rsidRPr="00087644">
        <w:t>-</w:t>
      </w:r>
      <w:r w:rsidRPr="00087644">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22816473" w14:textId="77777777" w:rsidTr="00D063A2">
        <w:trPr>
          <w:trHeight w:val="240"/>
          <w:jc w:val="center"/>
        </w:trPr>
        <w:tc>
          <w:tcPr>
            <w:tcW w:w="9752" w:type="dxa"/>
            <w:gridSpan w:val="2"/>
            <w:tcBorders>
              <w:top w:val="nil"/>
              <w:left w:val="nil"/>
              <w:bottom w:val="nil"/>
              <w:right w:val="nil"/>
            </w:tcBorders>
          </w:tcPr>
          <w:p w14:paraId="45EFFB1D" w14:textId="77777777" w:rsidR="004D2B5D" w:rsidRPr="00087644" w:rsidRDefault="004D2B5D" w:rsidP="00D063A2"/>
        </w:tc>
      </w:tr>
      <w:tr w:rsidR="004D2B5D" w:rsidRPr="00087644" w14:paraId="601FFAC9" w14:textId="77777777" w:rsidTr="00D063A2">
        <w:trPr>
          <w:trHeight w:val="240"/>
          <w:jc w:val="center"/>
        </w:trPr>
        <w:tc>
          <w:tcPr>
            <w:tcW w:w="4876" w:type="dxa"/>
            <w:tcBorders>
              <w:top w:val="nil"/>
              <w:left w:val="nil"/>
              <w:bottom w:val="nil"/>
              <w:right w:val="nil"/>
            </w:tcBorders>
            <w:hideMark/>
          </w:tcPr>
          <w:p w14:paraId="58F74C3E"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2234D6C5" w14:textId="77777777" w:rsidR="004D2B5D" w:rsidRPr="00087644" w:rsidRDefault="004D2B5D" w:rsidP="00D063A2">
            <w:pPr>
              <w:pStyle w:val="AmColumnHeading"/>
            </w:pPr>
            <w:r w:rsidRPr="00087644">
              <w:t>Alteração</w:t>
            </w:r>
          </w:p>
        </w:tc>
      </w:tr>
      <w:tr w:rsidR="004D2B5D" w:rsidRPr="00087644" w14:paraId="76C650F3" w14:textId="77777777" w:rsidTr="00D063A2">
        <w:trPr>
          <w:jc w:val="center"/>
        </w:trPr>
        <w:tc>
          <w:tcPr>
            <w:tcW w:w="4876" w:type="dxa"/>
            <w:tcBorders>
              <w:top w:val="nil"/>
              <w:left w:val="nil"/>
              <w:bottom w:val="nil"/>
              <w:right w:val="nil"/>
            </w:tcBorders>
          </w:tcPr>
          <w:p w14:paraId="45E4EC34" w14:textId="77777777" w:rsidR="004D2B5D" w:rsidRPr="00087644" w:rsidRDefault="004D2B5D" w:rsidP="00D063A2">
            <w:pPr>
              <w:pStyle w:val="Normal6a"/>
            </w:pPr>
          </w:p>
        </w:tc>
        <w:tc>
          <w:tcPr>
            <w:tcW w:w="4876" w:type="dxa"/>
            <w:tcBorders>
              <w:top w:val="nil"/>
              <w:left w:val="nil"/>
              <w:bottom w:val="nil"/>
              <w:right w:val="nil"/>
            </w:tcBorders>
            <w:hideMark/>
          </w:tcPr>
          <w:p w14:paraId="7A46520A" w14:textId="77777777" w:rsidR="004D2B5D" w:rsidRPr="00087644" w:rsidRDefault="004D2B5D" w:rsidP="00D063A2">
            <w:pPr>
              <w:pStyle w:val="Normal6a"/>
            </w:pPr>
            <w:r w:rsidRPr="00087644">
              <w:rPr>
                <w:b/>
                <w:i/>
              </w:rPr>
              <w:t>É inserido o seguinte n.º 4</w:t>
            </w:r>
            <w:r w:rsidRPr="00087644">
              <w:rPr>
                <w:b/>
                <w:i/>
              </w:rPr>
              <w:noBreakHyphen/>
              <w:t>A</w:t>
            </w:r>
            <w:r w:rsidRPr="00087644">
              <w:rPr>
                <w:b/>
                <w:i/>
              </w:rPr>
              <w:noBreakHyphen/>
              <w:t>A:</w:t>
            </w:r>
          </w:p>
        </w:tc>
      </w:tr>
      <w:tr w:rsidR="004D2B5D" w:rsidRPr="00087644" w14:paraId="0AFF53B3" w14:textId="77777777" w:rsidTr="00D063A2">
        <w:trPr>
          <w:jc w:val="center"/>
        </w:trPr>
        <w:tc>
          <w:tcPr>
            <w:tcW w:w="4876" w:type="dxa"/>
            <w:tcBorders>
              <w:top w:val="nil"/>
              <w:left w:val="nil"/>
              <w:bottom w:val="nil"/>
              <w:right w:val="nil"/>
            </w:tcBorders>
          </w:tcPr>
          <w:p w14:paraId="311C7C47" w14:textId="77777777" w:rsidR="004D2B5D" w:rsidRPr="00087644" w:rsidRDefault="004D2B5D" w:rsidP="00D063A2">
            <w:pPr>
              <w:pStyle w:val="Normal6a"/>
            </w:pPr>
          </w:p>
        </w:tc>
        <w:tc>
          <w:tcPr>
            <w:tcW w:w="4876" w:type="dxa"/>
            <w:tcBorders>
              <w:top w:val="nil"/>
              <w:left w:val="nil"/>
              <w:bottom w:val="nil"/>
              <w:right w:val="nil"/>
            </w:tcBorders>
            <w:hideMark/>
          </w:tcPr>
          <w:p w14:paraId="2CD88F54" w14:textId="77777777" w:rsidR="004D2B5D" w:rsidRPr="00087644" w:rsidRDefault="004D2B5D" w:rsidP="00D063A2">
            <w:pPr>
              <w:pStyle w:val="Normal6a"/>
            </w:pPr>
            <w:r w:rsidRPr="00087644">
              <w:rPr>
                <w:b/>
                <w:i/>
              </w:rPr>
              <w:t>«4</w:t>
            </w:r>
            <w:r w:rsidRPr="00087644">
              <w:rPr>
                <w:b/>
                <w:i/>
              </w:rPr>
              <w:noBreakHyphen/>
              <w:t>A</w:t>
            </w:r>
            <w:r w:rsidRPr="00087644">
              <w:rPr>
                <w:b/>
                <w:i/>
              </w:rPr>
              <w:noBreakHyphen/>
              <w:t xml:space="preserve">A. A Comissão pode também adotar, nos termos do n.º 1, atos delegados que alterem o anexo II para estabelecer requisitos gerais e uma metodologia tendo em vista a avaliação de materiais e métodos de transformação que difiram dos já constantes do anexo II, com exceção dos microrganismos, que poderão ser utilizados como materiais componentes nos produtos fertilizantes UE, se da avaliação da conformidade decorrer que esses requisitos foram observados. Os critérios e a metodologia devem prever, no mínimo, a tomada em consideração de informações científicas ou técnicas que comprovem a origem, a transformação e a utilização seguras do </w:t>
            </w:r>
            <w:r w:rsidRPr="00087644">
              <w:rPr>
                <w:b/>
                <w:i/>
              </w:rPr>
              <w:lastRenderedPageBreak/>
              <w:t>material.»</w:t>
            </w:r>
          </w:p>
        </w:tc>
      </w:tr>
    </w:tbl>
    <w:p w14:paraId="003AA6C4" w14:textId="77777777" w:rsidR="004D2B5D" w:rsidRPr="00087644" w:rsidRDefault="004D2B5D" w:rsidP="004D2B5D"/>
    <w:p w14:paraId="651C4B2C" w14:textId="77777777" w:rsidR="004D2B5D" w:rsidRPr="00087644" w:rsidRDefault="004D2B5D" w:rsidP="004D2B5D">
      <w:pPr>
        <w:pStyle w:val="AmNumberTabs"/>
      </w:pPr>
      <w:r w:rsidRPr="00087644">
        <w:t>Alteração</w:t>
      </w:r>
      <w:r w:rsidRPr="00087644">
        <w:tab/>
      </w:r>
      <w:r w:rsidRPr="00087644">
        <w:tab/>
        <w:t>75</w:t>
      </w:r>
    </w:p>
    <w:p w14:paraId="097CCA01" w14:textId="77777777" w:rsidR="004D2B5D" w:rsidRPr="00087644" w:rsidRDefault="004D2B5D" w:rsidP="004D2B5D">
      <w:pPr>
        <w:pStyle w:val="NormalBold"/>
      </w:pPr>
      <w:r w:rsidRPr="00087644">
        <w:t>Proposta de regulamento</w:t>
      </w:r>
    </w:p>
    <w:p w14:paraId="135E4343" w14:textId="77777777" w:rsidR="004D2B5D" w:rsidRPr="00087644" w:rsidRDefault="004D2B5D" w:rsidP="004D2B5D">
      <w:pPr>
        <w:pStyle w:val="NormalBold"/>
      </w:pPr>
      <w:r w:rsidRPr="00087644">
        <w:t>Artigo 3 – parágrafo 1 – ponto 9 – alínea b</w:t>
      </w:r>
    </w:p>
    <w:p w14:paraId="22470BFA" w14:textId="3429808F" w:rsidR="004D2B5D" w:rsidRPr="00087644" w:rsidRDefault="004D2B5D" w:rsidP="004D2B5D">
      <w:r w:rsidRPr="00087644">
        <w:t>Regulamento (UE) 2019/1009</w:t>
      </w:r>
    </w:p>
    <w:p w14:paraId="1AA336DC" w14:textId="77777777" w:rsidR="004D2B5D" w:rsidRPr="00087644" w:rsidRDefault="004D2B5D" w:rsidP="004D2B5D">
      <w:r w:rsidRPr="00087644">
        <w:t>Artigo 42 – n.º 4</w:t>
      </w:r>
      <w:r w:rsidRPr="00087644">
        <w:noBreakHyphen/>
        <w:t>A</w:t>
      </w:r>
      <w:r w:rsidRPr="00087644">
        <w:noBreakHyphen/>
        <w:t>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78E9F3C1" w14:textId="77777777" w:rsidTr="00D063A2">
        <w:trPr>
          <w:trHeight w:val="240"/>
          <w:jc w:val="center"/>
        </w:trPr>
        <w:tc>
          <w:tcPr>
            <w:tcW w:w="9752" w:type="dxa"/>
            <w:gridSpan w:val="2"/>
            <w:tcBorders>
              <w:top w:val="nil"/>
              <w:left w:val="nil"/>
              <w:bottom w:val="nil"/>
              <w:right w:val="nil"/>
            </w:tcBorders>
          </w:tcPr>
          <w:p w14:paraId="027C62E1" w14:textId="77777777" w:rsidR="004D2B5D" w:rsidRPr="00087644" w:rsidRDefault="004D2B5D" w:rsidP="00D063A2"/>
        </w:tc>
      </w:tr>
      <w:tr w:rsidR="004D2B5D" w:rsidRPr="00087644" w14:paraId="6A24C6B9" w14:textId="77777777" w:rsidTr="00D063A2">
        <w:trPr>
          <w:trHeight w:val="240"/>
          <w:jc w:val="center"/>
        </w:trPr>
        <w:tc>
          <w:tcPr>
            <w:tcW w:w="4876" w:type="dxa"/>
            <w:tcBorders>
              <w:top w:val="nil"/>
              <w:left w:val="nil"/>
              <w:bottom w:val="nil"/>
              <w:right w:val="nil"/>
            </w:tcBorders>
            <w:hideMark/>
          </w:tcPr>
          <w:p w14:paraId="42391ECA"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245EF68A" w14:textId="77777777" w:rsidR="004D2B5D" w:rsidRPr="00087644" w:rsidRDefault="004D2B5D" w:rsidP="00D063A2">
            <w:pPr>
              <w:pStyle w:val="AmColumnHeading"/>
            </w:pPr>
            <w:r w:rsidRPr="00087644">
              <w:t>Alteração</w:t>
            </w:r>
          </w:p>
        </w:tc>
      </w:tr>
      <w:tr w:rsidR="004D2B5D" w:rsidRPr="00087644" w14:paraId="157C9CEA" w14:textId="77777777" w:rsidTr="00D063A2">
        <w:trPr>
          <w:jc w:val="center"/>
        </w:trPr>
        <w:tc>
          <w:tcPr>
            <w:tcW w:w="4876" w:type="dxa"/>
            <w:tcBorders>
              <w:top w:val="nil"/>
              <w:left w:val="nil"/>
              <w:bottom w:val="nil"/>
              <w:right w:val="nil"/>
            </w:tcBorders>
          </w:tcPr>
          <w:p w14:paraId="1FE8A90F" w14:textId="77777777" w:rsidR="004D2B5D" w:rsidRPr="00087644" w:rsidRDefault="004D2B5D" w:rsidP="00D063A2">
            <w:pPr>
              <w:pStyle w:val="Normal6a"/>
            </w:pPr>
          </w:p>
        </w:tc>
        <w:tc>
          <w:tcPr>
            <w:tcW w:w="4876" w:type="dxa"/>
            <w:tcBorders>
              <w:top w:val="nil"/>
              <w:left w:val="nil"/>
              <w:bottom w:val="nil"/>
              <w:right w:val="nil"/>
            </w:tcBorders>
            <w:hideMark/>
          </w:tcPr>
          <w:p w14:paraId="3BAA75F9" w14:textId="77777777" w:rsidR="004D2B5D" w:rsidRPr="00087644" w:rsidRDefault="004D2B5D" w:rsidP="00D063A2">
            <w:pPr>
              <w:pStyle w:val="Normal6a"/>
            </w:pPr>
            <w:r w:rsidRPr="00087644">
              <w:rPr>
                <w:b/>
                <w:i/>
              </w:rPr>
              <w:t>É inserido o seguinte n.º 4</w:t>
            </w:r>
            <w:r w:rsidRPr="00087644">
              <w:rPr>
                <w:b/>
                <w:i/>
              </w:rPr>
              <w:noBreakHyphen/>
              <w:t>A</w:t>
            </w:r>
            <w:r w:rsidRPr="00087644">
              <w:rPr>
                <w:b/>
                <w:i/>
              </w:rPr>
              <w:noBreakHyphen/>
              <w:t>B:</w:t>
            </w:r>
          </w:p>
        </w:tc>
      </w:tr>
      <w:tr w:rsidR="004D2B5D" w:rsidRPr="00087644" w14:paraId="6DD7CD27" w14:textId="77777777" w:rsidTr="00D063A2">
        <w:trPr>
          <w:jc w:val="center"/>
        </w:trPr>
        <w:tc>
          <w:tcPr>
            <w:tcW w:w="4876" w:type="dxa"/>
            <w:tcBorders>
              <w:top w:val="nil"/>
              <w:left w:val="nil"/>
              <w:bottom w:val="nil"/>
              <w:right w:val="nil"/>
            </w:tcBorders>
          </w:tcPr>
          <w:p w14:paraId="689C6D1C" w14:textId="77777777" w:rsidR="004D2B5D" w:rsidRPr="00087644" w:rsidRDefault="004D2B5D" w:rsidP="00D063A2">
            <w:pPr>
              <w:pStyle w:val="Normal6a"/>
            </w:pPr>
          </w:p>
        </w:tc>
        <w:tc>
          <w:tcPr>
            <w:tcW w:w="4876" w:type="dxa"/>
            <w:tcBorders>
              <w:top w:val="nil"/>
              <w:left w:val="nil"/>
              <w:bottom w:val="nil"/>
              <w:right w:val="nil"/>
            </w:tcBorders>
            <w:hideMark/>
          </w:tcPr>
          <w:p w14:paraId="5412BC8A" w14:textId="77777777" w:rsidR="004D2B5D" w:rsidRPr="00087644" w:rsidRDefault="004D2B5D" w:rsidP="00D063A2">
            <w:pPr>
              <w:pStyle w:val="Normal6a"/>
            </w:pPr>
            <w:r w:rsidRPr="00087644">
              <w:rPr>
                <w:b/>
                <w:i/>
              </w:rPr>
              <w:t>«4</w:t>
            </w:r>
            <w:r w:rsidRPr="00087644">
              <w:rPr>
                <w:b/>
                <w:i/>
              </w:rPr>
              <w:noBreakHyphen/>
              <w:t>A</w:t>
            </w:r>
            <w:r w:rsidRPr="00087644">
              <w:rPr>
                <w:b/>
                <w:i/>
              </w:rPr>
              <w:noBreakHyphen/>
              <w:t>B. Até [12 meses a contar da data de entrada em vigor do presente regulamento modificativo], a Comissão adota também um ato delegado para estabelecer os requisitos e a metodologia e, após a avaliação, criar uma nova categoria correspondente de materiais e métodos de transformação que difiram dos já constantes do anexo II, com exceção dos microrganismos, que poderão ser utilizados como materiais componentes nos produtos fertilizantes UE, se da avaliação da conformidade decorrer que esses requisitos foram observados. Os critérios e a metodologia visam garantir a segurança do aprovisionamento, da transformação e da utilização do material. A criação desta nova categoria não prejudica a aplicação de outras categorias de materiais componentes estabelecidas no anexo II.»</w:t>
            </w:r>
          </w:p>
        </w:tc>
      </w:tr>
    </w:tbl>
    <w:p w14:paraId="0AE634E7" w14:textId="77777777" w:rsidR="004D2B5D" w:rsidRPr="00087644" w:rsidRDefault="004D2B5D" w:rsidP="004D2B5D"/>
    <w:p w14:paraId="3C882C67" w14:textId="77777777" w:rsidR="004D2B5D" w:rsidRPr="00087644" w:rsidRDefault="004D2B5D" w:rsidP="004D2B5D">
      <w:pPr>
        <w:pStyle w:val="AmNumberTabs"/>
      </w:pPr>
      <w:r w:rsidRPr="00087644">
        <w:t>Alteração</w:t>
      </w:r>
      <w:r w:rsidRPr="00087644">
        <w:tab/>
      </w:r>
      <w:r w:rsidRPr="00087644">
        <w:tab/>
        <w:t>76</w:t>
      </w:r>
    </w:p>
    <w:p w14:paraId="4F1C44E2" w14:textId="77777777" w:rsidR="004D2B5D" w:rsidRPr="00087644" w:rsidRDefault="004D2B5D" w:rsidP="004D2B5D">
      <w:pPr>
        <w:pStyle w:val="NormalBold"/>
      </w:pPr>
      <w:r w:rsidRPr="00087644">
        <w:t>Proposta de regulamento</w:t>
      </w:r>
    </w:p>
    <w:p w14:paraId="0A8B674C" w14:textId="77777777" w:rsidR="004D2B5D" w:rsidRPr="00087644" w:rsidRDefault="004D2B5D" w:rsidP="004D2B5D">
      <w:pPr>
        <w:pStyle w:val="NormalBold"/>
      </w:pPr>
      <w:r w:rsidRPr="00087644">
        <w:t xml:space="preserve">Artigo 3 – parágrafo 1 – ponto 9 – alínea </w:t>
      </w:r>
      <w:proofErr w:type="spellStart"/>
      <w:r w:rsidRPr="00087644">
        <w:t>b</w:t>
      </w:r>
      <w:r w:rsidRPr="00087644">
        <w:noBreakHyphen/>
        <w:t>A</w:t>
      </w:r>
      <w:proofErr w:type="spellEnd"/>
      <w:r w:rsidRPr="00087644">
        <w:t xml:space="preserve"> (nova)</w:t>
      </w:r>
    </w:p>
    <w:p w14:paraId="2106963E" w14:textId="3735CB89" w:rsidR="004D2B5D" w:rsidRPr="00087644" w:rsidRDefault="004D2B5D" w:rsidP="004D2B5D">
      <w:r w:rsidRPr="00087644">
        <w:t>Regulamento (UE) 2019/1009</w:t>
      </w:r>
    </w:p>
    <w:p w14:paraId="14BE94E1" w14:textId="77777777" w:rsidR="004D2B5D" w:rsidRPr="00087644" w:rsidRDefault="004D2B5D" w:rsidP="004D2B5D">
      <w:r w:rsidRPr="00087644">
        <w:t>Artigo 42 – n.º 5</w:t>
      </w:r>
      <w:r w:rsidRPr="00087644">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48413C93" w14:textId="77777777" w:rsidTr="00D063A2">
        <w:trPr>
          <w:trHeight w:val="240"/>
          <w:jc w:val="center"/>
        </w:trPr>
        <w:tc>
          <w:tcPr>
            <w:tcW w:w="9752" w:type="dxa"/>
            <w:gridSpan w:val="2"/>
            <w:tcBorders>
              <w:top w:val="nil"/>
              <w:left w:val="nil"/>
              <w:bottom w:val="nil"/>
              <w:right w:val="nil"/>
            </w:tcBorders>
          </w:tcPr>
          <w:p w14:paraId="6E6232BC" w14:textId="77777777" w:rsidR="004D2B5D" w:rsidRPr="00087644" w:rsidRDefault="004D2B5D" w:rsidP="00D063A2"/>
        </w:tc>
      </w:tr>
      <w:tr w:rsidR="004D2B5D" w:rsidRPr="00087644" w14:paraId="0FA9EFD6" w14:textId="77777777" w:rsidTr="00D063A2">
        <w:trPr>
          <w:trHeight w:val="240"/>
          <w:jc w:val="center"/>
        </w:trPr>
        <w:tc>
          <w:tcPr>
            <w:tcW w:w="4876" w:type="dxa"/>
            <w:tcBorders>
              <w:top w:val="nil"/>
              <w:left w:val="nil"/>
              <w:bottom w:val="nil"/>
              <w:right w:val="nil"/>
            </w:tcBorders>
            <w:hideMark/>
          </w:tcPr>
          <w:p w14:paraId="09BDAAFF"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4C55B913" w14:textId="77777777" w:rsidR="004D2B5D" w:rsidRPr="00087644" w:rsidRDefault="004D2B5D" w:rsidP="00D063A2">
            <w:pPr>
              <w:pStyle w:val="AmColumnHeading"/>
            </w:pPr>
            <w:r w:rsidRPr="00087644">
              <w:t>Alteração</w:t>
            </w:r>
          </w:p>
        </w:tc>
      </w:tr>
      <w:tr w:rsidR="004D2B5D" w:rsidRPr="00087644" w14:paraId="2F570836" w14:textId="77777777" w:rsidTr="00D063A2">
        <w:trPr>
          <w:jc w:val="center"/>
        </w:trPr>
        <w:tc>
          <w:tcPr>
            <w:tcW w:w="4876" w:type="dxa"/>
            <w:tcBorders>
              <w:top w:val="nil"/>
              <w:left w:val="nil"/>
              <w:bottom w:val="nil"/>
              <w:right w:val="nil"/>
            </w:tcBorders>
          </w:tcPr>
          <w:p w14:paraId="0562A7BB" w14:textId="77777777" w:rsidR="004D2B5D" w:rsidRPr="00087644" w:rsidRDefault="004D2B5D" w:rsidP="00D063A2">
            <w:pPr>
              <w:pStyle w:val="Normal6a"/>
            </w:pPr>
          </w:p>
        </w:tc>
        <w:tc>
          <w:tcPr>
            <w:tcW w:w="4876" w:type="dxa"/>
            <w:tcBorders>
              <w:top w:val="nil"/>
              <w:left w:val="nil"/>
              <w:bottom w:val="nil"/>
              <w:right w:val="nil"/>
            </w:tcBorders>
            <w:hideMark/>
          </w:tcPr>
          <w:p w14:paraId="34C9733F" w14:textId="77777777" w:rsidR="004D2B5D" w:rsidRPr="00087644" w:rsidRDefault="004D2B5D" w:rsidP="00D063A2">
            <w:pPr>
              <w:pStyle w:val="Normal6a"/>
            </w:pPr>
            <w:r w:rsidRPr="00087644">
              <w:rPr>
                <w:b/>
                <w:i/>
              </w:rPr>
              <w:t>(</w:t>
            </w:r>
            <w:proofErr w:type="spellStart"/>
            <w:r w:rsidRPr="00087644">
              <w:rPr>
                <w:b/>
                <w:i/>
              </w:rPr>
              <w:t>b</w:t>
            </w:r>
            <w:r w:rsidRPr="00087644">
              <w:rPr>
                <w:b/>
                <w:i/>
              </w:rPr>
              <w:noBreakHyphen/>
              <w:t>A</w:t>
            </w:r>
            <w:proofErr w:type="spellEnd"/>
            <w:r w:rsidRPr="00087644">
              <w:rPr>
                <w:b/>
                <w:i/>
              </w:rPr>
              <w:t>)</w:t>
            </w:r>
            <w:r w:rsidRPr="00087644">
              <w:tab/>
            </w:r>
            <w:r w:rsidRPr="00087644">
              <w:rPr>
                <w:b/>
                <w:i/>
              </w:rPr>
              <w:t>É inserido o seguinte número:</w:t>
            </w:r>
          </w:p>
        </w:tc>
      </w:tr>
      <w:tr w:rsidR="004D2B5D" w:rsidRPr="00087644" w14:paraId="7A2C1A7A" w14:textId="77777777" w:rsidTr="00D063A2">
        <w:trPr>
          <w:jc w:val="center"/>
        </w:trPr>
        <w:tc>
          <w:tcPr>
            <w:tcW w:w="4876" w:type="dxa"/>
            <w:tcBorders>
              <w:top w:val="nil"/>
              <w:left w:val="nil"/>
              <w:bottom w:val="nil"/>
              <w:right w:val="nil"/>
            </w:tcBorders>
          </w:tcPr>
          <w:p w14:paraId="38E2CEAB" w14:textId="77777777" w:rsidR="004D2B5D" w:rsidRPr="00087644" w:rsidRDefault="004D2B5D" w:rsidP="00D063A2">
            <w:pPr>
              <w:pStyle w:val="Normal6a"/>
            </w:pPr>
          </w:p>
        </w:tc>
        <w:tc>
          <w:tcPr>
            <w:tcW w:w="4876" w:type="dxa"/>
            <w:tcBorders>
              <w:top w:val="nil"/>
              <w:left w:val="nil"/>
              <w:bottom w:val="nil"/>
              <w:right w:val="nil"/>
            </w:tcBorders>
            <w:hideMark/>
          </w:tcPr>
          <w:p w14:paraId="701F41CC" w14:textId="77777777" w:rsidR="004D2B5D" w:rsidRPr="00087644" w:rsidRDefault="004D2B5D" w:rsidP="00D063A2">
            <w:pPr>
              <w:pStyle w:val="Normal6a"/>
            </w:pPr>
            <w:r w:rsidRPr="00087644">
              <w:rPr>
                <w:b/>
                <w:i/>
              </w:rPr>
              <w:t>«5</w:t>
            </w:r>
            <w:r w:rsidRPr="00087644">
              <w:rPr>
                <w:b/>
                <w:i/>
              </w:rPr>
              <w:noBreakHyphen/>
              <w:t xml:space="preserve">A. Para efeitos do presente regulamento, os produtos derivados de subprodutos animais utilizados unicamente como materiais componentes de produtos fertilizantes UE só podem ser disponibilizados no mercado se tiverem </w:t>
            </w:r>
            <w:r w:rsidRPr="00087644">
              <w:rPr>
                <w:b/>
                <w:i/>
              </w:rPr>
              <w:lastRenderedPageBreak/>
              <w:t>origem em subprodutos animais ou produtos derivados que tenham alcançado um ponto final na cadeia de fabrico, nos termos do artigo 5.º, n.º 2, do Regulamento (CE) n.º 1069/2009. Ao determinar esses pontos finais para os produtos derivados destinados a serem utilizados em produtos fertilizantes UE, a Comissão assegura que: a) Os critérios de transformação e de segurança, bem como quaisquer medidas necessárias de atenuação dos riscos, sejam proporcionados e suficientes para garantir um nível elevado de proteção da saúde humana e do ambiente, e especificamente pertinentes para as utilizações de fertilizantes; b) Esses critérios e medidas sejam apropriados tendo em conta os riscos decorrentes da aplicação de produtos fertilizantes no solo e na água; e c) Esses critérios e medidas estejam em sintonia com os requisitos estabelecidos no artigo 42.º, n.º 5, do presente regulamento. Se os atos delegados ou de execução em vigor, adotados ao abrigo do Regulamento (CE) n.º 1069/2009, não cumprirem essas condições, a Comissão deve, se for caso disso, e de acordo com os procedimentos estabelecidos no regulamento em causa, revê</w:t>
            </w:r>
            <w:r w:rsidRPr="00087644">
              <w:rPr>
                <w:b/>
                <w:i/>
              </w:rPr>
              <w:noBreakHyphen/>
              <w:t>los e, se necessário, alterá</w:t>
            </w:r>
            <w:r w:rsidRPr="00087644">
              <w:rPr>
                <w:b/>
                <w:i/>
              </w:rPr>
              <w:noBreakHyphen/>
              <w:t>los para assegurar a referida coerência. Para o efeito, a Comissão solicita, se for caso disso, pareceres científicos à Autoridade Europeia para a Segurança dos Alimentos no sentido de avaliar os riscos específicos das utilizações de fertilizantes, tendo em conta vias de exposição distintas das associadas aos alimentos para animais ou a outras utilizações.»</w:t>
            </w:r>
          </w:p>
        </w:tc>
      </w:tr>
    </w:tbl>
    <w:p w14:paraId="0900C5C4" w14:textId="77777777" w:rsidR="004D2B5D" w:rsidRPr="00087644" w:rsidRDefault="004D2B5D" w:rsidP="004D2B5D"/>
    <w:p w14:paraId="7DAFA506" w14:textId="77777777" w:rsidR="004D2B5D" w:rsidRPr="00087644" w:rsidRDefault="004D2B5D" w:rsidP="004D2B5D">
      <w:pPr>
        <w:pStyle w:val="AmNumberTabs"/>
      </w:pPr>
      <w:r w:rsidRPr="00087644">
        <w:t>Alteração</w:t>
      </w:r>
      <w:r w:rsidRPr="00087644">
        <w:tab/>
      </w:r>
      <w:r w:rsidRPr="00087644">
        <w:tab/>
        <w:t>77</w:t>
      </w:r>
    </w:p>
    <w:p w14:paraId="565AD98E" w14:textId="77777777" w:rsidR="004D2B5D" w:rsidRPr="00087644" w:rsidRDefault="004D2B5D" w:rsidP="004D2B5D">
      <w:pPr>
        <w:pStyle w:val="NormalBold"/>
      </w:pPr>
      <w:r w:rsidRPr="00087644">
        <w:t>Proposta de regulamento</w:t>
      </w:r>
    </w:p>
    <w:p w14:paraId="7658F885" w14:textId="77777777" w:rsidR="004D2B5D" w:rsidRPr="00087644" w:rsidRDefault="004D2B5D" w:rsidP="004D2B5D">
      <w:pPr>
        <w:pStyle w:val="NormalBold"/>
      </w:pPr>
      <w:r w:rsidRPr="00087644">
        <w:t>Artigo 3 – parágrafo 1 – ponto 9 – alínea b</w:t>
      </w:r>
      <w:r w:rsidRPr="00087644">
        <w:noBreakHyphen/>
        <w:t>B (nova)</w:t>
      </w:r>
    </w:p>
    <w:p w14:paraId="4E4301A6" w14:textId="6F053B02" w:rsidR="004D2B5D" w:rsidRPr="00087644" w:rsidRDefault="004D2B5D" w:rsidP="004D2B5D">
      <w:r w:rsidRPr="00087644">
        <w:t>Regulamento (UE) 2019/1009</w:t>
      </w:r>
    </w:p>
    <w:p w14:paraId="7BA3168A" w14:textId="77777777" w:rsidR="004D2B5D" w:rsidRPr="00087644" w:rsidRDefault="004D2B5D" w:rsidP="004D2B5D">
      <w:r w:rsidRPr="00087644">
        <w:t>Artigo 42 – n.º 8</w:t>
      </w:r>
      <w:r w:rsidRPr="00087644">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5C5FBAF3" w14:textId="77777777" w:rsidTr="00D063A2">
        <w:trPr>
          <w:trHeight w:val="240"/>
          <w:jc w:val="center"/>
        </w:trPr>
        <w:tc>
          <w:tcPr>
            <w:tcW w:w="9752" w:type="dxa"/>
            <w:gridSpan w:val="2"/>
            <w:tcBorders>
              <w:top w:val="nil"/>
              <w:left w:val="nil"/>
              <w:bottom w:val="nil"/>
              <w:right w:val="nil"/>
            </w:tcBorders>
          </w:tcPr>
          <w:p w14:paraId="3AA4B926" w14:textId="77777777" w:rsidR="004D2B5D" w:rsidRPr="00087644" w:rsidRDefault="004D2B5D" w:rsidP="00D063A2"/>
        </w:tc>
      </w:tr>
      <w:tr w:rsidR="004D2B5D" w:rsidRPr="00087644" w14:paraId="7BE41769" w14:textId="77777777" w:rsidTr="00D063A2">
        <w:trPr>
          <w:trHeight w:val="240"/>
          <w:jc w:val="center"/>
        </w:trPr>
        <w:tc>
          <w:tcPr>
            <w:tcW w:w="4876" w:type="dxa"/>
            <w:tcBorders>
              <w:top w:val="nil"/>
              <w:left w:val="nil"/>
              <w:bottom w:val="nil"/>
              <w:right w:val="nil"/>
            </w:tcBorders>
            <w:hideMark/>
          </w:tcPr>
          <w:p w14:paraId="5F93D571"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45702FBC" w14:textId="77777777" w:rsidR="004D2B5D" w:rsidRPr="00087644" w:rsidRDefault="004D2B5D" w:rsidP="00D063A2">
            <w:pPr>
              <w:pStyle w:val="AmColumnHeading"/>
            </w:pPr>
            <w:r w:rsidRPr="00087644">
              <w:t>Alteração</w:t>
            </w:r>
          </w:p>
        </w:tc>
      </w:tr>
      <w:tr w:rsidR="004D2B5D" w:rsidRPr="00087644" w14:paraId="0545BC92" w14:textId="77777777" w:rsidTr="00D063A2">
        <w:trPr>
          <w:jc w:val="center"/>
        </w:trPr>
        <w:tc>
          <w:tcPr>
            <w:tcW w:w="4876" w:type="dxa"/>
            <w:tcBorders>
              <w:top w:val="nil"/>
              <w:left w:val="nil"/>
              <w:bottom w:val="nil"/>
              <w:right w:val="nil"/>
            </w:tcBorders>
          </w:tcPr>
          <w:p w14:paraId="7863085C" w14:textId="77777777" w:rsidR="004D2B5D" w:rsidRPr="00087644" w:rsidRDefault="004D2B5D" w:rsidP="00D063A2">
            <w:pPr>
              <w:pStyle w:val="Normal6a"/>
            </w:pPr>
          </w:p>
        </w:tc>
        <w:tc>
          <w:tcPr>
            <w:tcW w:w="4876" w:type="dxa"/>
            <w:tcBorders>
              <w:top w:val="nil"/>
              <w:left w:val="nil"/>
              <w:bottom w:val="nil"/>
              <w:right w:val="nil"/>
            </w:tcBorders>
            <w:hideMark/>
          </w:tcPr>
          <w:p w14:paraId="0A449CF3" w14:textId="77777777" w:rsidR="004D2B5D" w:rsidRPr="00087644" w:rsidRDefault="004D2B5D" w:rsidP="00D063A2">
            <w:pPr>
              <w:pStyle w:val="Normal6a"/>
            </w:pPr>
            <w:r w:rsidRPr="00087644">
              <w:rPr>
                <w:b/>
                <w:i/>
              </w:rPr>
              <w:t>(b</w:t>
            </w:r>
            <w:r w:rsidRPr="00087644">
              <w:rPr>
                <w:b/>
                <w:i/>
              </w:rPr>
              <w:noBreakHyphen/>
              <w:t>B)</w:t>
            </w:r>
            <w:r w:rsidRPr="00087644">
              <w:tab/>
            </w:r>
            <w:r w:rsidRPr="00087644">
              <w:rPr>
                <w:b/>
                <w:i/>
              </w:rPr>
              <w:t xml:space="preserve">É aditado o seguinte número: </w:t>
            </w:r>
            <w:r w:rsidRPr="00087644">
              <w:rPr>
                <w:b/>
                <w:i/>
              </w:rPr>
              <w:lastRenderedPageBreak/>
              <w:t>«8</w:t>
            </w:r>
            <w:r w:rsidRPr="00087644">
              <w:rPr>
                <w:b/>
                <w:i/>
              </w:rPr>
              <w:noBreakHyphen/>
              <w:t>A. A Comissão adota o primeiro ato delegado nos termos do n.º 4</w:t>
            </w:r>
            <w:r w:rsidRPr="00087644">
              <w:rPr>
                <w:b/>
                <w:i/>
              </w:rPr>
              <w:noBreakHyphen/>
              <w:t>A até ... [18 meses após a data de entrada em vigor do presente regulamento].»</w:t>
            </w:r>
          </w:p>
        </w:tc>
      </w:tr>
    </w:tbl>
    <w:p w14:paraId="5F5FD98B" w14:textId="77777777" w:rsidR="004D2B5D" w:rsidRPr="00087644" w:rsidRDefault="004D2B5D" w:rsidP="004D2B5D"/>
    <w:p w14:paraId="7B29A5A6" w14:textId="77777777" w:rsidR="004D2B5D" w:rsidRPr="00087644" w:rsidRDefault="004D2B5D" w:rsidP="004D2B5D">
      <w:pPr>
        <w:pStyle w:val="AmNumberTabs"/>
      </w:pPr>
      <w:r w:rsidRPr="00087644">
        <w:t>Alteração</w:t>
      </w:r>
      <w:r w:rsidRPr="00087644">
        <w:tab/>
      </w:r>
      <w:r w:rsidRPr="00087644">
        <w:tab/>
        <w:t>78</w:t>
      </w:r>
    </w:p>
    <w:p w14:paraId="07C4D0B0" w14:textId="77777777" w:rsidR="004D2B5D" w:rsidRPr="00087644" w:rsidRDefault="004D2B5D" w:rsidP="004D2B5D">
      <w:pPr>
        <w:pStyle w:val="NormalBold"/>
      </w:pPr>
      <w:r w:rsidRPr="00087644">
        <w:t>Proposta de regulamento</w:t>
      </w:r>
    </w:p>
    <w:p w14:paraId="24869B53" w14:textId="77777777" w:rsidR="004D2B5D" w:rsidRPr="00087644" w:rsidRDefault="004D2B5D" w:rsidP="004D2B5D">
      <w:pPr>
        <w:pStyle w:val="NormalBold"/>
      </w:pPr>
      <w:r w:rsidRPr="00087644">
        <w:t>Artigo 3 – parágrafo 1 – ponto 9 – alínea b</w:t>
      </w:r>
      <w:r w:rsidRPr="00087644">
        <w:noBreakHyphen/>
        <w:t>C (nova)</w:t>
      </w:r>
    </w:p>
    <w:p w14:paraId="5B017925" w14:textId="36B59CAF" w:rsidR="004D2B5D" w:rsidRPr="00087644" w:rsidRDefault="004D2B5D" w:rsidP="004D2B5D">
      <w:r w:rsidRPr="00087644">
        <w:t>Regulamento (UE) 2019/1009</w:t>
      </w:r>
    </w:p>
    <w:p w14:paraId="629170E8" w14:textId="77777777" w:rsidR="004D2B5D" w:rsidRPr="00087644" w:rsidRDefault="004D2B5D" w:rsidP="004D2B5D">
      <w:r w:rsidRPr="00087644">
        <w:t>Artigo 49</w:t>
      </w:r>
      <w:r w:rsidRPr="00087644">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64648262" w14:textId="77777777" w:rsidTr="00D063A2">
        <w:trPr>
          <w:trHeight w:val="240"/>
          <w:jc w:val="center"/>
        </w:trPr>
        <w:tc>
          <w:tcPr>
            <w:tcW w:w="9752" w:type="dxa"/>
            <w:gridSpan w:val="2"/>
            <w:tcBorders>
              <w:top w:val="nil"/>
              <w:left w:val="nil"/>
              <w:bottom w:val="nil"/>
              <w:right w:val="nil"/>
            </w:tcBorders>
          </w:tcPr>
          <w:p w14:paraId="00A566C7" w14:textId="77777777" w:rsidR="004D2B5D" w:rsidRPr="00087644" w:rsidRDefault="004D2B5D" w:rsidP="00D063A2"/>
        </w:tc>
      </w:tr>
      <w:tr w:rsidR="004D2B5D" w:rsidRPr="00087644" w14:paraId="6B8423C4" w14:textId="77777777" w:rsidTr="00D063A2">
        <w:trPr>
          <w:trHeight w:val="240"/>
          <w:jc w:val="center"/>
        </w:trPr>
        <w:tc>
          <w:tcPr>
            <w:tcW w:w="4876" w:type="dxa"/>
            <w:tcBorders>
              <w:top w:val="nil"/>
              <w:left w:val="nil"/>
              <w:bottom w:val="nil"/>
              <w:right w:val="nil"/>
            </w:tcBorders>
            <w:hideMark/>
          </w:tcPr>
          <w:p w14:paraId="7EEADC3D"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13101862" w14:textId="77777777" w:rsidR="004D2B5D" w:rsidRPr="00087644" w:rsidRDefault="004D2B5D" w:rsidP="00D063A2">
            <w:pPr>
              <w:pStyle w:val="AmColumnHeading"/>
            </w:pPr>
            <w:r w:rsidRPr="00087644">
              <w:t>Alteração</w:t>
            </w:r>
          </w:p>
        </w:tc>
      </w:tr>
      <w:tr w:rsidR="004D2B5D" w:rsidRPr="00087644" w14:paraId="64FF7A40" w14:textId="77777777" w:rsidTr="00D063A2">
        <w:trPr>
          <w:jc w:val="center"/>
        </w:trPr>
        <w:tc>
          <w:tcPr>
            <w:tcW w:w="4876" w:type="dxa"/>
            <w:tcBorders>
              <w:top w:val="nil"/>
              <w:left w:val="nil"/>
              <w:bottom w:val="nil"/>
              <w:right w:val="nil"/>
            </w:tcBorders>
          </w:tcPr>
          <w:p w14:paraId="475D10F0" w14:textId="77777777" w:rsidR="004D2B5D" w:rsidRPr="00087644" w:rsidRDefault="004D2B5D" w:rsidP="00D063A2">
            <w:pPr>
              <w:pStyle w:val="Normal6a"/>
            </w:pPr>
          </w:p>
        </w:tc>
        <w:tc>
          <w:tcPr>
            <w:tcW w:w="4876" w:type="dxa"/>
            <w:tcBorders>
              <w:top w:val="nil"/>
              <w:left w:val="nil"/>
              <w:bottom w:val="nil"/>
              <w:right w:val="nil"/>
            </w:tcBorders>
            <w:hideMark/>
          </w:tcPr>
          <w:p w14:paraId="585F8F0B" w14:textId="77777777" w:rsidR="004D2B5D" w:rsidRPr="00087644" w:rsidRDefault="004D2B5D" w:rsidP="00D063A2">
            <w:pPr>
              <w:pStyle w:val="Normal6a"/>
            </w:pPr>
            <w:r w:rsidRPr="00087644">
              <w:rPr>
                <w:b/>
                <w:i/>
              </w:rPr>
              <w:t>(b</w:t>
            </w:r>
            <w:r w:rsidRPr="00087644">
              <w:rPr>
                <w:b/>
                <w:i/>
              </w:rPr>
              <w:noBreakHyphen/>
              <w:t>C)</w:t>
            </w:r>
            <w:r w:rsidRPr="00087644">
              <w:tab/>
            </w:r>
            <w:r w:rsidRPr="00087644">
              <w:rPr>
                <w:b/>
                <w:i/>
              </w:rPr>
              <w:t>«Artigo 49.º</w:t>
            </w:r>
            <w:r w:rsidRPr="00087644">
              <w:rPr>
                <w:b/>
                <w:i/>
              </w:rPr>
              <w:noBreakHyphen/>
              <w:t>A</w:t>
            </w:r>
          </w:p>
        </w:tc>
      </w:tr>
      <w:tr w:rsidR="004D2B5D" w:rsidRPr="00087644" w14:paraId="55C6ADDA" w14:textId="77777777" w:rsidTr="00D063A2">
        <w:trPr>
          <w:jc w:val="center"/>
        </w:trPr>
        <w:tc>
          <w:tcPr>
            <w:tcW w:w="4876" w:type="dxa"/>
            <w:tcBorders>
              <w:top w:val="nil"/>
              <w:left w:val="nil"/>
              <w:bottom w:val="nil"/>
              <w:right w:val="nil"/>
            </w:tcBorders>
          </w:tcPr>
          <w:p w14:paraId="3801E09D" w14:textId="77777777" w:rsidR="004D2B5D" w:rsidRPr="00087644" w:rsidRDefault="004D2B5D" w:rsidP="00D063A2">
            <w:pPr>
              <w:pStyle w:val="Normal6a"/>
            </w:pPr>
          </w:p>
        </w:tc>
        <w:tc>
          <w:tcPr>
            <w:tcW w:w="4876" w:type="dxa"/>
            <w:tcBorders>
              <w:top w:val="nil"/>
              <w:left w:val="nil"/>
              <w:bottom w:val="nil"/>
              <w:right w:val="nil"/>
            </w:tcBorders>
            <w:hideMark/>
          </w:tcPr>
          <w:p w14:paraId="3B12A813" w14:textId="77777777" w:rsidR="004D2B5D" w:rsidRPr="00087644" w:rsidRDefault="004D2B5D" w:rsidP="00D063A2">
            <w:pPr>
              <w:pStyle w:val="Normal6a"/>
            </w:pPr>
            <w:r w:rsidRPr="00087644">
              <w:rPr>
                <w:b/>
                <w:i/>
              </w:rPr>
              <w:t>Revisão</w:t>
            </w:r>
          </w:p>
        </w:tc>
      </w:tr>
      <w:tr w:rsidR="004D2B5D" w:rsidRPr="00087644" w14:paraId="60476E6F" w14:textId="77777777" w:rsidTr="00D063A2">
        <w:trPr>
          <w:jc w:val="center"/>
        </w:trPr>
        <w:tc>
          <w:tcPr>
            <w:tcW w:w="4876" w:type="dxa"/>
            <w:tcBorders>
              <w:top w:val="nil"/>
              <w:left w:val="nil"/>
              <w:bottom w:val="nil"/>
              <w:right w:val="nil"/>
            </w:tcBorders>
          </w:tcPr>
          <w:p w14:paraId="420872F1" w14:textId="77777777" w:rsidR="004D2B5D" w:rsidRPr="00087644" w:rsidRDefault="004D2B5D" w:rsidP="00D063A2">
            <w:pPr>
              <w:pStyle w:val="Normal6a"/>
            </w:pPr>
          </w:p>
        </w:tc>
        <w:tc>
          <w:tcPr>
            <w:tcW w:w="4876" w:type="dxa"/>
            <w:tcBorders>
              <w:top w:val="nil"/>
              <w:left w:val="nil"/>
              <w:bottom w:val="nil"/>
              <w:right w:val="nil"/>
            </w:tcBorders>
            <w:hideMark/>
          </w:tcPr>
          <w:p w14:paraId="592E4CDC" w14:textId="77777777" w:rsidR="004D2B5D" w:rsidRPr="00087644" w:rsidRDefault="004D2B5D" w:rsidP="00D063A2">
            <w:pPr>
              <w:pStyle w:val="Normal6a"/>
            </w:pPr>
            <w:r w:rsidRPr="00087644">
              <w:rPr>
                <w:b/>
                <w:i/>
              </w:rPr>
              <w:t xml:space="preserve">A Comissão avalia periodicamente se os requisitos aplicáveis ao tratamento dos materiais destinados </w:t>
            </w:r>
            <w:proofErr w:type="gramStart"/>
            <w:r w:rsidRPr="00087644">
              <w:rPr>
                <w:b/>
                <w:i/>
              </w:rPr>
              <w:t>a utilização em produtos fertilizantes continuam</w:t>
            </w:r>
            <w:proofErr w:type="gramEnd"/>
            <w:r w:rsidRPr="00087644">
              <w:rPr>
                <w:b/>
                <w:i/>
              </w:rPr>
              <w:t xml:space="preserve"> a ser adequados e, se for caso disso, adapta</w:t>
            </w:r>
            <w:r w:rsidRPr="00087644">
              <w:rPr>
                <w:b/>
                <w:i/>
              </w:rPr>
              <w:noBreakHyphen/>
              <w:t>os à luz do progresso científico e técnico, atendendo às práticas nacionais e aos objetivos do Regulamento (UE) 2019/1009. A primeira revisão é efetuada o mais tardar dois anos após a data de aplicação do presente regulamento modificativo.»</w:t>
            </w:r>
          </w:p>
        </w:tc>
      </w:tr>
    </w:tbl>
    <w:p w14:paraId="2F648259" w14:textId="77777777" w:rsidR="004D2B5D" w:rsidRPr="00087644" w:rsidRDefault="004D2B5D" w:rsidP="004D2B5D"/>
    <w:p w14:paraId="3DE96AFF" w14:textId="77777777" w:rsidR="004D2B5D" w:rsidRPr="00087644" w:rsidRDefault="004D2B5D" w:rsidP="004D2B5D">
      <w:pPr>
        <w:pStyle w:val="AmNumberTabs"/>
      </w:pPr>
      <w:r w:rsidRPr="00087644">
        <w:t>Alteração</w:t>
      </w:r>
      <w:r w:rsidRPr="00087644">
        <w:tab/>
      </w:r>
      <w:r w:rsidRPr="00087644">
        <w:tab/>
        <w:t>79</w:t>
      </w:r>
    </w:p>
    <w:p w14:paraId="3EBA8A3C" w14:textId="77777777" w:rsidR="004D2B5D" w:rsidRPr="00087644" w:rsidRDefault="004D2B5D" w:rsidP="004D2B5D">
      <w:pPr>
        <w:pStyle w:val="NormalBold"/>
      </w:pPr>
      <w:r w:rsidRPr="00087644">
        <w:t>Proposta de regulamento</w:t>
      </w:r>
    </w:p>
    <w:p w14:paraId="1555F239" w14:textId="77777777" w:rsidR="004D2B5D" w:rsidRPr="00087644" w:rsidRDefault="004D2B5D" w:rsidP="004D2B5D">
      <w:pPr>
        <w:pStyle w:val="NormalBold"/>
      </w:pPr>
      <w:r w:rsidRPr="00087644">
        <w:t>Artigo 3 – parágrafo 1 – ponto 9 – alínea b</w:t>
      </w:r>
      <w:r w:rsidRPr="00087644">
        <w:noBreakHyphen/>
        <w:t>D (nova)</w:t>
      </w:r>
    </w:p>
    <w:p w14:paraId="1D3A20B1" w14:textId="7048C135" w:rsidR="004D2B5D" w:rsidRPr="00087644" w:rsidRDefault="004D2B5D" w:rsidP="004D2B5D">
      <w:r w:rsidRPr="00087644">
        <w:t>Regulamento (UE) 2019/1009</w:t>
      </w:r>
    </w:p>
    <w:p w14:paraId="5A04F1AD" w14:textId="77777777" w:rsidR="004D2B5D" w:rsidRPr="00087644" w:rsidRDefault="004D2B5D" w:rsidP="004D2B5D">
      <w:r w:rsidRPr="00087644">
        <w:t>Artigo 49</w:t>
      </w:r>
      <w:r w:rsidRPr="00087644">
        <w:noBreakHyphen/>
        <w:t>A</w:t>
      </w:r>
      <w:r w:rsidRPr="00087644">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60A2683D" w14:textId="77777777" w:rsidTr="00D063A2">
        <w:trPr>
          <w:trHeight w:val="240"/>
          <w:jc w:val="center"/>
        </w:trPr>
        <w:tc>
          <w:tcPr>
            <w:tcW w:w="9752" w:type="dxa"/>
            <w:gridSpan w:val="2"/>
            <w:tcBorders>
              <w:top w:val="nil"/>
              <w:left w:val="nil"/>
              <w:bottom w:val="nil"/>
              <w:right w:val="nil"/>
            </w:tcBorders>
          </w:tcPr>
          <w:p w14:paraId="0AB86FB7" w14:textId="77777777" w:rsidR="004D2B5D" w:rsidRPr="00087644" w:rsidRDefault="004D2B5D" w:rsidP="00D063A2"/>
        </w:tc>
      </w:tr>
      <w:tr w:rsidR="004D2B5D" w:rsidRPr="00087644" w14:paraId="07771565" w14:textId="77777777" w:rsidTr="00D063A2">
        <w:trPr>
          <w:trHeight w:val="240"/>
          <w:jc w:val="center"/>
        </w:trPr>
        <w:tc>
          <w:tcPr>
            <w:tcW w:w="4876" w:type="dxa"/>
            <w:tcBorders>
              <w:top w:val="nil"/>
              <w:left w:val="nil"/>
              <w:bottom w:val="nil"/>
              <w:right w:val="nil"/>
            </w:tcBorders>
            <w:hideMark/>
          </w:tcPr>
          <w:p w14:paraId="5185E52B"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18B589E0" w14:textId="77777777" w:rsidR="004D2B5D" w:rsidRPr="00087644" w:rsidRDefault="004D2B5D" w:rsidP="00D063A2">
            <w:pPr>
              <w:pStyle w:val="AmColumnHeading"/>
            </w:pPr>
            <w:r w:rsidRPr="00087644">
              <w:t>Alteração</w:t>
            </w:r>
          </w:p>
        </w:tc>
      </w:tr>
      <w:tr w:rsidR="004D2B5D" w:rsidRPr="00087644" w14:paraId="4DC8FC29" w14:textId="77777777" w:rsidTr="00D063A2">
        <w:trPr>
          <w:jc w:val="center"/>
        </w:trPr>
        <w:tc>
          <w:tcPr>
            <w:tcW w:w="4876" w:type="dxa"/>
            <w:tcBorders>
              <w:top w:val="nil"/>
              <w:left w:val="nil"/>
              <w:bottom w:val="nil"/>
              <w:right w:val="nil"/>
            </w:tcBorders>
          </w:tcPr>
          <w:p w14:paraId="7E7C6DF3" w14:textId="77777777" w:rsidR="004D2B5D" w:rsidRPr="00087644" w:rsidRDefault="004D2B5D" w:rsidP="00D063A2">
            <w:pPr>
              <w:pStyle w:val="Normal6a"/>
            </w:pPr>
          </w:p>
        </w:tc>
        <w:tc>
          <w:tcPr>
            <w:tcW w:w="4876" w:type="dxa"/>
            <w:tcBorders>
              <w:top w:val="nil"/>
              <w:left w:val="nil"/>
              <w:bottom w:val="nil"/>
              <w:right w:val="nil"/>
            </w:tcBorders>
            <w:hideMark/>
          </w:tcPr>
          <w:p w14:paraId="0692EE34" w14:textId="77777777" w:rsidR="004D2B5D" w:rsidRPr="00087644" w:rsidRDefault="004D2B5D" w:rsidP="00D063A2">
            <w:pPr>
              <w:pStyle w:val="Normal6a"/>
            </w:pPr>
            <w:r w:rsidRPr="00087644">
              <w:rPr>
                <w:b/>
                <w:i/>
              </w:rPr>
              <w:t>(b</w:t>
            </w:r>
            <w:r w:rsidRPr="00087644">
              <w:rPr>
                <w:b/>
                <w:i/>
              </w:rPr>
              <w:noBreakHyphen/>
              <w:t>D)</w:t>
            </w:r>
            <w:r w:rsidRPr="00087644">
              <w:tab/>
            </w:r>
            <w:r w:rsidRPr="00087644">
              <w:rPr>
                <w:b/>
                <w:i/>
              </w:rPr>
              <w:t>Até [inserir data: 12 meses após a entrada em vigor], a Comissão apresenta ao Parlamento Europeu e ao Conselho um relatório de avaliação dos requisitos aplicáveis às combinações de produtos fertilizantes em que o componente primário seja um ou mais suportes de cultura da CFP 4.</w:t>
            </w:r>
          </w:p>
        </w:tc>
      </w:tr>
      <w:tr w:rsidR="004D2B5D" w:rsidRPr="00087644" w14:paraId="027E0687" w14:textId="77777777" w:rsidTr="00D063A2">
        <w:trPr>
          <w:jc w:val="center"/>
        </w:trPr>
        <w:tc>
          <w:tcPr>
            <w:tcW w:w="4876" w:type="dxa"/>
            <w:tcBorders>
              <w:top w:val="nil"/>
              <w:left w:val="nil"/>
              <w:bottom w:val="nil"/>
              <w:right w:val="nil"/>
            </w:tcBorders>
          </w:tcPr>
          <w:p w14:paraId="327E7E5F" w14:textId="77777777" w:rsidR="004D2B5D" w:rsidRPr="00087644" w:rsidRDefault="004D2B5D" w:rsidP="00D063A2">
            <w:pPr>
              <w:pStyle w:val="Normal6a"/>
            </w:pPr>
          </w:p>
        </w:tc>
        <w:tc>
          <w:tcPr>
            <w:tcW w:w="4876" w:type="dxa"/>
            <w:tcBorders>
              <w:top w:val="nil"/>
              <w:left w:val="nil"/>
              <w:bottom w:val="nil"/>
              <w:right w:val="nil"/>
            </w:tcBorders>
            <w:hideMark/>
          </w:tcPr>
          <w:p w14:paraId="39C2D54F" w14:textId="77777777" w:rsidR="004D2B5D" w:rsidRPr="00087644" w:rsidRDefault="004D2B5D" w:rsidP="00D063A2">
            <w:pPr>
              <w:pStyle w:val="Normal6a"/>
            </w:pPr>
            <w:r w:rsidRPr="00087644">
              <w:rPr>
                <w:b/>
                <w:i/>
              </w:rPr>
              <w:t xml:space="preserve">O relatório avalia, especificamente, as condições de ajustamento do teor de nutrientes, do valor do pH ou da atividade biológica, os requisitos de rotulagem </w:t>
            </w:r>
            <w:r w:rsidRPr="00087644">
              <w:rPr>
                <w:b/>
                <w:i/>
              </w:rPr>
              <w:lastRenderedPageBreak/>
              <w:t>atualizados e os procedimentos adequados para a avaliação da conformidade dessas combinações e pode acompanhar, se for caso disso, as alterações ao presente regulamento.</w:t>
            </w:r>
          </w:p>
        </w:tc>
      </w:tr>
    </w:tbl>
    <w:p w14:paraId="37CD1FD1" w14:textId="77777777" w:rsidR="004D2B5D" w:rsidRPr="00087644" w:rsidRDefault="004D2B5D" w:rsidP="004D2B5D"/>
    <w:p w14:paraId="534A664D" w14:textId="77777777" w:rsidR="004D2B5D" w:rsidRPr="00087644" w:rsidRDefault="004D2B5D" w:rsidP="004D2B5D">
      <w:pPr>
        <w:pStyle w:val="AmNumberTabs"/>
      </w:pPr>
      <w:r w:rsidRPr="00087644">
        <w:t>Alteração</w:t>
      </w:r>
      <w:r w:rsidRPr="00087644">
        <w:tab/>
      </w:r>
      <w:r w:rsidRPr="00087644">
        <w:tab/>
        <w:t>80</w:t>
      </w:r>
    </w:p>
    <w:p w14:paraId="68436C7D" w14:textId="77777777" w:rsidR="004D2B5D" w:rsidRPr="00087644" w:rsidRDefault="004D2B5D" w:rsidP="004D2B5D">
      <w:pPr>
        <w:pStyle w:val="NormalBold"/>
      </w:pPr>
      <w:r w:rsidRPr="00087644">
        <w:t>Proposta de regulamento</w:t>
      </w:r>
    </w:p>
    <w:p w14:paraId="7DA5F36A" w14:textId="77777777" w:rsidR="004D2B5D" w:rsidRPr="00087644" w:rsidRDefault="004D2B5D" w:rsidP="004D2B5D">
      <w:pPr>
        <w:pStyle w:val="NormalBold"/>
      </w:pPr>
      <w:r w:rsidRPr="00087644">
        <w:t>Anexo I – parágrafo 1 – ponto 2</w:t>
      </w:r>
    </w:p>
    <w:p w14:paraId="62781AF3" w14:textId="77777777" w:rsidR="004D2B5D" w:rsidRPr="00087644" w:rsidRDefault="004D2B5D" w:rsidP="004D2B5D">
      <w:r w:rsidRPr="00087644">
        <w:t>Regulamento (CE) n.º 1272/2008</w:t>
      </w:r>
    </w:p>
    <w:p w14:paraId="34AEB66B" w14:textId="77777777" w:rsidR="004D2B5D" w:rsidRPr="00087644" w:rsidRDefault="004D2B5D" w:rsidP="004D2B5D">
      <w:r w:rsidRPr="00087644">
        <w:t>Anexo I – ponto 1.2.1.5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5EF157FD" w14:textId="77777777" w:rsidTr="00D063A2">
        <w:trPr>
          <w:trHeight w:val="240"/>
          <w:jc w:val="center"/>
        </w:trPr>
        <w:tc>
          <w:tcPr>
            <w:tcW w:w="9752" w:type="dxa"/>
            <w:gridSpan w:val="2"/>
            <w:tcBorders>
              <w:top w:val="nil"/>
              <w:left w:val="nil"/>
              <w:bottom w:val="nil"/>
              <w:right w:val="nil"/>
            </w:tcBorders>
          </w:tcPr>
          <w:p w14:paraId="2D98EE0E" w14:textId="77777777" w:rsidR="004D2B5D" w:rsidRPr="00087644" w:rsidRDefault="004D2B5D" w:rsidP="00D063A2"/>
        </w:tc>
      </w:tr>
      <w:tr w:rsidR="004D2B5D" w:rsidRPr="00087644" w14:paraId="78D5A27A" w14:textId="77777777" w:rsidTr="00D063A2">
        <w:trPr>
          <w:trHeight w:val="240"/>
          <w:jc w:val="center"/>
        </w:trPr>
        <w:tc>
          <w:tcPr>
            <w:tcW w:w="4876" w:type="dxa"/>
            <w:tcBorders>
              <w:top w:val="nil"/>
              <w:left w:val="nil"/>
              <w:bottom w:val="nil"/>
              <w:right w:val="nil"/>
            </w:tcBorders>
            <w:hideMark/>
          </w:tcPr>
          <w:p w14:paraId="6BC97AFF"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2B806CAB" w14:textId="77777777" w:rsidR="004D2B5D" w:rsidRPr="00087644" w:rsidRDefault="004D2B5D" w:rsidP="00D063A2">
            <w:pPr>
              <w:pStyle w:val="AmColumnHeading"/>
            </w:pPr>
            <w:r w:rsidRPr="00087644">
              <w:t>Alteração</w:t>
            </w:r>
          </w:p>
        </w:tc>
      </w:tr>
      <w:tr w:rsidR="004D2B5D" w:rsidRPr="00087644" w14:paraId="50C8446D" w14:textId="77777777" w:rsidTr="00D063A2">
        <w:trPr>
          <w:jc w:val="center"/>
        </w:trPr>
        <w:tc>
          <w:tcPr>
            <w:tcW w:w="4876" w:type="dxa"/>
            <w:tcBorders>
              <w:top w:val="nil"/>
              <w:left w:val="nil"/>
              <w:bottom w:val="nil"/>
              <w:right w:val="nil"/>
            </w:tcBorders>
            <w:hideMark/>
          </w:tcPr>
          <w:p w14:paraId="36C711AA" w14:textId="77777777" w:rsidR="004D2B5D" w:rsidRPr="00087644" w:rsidRDefault="004D2B5D" w:rsidP="00D063A2">
            <w:pPr>
              <w:pStyle w:val="Normal6a"/>
            </w:pPr>
            <w:r w:rsidRPr="00087644">
              <w:t>(2)</w:t>
            </w:r>
            <w:r w:rsidRPr="00087644">
              <w:tab/>
              <w:t xml:space="preserve">No anexo I, </w:t>
            </w:r>
            <w:r w:rsidRPr="00087644">
              <w:rPr>
                <w:b/>
                <w:i/>
              </w:rPr>
              <w:t>é suprimido</w:t>
            </w:r>
            <w:r w:rsidRPr="00087644">
              <w:t xml:space="preserve"> o ponto 1.2.1.5;</w:t>
            </w:r>
          </w:p>
        </w:tc>
        <w:tc>
          <w:tcPr>
            <w:tcW w:w="4876" w:type="dxa"/>
            <w:tcBorders>
              <w:top w:val="nil"/>
              <w:left w:val="nil"/>
              <w:bottom w:val="nil"/>
              <w:right w:val="nil"/>
            </w:tcBorders>
            <w:hideMark/>
          </w:tcPr>
          <w:p w14:paraId="0DFD7D9A" w14:textId="02CA197A" w:rsidR="004D2B5D" w:rsidRPr="00087644" w:rsidRDefault="004D2B5D" w:rsidP="00D063A2">
            <w:pPr>
              <w:pStyle w:val="Normal6a"/>
            </w:pPr>
            <w:r w:rsidRPr="00087644">
              <w:t>(2)</w:t>
            </w:r>
            <w:r w:rsidRPr="00087644">
              <w:tab/>
              <w:t xml:space="preserve">No anexo I, o ponto 1.2.1.5 </w:t>
            </w:r>
            <w:r w:rsidRPr="00087644">
              <w:rPr>
                <w:b/>
                <w:i/>
              </w:rPr>
              <w:t>passa a ter a seguinte redação: «O texto do rótulo deve ser legível. Para efeitos do presente ponto, um rótulo é considerado legível dada a aparência física da informação, pela qual a informação é visualmente acessível e que é determinada por vários elementos, nomeadamente, o tamanho dos cara</w:t>
            </w:r>
            <w:r w:rsidR="00E11A2A" w:rsidRPr="00087644">
              <w:rPr>
                <w:b/>
                <w:i/>
              </w:rPr>
              <w:t>c</w:t>
            </w:r>
            <w:r w:rsidRPr="00087644">
              <w:rPr>
                <w:b/>
                <w:i/>
              </w:rPr>
              <w:t>teres, o espaço entre as letras, o espaço entre as linhas, a espessura da escrita, a cor dos caracteres, o tipo de escrita, a relação entre a largura e a altura das letras, a superfície do material e o contraste significativo entre os caracteres escritos e o fundo em que se inserem. Deve ter, pelo menos, as seguintes características: a) Deve ser impresso numa cor que contraste com o fundo</w:t>
            </w:r>
            <w:r w:rsidRPr="00087644">
              <w:t xml:space="preserve">; </w:t>
            </w:r>
            <w:r w:rsidRPr="00087644">
              <w:rPr>
                <w:b/>
                <w:i/>
              </w:rPr>
              <w:t xml:space="preserve">b) Deve ser utilizado um único tipo de escrita que seja facilmente legível e não tenha serifas; c) O espaço entre as letras deve ser adequado a uma leitura fácil do tipo de escrita selecionado; d) O espaço entre as linhas deve ser adequado a uma leitura fácil do tipo de escrita selecionado e assegurar que as linhas de texto não se sobrepõem; e) O tamanho dos caracteres deve ser adequado ao tamanho do rótulo e aos elementos do rótulo exigidos, bem como ao utilizador visado; No caso das substâncias ou misturas disponíveis no mercado para o público em geral, os elementos do rótulo referidos no artigo 17.º, n.º 1, devem utilizar um tamanho de letra cuja altura x seja igual ou superior a 1,2 mm. Não obstante, se o </w:t>
            </w:r>
            <w:r w:rsidRPr="00087644">
              <w:rPr>
                <w:b/>
                <w:i/>
              </w:rPr>
              <w:lastRenderedPageBreak/>
              <w:t>conteúdo da embalagem não exceder 125 ml, os elementos do rótulo referidos no artigo 17.º, n.º 1, podem utilizar um tamanho de letra cuja altura x seja igual ou superior a 0,9 mm. Estas características devem ser clarificadas nas orientações da ECHA sobre legibilidade e apresentação do rótulo a elaborar ao abrigo do presente regulamento. A conformidade com o presente ponto deve ser avaliada com base na legibilidade global do rótulo e aplicada de forma compatível com as características físicas e as limitações técnicas da embalagem, nomeadamente a dimensão e o utilizador previsto.»</w:t>
            </w:r>
          </w:p>
        </w:tc>
      </w:tr>
    </w:tbl>
    <w:p w14:paraId="2DF5EE61" w14:textId="77777777" w:rsidR="004D2B5D" w:rsidRPr="00087644" w:rsidRDefault="004D2B5D" w:rsidP="004D2B5D"/>
    <w:p w14:paraId="4EC6BE7A" w14:textId="77777777" w:rsidR="004D2B5D" w:rsidRPr="00087644" w:rsidRDefault="004D2B5D" w:rsidP="004D2B5D">
      <w:pPr>
        <w:pStyle w:val="AmNumberTabs"/>
      </w:pPr>
      <w:r w:rsidRPr="00087644">
        <w:t>Alteração</w:t>
      </w:r>
      <w:r w:rsidRPr="00087644">
        <w:tab/>
      </w:r>
      <w:r w:rsidRPr="00087644">
        <w:tab/>
        <w:t>81</w:t>
      </w:r>
    </w:p>
    <w:p w14:paraId="398633D9" w14:textId="77777777" w:rsidR="004D2B5D" w:rsidRPr="00087644" w:rsidRDefault="004D2B5D" w:rsidP="004D2B5D">
      <w:pPr>
        <w:pStyle w:val="NormalBold"/>
      </w:pPr>
      <w:r w:rsidRPr="00087644">
        <w:t>Proposta de regulamento</w:t>
      </w:r>
    </w:p>
    <w:p w14:paraId="6C7FEA64" w14:textId="77777777" w:rsidR="004D2B5D" w:rsidRPr="00087644" w:rsidRDefault="004D2B5D" w:rsidP="004D2B5D">
      <w:pPr>
        <w:pStyle w:val="NormalBold"/>
      </w:pPr>
      <w:r w:rsidRPr="00087644">
        <w:t>Anexo I – parágrafo 1 – ponto 3</w:t>
      </w:r>
    </w:p>
    <w:p w14:paraId="024FE103" w14:textId="77777777" w:rsidR="004D2B5D" w:rsidRPr="00087644" w:rsidRDefault="004D2B5D" w:rsidP="004D2B5D">
      <w:r w:rsidRPr="00087644">
        <w:t>Regulamento (CE) n.º 1272/2008</w:t>
      </w:r>
    </w:p>
    <w:p w14:paraId="4D77EC1B" w14:textId="77777777" w:rsidR="004D2B5D" w:rsidRPr="00087644" w:rsidRDefault="004D2B5D" w:rsidP="004D2B5D">
      <w:r w:rsidRPr="00087644">
        <w:t>Anexo I – ponto 1.5.1.2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65828542" w14:textId="77777777" w:rsidTr="00D063A2">
        <w:trPr>
          <w:trHeight w:val="240"/>
          <w:jc w:val="center"/>
        </w:trPr>
        <w:tc>
          <w:tcPr>
            <w:tcW w:w="9752" w:type="dxa"/>
            <w:gridSpan w:val="2"/>
            <w:tcBorders>
              <w:top w:val="nil"/>
              <w:left w:val="nil"/>
              <w:bottom w:val="nil"/>
              <w:right w:val="nil"/>
            </w:tcBorders>
          </w:tcPr>
          <w:p w14:paraId="0CA9B49C" w14:textId="77777777" w:rsidR="004D2B5D" w:rsidRPr="00087644" w:rsidRDefault="004D2B5D" w:rsidP="00D063A2"/>
        </w:tc>
      </w:tr>
      <w:tr w:rsidR="004D2B5D" w:rsidRPr="00087644" w14:paraId="501417D3" w14:textId="77777777" w:rsidTr="00D063A2">
        <w:trPr>
          <w:trHeight w:val="240"/>
          <w:jc w:val="center"/>
        </w:trPr>
        <w:tc>
          <w:tcPr>
            <w:tcW w:w="4876" w:type="dxa"/>
            <w:tcBorders>
              <w:top w:val="nil"/>
              <w:left w:val="nil"/>
              <w:bottom w:val="nil"/>
              <w:right w:val="nil"/>
            </w:tcBorders>
            <w:hideMark/>
          </w:tcPr>
          <w:p w14:paraId="5B3F24D8"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20755394" w14:textId="77777777" w:rsidR="004D2B5D" w:rsidRPr="00087644" w:rsidRDefault="004D2B5D" w:rsidP="00D063A2">
            <w:pPr>
              <w:pStyle w:val="AmColumnHeading"/>
            </w:pPr>
            <w:r w:rsidRPr="00087644">
              <w:t>Alteração</w:t>
            </w:r>
          </w:p>
        </w:tc>
      </w:tr>
      <w:tr w:rsidR="004D2B5D" w:rsidRPr="00087644" w14:paraId="6E1CFEFC" w14:textId="77777777" w:rsidTr="00D063A2">
        <w:trPr>
          <w:jc w:val="center"/>
        </w:trPr>
        <w:tc>
          <w:tcPr>
            <w:tcW w:w="4876" w:type="dxa"/>
            <w:tcBorders>
              <w:top w:val="nil"/>
              <w:left w:val="nil"/>
              <w:bottom w:val="nil"/>
              <w:right w:val="nil"/>
            </w:tcBorders>
            <w:hideMark/>
          </w:tcPr>
          <w:p w14:paraId="2DE2E94C" w14:textId="77777777" w:rsidR="004D2B5D" w:rsidRPr="00087644" w:rsidRDefault="004D2B5D" w:rsidP="00D063A2">
            <w:pPr>
              <w:pStyle w:val="Normal6a"/>
            </w:pPr>
            <w:r w:rsidRPr="00087644">
              <w:t>1.5.1.2.</w:t>
            </w:r>
            <w:r w:rsidRPr="00087644">
              <w:tab/>
              <w:t>Nos casos em que se aplica o ponto 1.5.1.1, o rótulo de qualquer embalagem interior deve conter, pelo menos, os pictogramas de perigo, as palavra</w:t>
            </w:r>
            <w:r w:rsidRPr="00087644">
              <w:noBreakHyphen/>
              <w:t xml:space="preserve">sinal, o identificador do produto a que se refere o artigo 18.º, n.º 2, no caso das substâncias, ou o nome comercial ou designação referido no artigo 18.º, n.º 3, alínea a), no caso das misturas, </w:t>
            </w:r>
            <w:r w:rsidRPr="00087644">
              <w:rPr>
                <w:b/>
                <w:i/>
              </w:rPr>
              <w:t>e</w:t>
            </w:r>
            <w:r w:rsidRPr="00087644">
              <w:t xml:space="preserve"> o nome </w:t>
            </w:r>
            <w:r w:rsidRPr="00087644">
              <w:rPr>
                <w:b/>
                <w:i/>
              </w:rPr>
              <w:t>e</w:t>
            </w:r>
            <w:r w:rsidRPr="00087644">
              <w:t xml:space="preserve"> contacto digital dos fornecedores da substância ou mistura.</w:t>
            </w:r>
            <w:r w:rsidRPr="00087644">
              <w:rPr>
                <w:b/>
                <w:i/>
              </w:rPr>
              <w:t>»;</w:t>
            </w:r>
          </w:p>
        </w:tc>
        <w:tc>
          <w:tcPr>
            <w:tcW w:w="4876" w:type="dxa"/>
            <w:tcBorders>
              <w:top w:val="nil"/>
              <w:left w:val="nil"/>
              <w:bottom w:val="nil"/>
              <w:right w:val="nil"/>
            </w:tcBorders>
            <w:hideMark/>
          </w:tcPr>
          <w:p w14:paraId="751CD4CF" w14:textId="77777777" w:rsidR="004D2B5D" w:rsidRPr="00087644" w:rsidRDefault="004D2B5D" w:rsidP="00D063A2">
            <w:pPr>
              <w:pStyle w:val="Normal6a"/>
            </w:pPr>
            <w:r w:rsidRPr="00087644">
              <w:t>1.5.1.2.</w:t>
            </w:r>
            <w:r w:rsidRPr="00087644">
              <w:tab/>
              <w:t>Nos casos em que se aplica o ponto 1.5.1.1, o rótulo de qualquer embalagem interior deve conter, pelo menos, os pictogramas de perigo, as palavra</w:t>
            </w:r>
            <w:r w:rsidRPr="00087644">
              <w:noBreakHyphen/>
              <w:t>sinal, o identificador do produto a que se refere o artigo 18.º, n.º 2, no caso das substâncias, ou o nome comercial ou designação referido no artigo 18.º, n.º 3, alínea a), no caso das misturas, o nome</w:t>
            </w:r>
            <w:r w:rsidRPr="00087644">
              <w:rPr>
                <w:b/>
                <w:i/>
              </w:rPr>
              <w:t>, o</w:t>
            </w:r>
            <w:r w:rsidRPr="00087644">
              <w:t xml:space="preserve"> contacto digital </w:t>
            </w:r>
            <w:r w:rsidRPr="00087644">
              <w:rPr>
                <w:b/>
                <w:i/>
              </w:rPr>
              <w:t>e o número de telefone</w:t>
            </w:r>
            <w:r w:rsidRPr="00087644">
              <w:t xml:space="preserve"> dos fornecedores da substância ou mistura</w:t>
            </w:r>
            <w:r w:rsidRPr="00087644">
              <w:rPr>
                <w:b/>
                <w:i/>
              </w:rPr>
              <w:t>, salvo se este número de telefone estiver diretamente disponível através do contacto digital</w:t>
            </w:r>
            <w:r w:rsidRPr="00087644">
              <w:t>.</w:t>
            </w:r>
          </w:p>
        </w:tc>
      </w:tr>
    </w:tbl>
    <w:p w14:paraId="696EF810" w14:textId="77777777" w:rsidR="004D2B5D" w:rsidRPr="00087644" w:rsidRDefault="004D2B5D" w:rsidP="004D2B5D"/>
    <w:p w14:paraId="612F7B04" w14:textId="77777777" w:rsidR="004D2B5D" w:rsidRPr="00087644" w:rsidRDefault="004D2B5D" w:rsidP="004D2B5D">
      <w:pPr>
        <w:pStyle w:val="AmNumberTabs"/>
      </w:pPr>
      <w:r w:rsidRPr="00087644">
        <w:t>Alteração</w:t>
      </w:r>
      <w:r w:rsidRPr="00087644">
        <w:tab/>
      </w:r>
      <w:r w:rsidRPr="00087644">
        <w:tab/>
        <w:t>82</w:t>
      </w:r>
    </w:p>
    <w:p w14:paraId="758F364C" w14:textId="77777777" w:rsidR="004D2B5D" w:rsidRPr="00087644" w:rsidRDefault="004D2B5D" w:rsidP="004D2B5D">
      <w:pPr>
        <w:pStyle w:val="NormalBold"/>
      </w:pPr>
      <w:r w:rsidRPr="00087644">
        <w:t>Proposta de regulamento</w:t>
      </w:r>
    </w:p>
    <w:p w14:paraId="1222E664" w14:textId="77777777" w:rsidR="004D2B5D" w:rsidRPr="00087644" w:rsidRDefault="004D2B5D" w:rsidP="004D2B5D">
      <w:pPr>
        <w:pStyle w:val="NormalBold"/>
      </w:pPr>
      <w:r w:rsidRPr="00087644">
        <w:t>Anexo I – parágrafo 1 – ponto 5</w:t>
      </w:r>
    </w:p>
    <w:p w14:paraId="5FED49A4" w14:textId="77777777" w:rsidR="004D2B5D" w:rsidRPr="00087644" w:rsidRDefault="004D2B5D" w:rsidP="004D2B5D">
      <w:r w:rsidRPr="00087644">
        <w:t>Regulamento (CE) n.º 1272/2008</w:t>
      </w:r>
    </w:p>
    <w:p w14:paraId="2D2F0513" w14:textId="77777777" w:rsidR="004D2B5D" w:rsidRPr="00087644" w:rsidRDefault="004D2B5D" w:rsidP="004D2B5D">
      <w:r w:rsidRPr="00087644">
        <w:t>Anexo I – ponto 1.5.2.4.1 – alínea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2FFBE0A9" w14:textId="77777777" w:rsidTr="00D063A2">
        <w:trPr>
          <w:trHeight w:val="240"/>
          <w:jc w:val="center"/>
        </w:trPr>
        <w:tc>
          <w:tcPr>
            <w:tcW w:w="9752" w:type="dxa"/>
            <w:gridSpan w:val="2"/>
            <w:tcBorders>
              <w:top w:val="nil"/>
              <w:left w:val="nil"/>
              <w:bottom w:val="nil"/>
              <w:right w:val="nil"/>
            </w:tcBorders>
          </w:tcPr>
          <w:p w14:paraId="7FE28456" w14:textId="77777777" w:rsidR="004D2B5D" w:rsidRPr="00087644" w:rsidRDefault="004D2B5D" w:rsidP="00D063A2"/>
        </w:tc>
      </w:tr>
      <w:tr w:rsidR="004D2B5D" w:rsidRPr="00087644" w14:paraId="6396DDB2" w14:textId="77777777" w:rsidTr="00D063A2">
        <w:trPr>
          <w:trHeight w:val="240"/>
          <w:jc w:val="center"/>
        </w:trPr>
        <w:tc>
          <w:tcPr>
            <w:tcW w:w="4876" w:type="dxa"/>
            <w:tcBorders>
              <w:top w:val="nil"/>
              <w:left w:val="nil"/>
              <w:bottom w:val="nil"/>
              <w:right w:val="nil"/>
            </w:tcBorders>
            <w:hideMark/>
          </w:tcPr>
          <w:p w14:paraId="6CE69254"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64887FAC" w14:textId="77777777" w:rsidR="004D2B5D" w:rsidRPr="00087644" w:rsidRDefault="004D2B5D" w:rsidP="00D063A2">
            <w:pPr>
              <w:pStyle w:val="AmColumnHeading"/>
            </w:pPr>
            <w:r w:rsidRPr="00087644">
              <w:t>Alteração</w:t>
            </w:r>
          </w:p>
        </w:tc>
      </w:tr>
      <w:tr w:rsidR="004D2B5D" w:rsidRPr="00087644" w14:paraId="7B0F2B97" w14:textId="77777777" w:rsidTr="00D063A2">
        <w:trPr>
          <w:jc w:val="center"/>
        </w:trPr>
        <w:tc>
          <w:tcPr>
            <w:tcW w:w="4876" w:type="dxa"/>
            <w:tcBorders>
              <w:top w:val="nil"/>
              <w:left w:val="nil"/>
              <w:bottom w:val="nil"/>
              <w:right w:val="nil"/>
            </w:tcBorders>
            <w:hideMark/>
          </w:tcPr>
          <w:p w14:paraId="2DC3EB4E" w14:textId="77777777" w:rsidR="004D2B5D" w:rsidRPr="00087644" w:rsidRDefault="004D2B5D" w:rsidP="00D063A2">
            <w:pPr>
              <w:pStyle w:val="Normal6a"/>
            </w:pPr>
            <w:r w:rsidRPr="00087644">
              <w:t>(b)</w:t>
            </w:r>
            <w:r w:rsidRPr="00087644">
              <w:tab/>
              <w:t xml:space="preserve">A substância ou mistura exige uma </w:t>
            </w:r>
            <w:r w:rsidRPr="00087644">
              <w:lastRenderedPageBreak/>
              <w:t>rotulagem em conformidade com a parte 1 ou 2 do anexo II</w:t>
            </w:r>
            <w:r w:rsidRPr="00087644">
              <w:rPr>
                <w:b/>
                <w:i/>
              </w:rPr>
              <w:t>, com exceção do ponto 2.8 da parte 2 do anexo II,</w:t>
            </w:r>
            <w:r w:rsidRPr="00087644">
              <w:t xml:space="preserve"> e não está classificada em nenhuma das seguintes classes e categorias de perigo:</w:t>
            </w:r>
          </w:p>
        </w:tc>
        <w:tc>
          <w:tcPr>
            <w:tcW w:w="4876" w:type="dxa"/>
            <w:tcBorders>
              <w:top w:val="nil"/>
              <w:left w:val="nil"/>
              <w:bottom w:val="nil"/>
              <w:right w:val="nil"/>
            </w:tcBorders>
            <w:hideMark/>
          </w:tcPr>
          <w:p w14:paraId="5026C98E" w14:textId="77777777" w:rsidR="004D2B5D" w:rsidRPr="00087644" w:rsidRDefault="004D2B5D" w:rsidP="00D063A2">
            <w:pPr>
              <w:pStyle w:val="Normal6a"/>
            </w:pPr>
            <w:r w:rsidRPr="00087644">
              <w:lastRenderedPageBreak/>
              <w:t>(b)</w:t>
            </w:r>
            <w:r w:rsidRPr="00087644">
              <w:tab/>
              <w:t xml:space="preserve">A substância ou mistura exige uma </w:t>
            </w:r>
            <w:r w:rsidRPr="00087644">
              <w:lastRenderedPageBreak/>
              <w:t>rotulagem em conformidade com a parte 1 ou 2 do anexo II e não está classificada em nenhuma das seguintes classes e categorias de perigo:</w:t>
            </w:r>
          </w:p>
        </w:tc>
      </w:tr>
    </w:tbl>
    <w:p w14:paraId="10084C59" w14:textId="77777777" w:rsidR="004D2B5D" w:rsidRPr="00087644" w:rsidRDefault="004D2B5D" w:rsidP="004D2B5D"/>
    <w:p w14:paraId="2965BBFD" w14:textId="77777777" w:rsidR="004D2B5D" w:rsidRPr="00087644" w:rsidRDefault="004D2B5D" w:rsidP="004D2B5D">
      <w:pPr>
        <w:pStyle w:val="AmNumberTabs"/>
      </w:pPr>
      <w:r w:rsidRPr="00087644">
        <w:t>Alteração</w:t>
      </w:r>
      <w:r w:rsidRPr="00087644">
        <w:tab/>
      </w:r>
      <w:r w:rsidRPr="00087644">
        <w:tab/>
        <w:t>83</w:t>
      </w:r>
    </w:p>
    <w:p w14:paraId="3EE9A197" w14:textId="77777777" w:rsidR="004D2B5D" w:rsidRPr="00087644" w:rsidRDefault="004D2B5D" w:rsidP="004D2B5D">
      <w:pPr>
        <w:pStyle w:val="NormalBold"/>
      </w:pPr>
      <w:r w:rsidRPr="00087644">
        <w:t>Proposta de regulamento</w:t>
      </w:r>
    </w:p>
    <w:p w14:paraId="23E8FF0A" w14:textId="77777777" w:rsidR="004D2B5D" w:rsidRPr="00087644" w:rsidRDefault="004D2B5D" w:rsidP="004D2B5D">
      <w:pPr>
        <w:pStyle w:val="NormalBold"/>
      </w:pPr>
      <w:r w:rsidRPr="00087644">
        <w:t>Anexo I – parágrafo 1 – ponto 7</w:t>
      </w:r>
    </w:p>
    <w:p w14:paraId="3C8CECAA" w14:textId="77777777" w:rsidR="004D2B5D" w:rsidRPr="00087644" w:rsidRDefault="004D2B5D" w:rsidP="004D2B5D">
      <w:r w:rsidRPr="00087644">
        <w:t>Regulamento (CE) n.º 1272/2008</w:t>
      </w:r>
    </w:p>
    <w:p w14:paraId="055FFAEC" w14:textId="77777777" w:rsidR="004D2B5D" w:rsidRPr="00087644" w:rsidRDefault="004D2B5D" w:rsidP="004D2B5D">
      <w:r w:rsidRPr="00087644">
        <w:t>Anexo I – ponto 1.5.2.4.3 – alínea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3601972E" w14:textId="77777777" w:rsidTr="00D063A2">
        <w:trPr>
          <w:trHeight w:val="240"/>
          <w:jc w:val="center"/>
        </w:trPr>
        <w:tc>
          <w:tcPr>
            <w:tcW w:w="9752" w:type="dxa"/>
            <w:gridSpan w:val="2"/>
            <w:tcBorders>
              <w:top w:val="nil"/>
              <w:left w:val="nil"/>
              <w:bottom w:val="nil"/>
              <w:right w:val="nil"/>
            </w:tcBorders>
          </w:tcPr>
          <w:p w14:paraId="4E29D5F3" w14:textId="77777777" w:rsidR="004D2B5D" w:rsidRPr="00087644" w:rsidRDefault="004D2B5D" w:rsidP="00D063A2"/>
        </w:tc>
      </w:tr>
      <w:tr w:rsidR="004D2B5D" w:rsidRPr="00087644" w14:paraId="477C9F8C" w14:textId="77777777" w:rsidTr="00D063A2">
        <w:trPr>
          <w:trHeight w:val="240"/>
          <w:jc w:val="center"/>
        </w:trPr>
        <w:tc>
          <w:tcPr>
            <w:tcW w:w="4876" w:type="dxa"/>
            <w:tcBorders>
              <w:top w:val="nil"/>
              <w:left w:val="nil"/>
              <w:bottom w:val="nil"/>
              <w:right w:val="nil"/>
            </w:tcBorders>
            <w:hideMark/>
          </w:tcPr>
          <w:p w14:paraId="7611999F"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1C3F67C5" w14:textId="77777777" w:rsidR="004D2B5D" w:rsidRPr="00087644" w:rsidRDefault="004D2B5D" w:rsidP="00D063A2">
            <w:pPr>
              <w:pStyle w:val="AmColumnHeading"/>
            </w:pPr>
            <w:r w:rsidRPr="00087644">
              <w:t>Alteração</w:t>
            </w:r>
          </w:p>
        </w:tc>
      </w:tr>
      <w:tr w:rsidR="004D2B5D" w:rsidRPr="00087644" w14:paraId="0EF33BA7" w14:textId="77777777" w:rsidTr="00D063A2">
        <w:trPr>
          <w:jc w:val="center"/>
        </w:trPr>
        <w:tc>
          <w:tcPr>
            <w:tcW w:w="4876" w:type="dxa"/>
            <w:tcBorders>
              <w:top w:val="nil"/>
              <w:left w:val="nil"/>
              <w:bottom w:val="nil"/>
              <w:right w:val="nil"/>
            </w:tcBorders>
            <w:hideMark/>
          </w:tcPr>
          <w:p w14:paraId="1301936E" w14:textId="77777777" w:rsidR="004D2B5D" w:rsidRPr="00087644" w:rsidRDefault="004D2B5D" w:rsidP="00D063A2">
            <w:pPr>
              <w:pStyle w:val="Normal6a"/>
            </w:pPr>
            <w:r w:rsidRPr="00087644">
              <w:t>(b)</w:t>
            </w:r>
            <w:r w:rsidRPr="00087644">
              <w:tab/>
              <w:t>A substância ou mistura não exige rotulagem em conformidade com a parte 1 ou 2 do anexo II</w:t>
            </w:r>
            <w:r w:rsidRPr="00087644">
              <w:rPr>
                <w:b/>
                <w:i/>
              </w:rPr>
              <w:t>, com exceção do ponto 2.8 da parte 2 do anexo II‏‏‏‏</w:t>
            </w:r>
            <w:r w:rsidRPr="00087644">
              <w:t>;</w:t>
            </w:r>
          </w:p>
        </w:tc>
        <w:tc>
          <w:tcPr>
            <w:tcW w:w="4876" w:type="dxa"/>
            <w:tcBorders>
              <w:top w:val="nil"/>
              <w:left w:val="nil"/>
              <w:bottom w:val="nil"/>
              <w:right w:val="nil"/>
            </w:tcBorders>
            <w:hideMark/>
          </w:tcPr>
          <w:p w14:paraId="3E81A712" w14:textId="77777777" w:rsidR="004D2B5D" w:rsidRPr="00087644" w:rsidRDefault="004D2B5D" w:rsidP="00D063A2">
            <w:pPr>
              <w:pStyle w:val="Normal6a"/>
            </w:pPr>
            <w:r w:rsidRPr="00087644">
              <w:t>(b)</w:t>
            </w:r>
            <w:r w:rsidRPr="00087644">
              <w:tab/>
              <w:t>A substância ou mistura não exige rotulagem em conformidade com a parte 1 ou 2 do anexo II;</w:t>
            </w:r>
          </w:p>
        </w:tc>
      </w:tr>
    </w:tbl>
    <w:p w14:paraId="24442E8A" w14:textId="77777777" w:rsidR="004D2B5D" w:rsidRPr="00087644" w:rsidRDefault="004D2B5D" w:rsidP="004D2B5D"/>
    <w:p w14:paraId="66BA38CD" w14:textId="77777777" w:rsidR="004D2B5D" w:rsidRPr="00087644" w:rsidRDefault="004D2B5D" w:rsidP="004D2B5D">
      <w:pPr>
        <w:pStyle w:val="AmNumberTabs"/>
      </w:pPr>
      <w:r w:rsidRPr="00087644">
        <w:t>Alteração</w:t>
      </w:r>
      <w:r w:rsidRPr="00087644">
        <w:tab/>
      </w:r>
      <w:r w:rsidRPr="00087644">
        <w:tab/>
        <w:t>84</w:t>
      </w:r>
    </w:p>
    <w:p w14:paraId="1121F40E" w14:textId="77777777" w:rsidR="004D2B5D" w:rsidRPr="00087644" w:rsidRDefault="004D2B5D" w:rsidP="004D2B5D">
      <w:pPr>
        <w:pStyle w:val="NormalBold"/>
      </w:pPr>
      <w:r w:rsidRPr="00087644">
        <w:t>Proposta de regulamento</w:t>
      </w:r>
    </w:p>
    <w:p w14:paraId="5E9C7FEC" w14:textId="77777777" w:rsidR="004D2B5D" w:rsidRPr="00087644" w:rsidRDefault="004D2B5D" w:rsidP="004D2B5D">
      <w:pPr>
        <w:pStyle w:val="NormalBold"/>
      </w:pPr>
      <w:r w:rsidRPr="00087644">
        <w:t>Anexo I – parágrafo 1 – ponto 7</w:t>
      </w:r>
      <w:r w:rsidRPr="00087644">
        <w:noBreakHyphen/>
        <w:t>A (novo)</w:t>
      </w:r>
    </w:p>
    <w:p w14:paraId="34E45B79" w14:textId="77777777" w:rsidR="004D2B5D" w:rsidRPr="00087644" w:rsidRDefault="004D2B5D" w:rsidP="004D2B5D">
      <w:r w:rsidRPr="00087644">
        <w:t>Regulamento (CE) n.º 1272/2008</w:t>
      </w:r>
    </w:p>
    <w:p w14:paraId="37960986" w14:textId="77777777" w:rsidR="004D2B5D" w:rsidRPr="00087644" w:rsidRDefault="004D2B5D" w:rsidP="004D2B5D">
      <w:r w:rsidRPr="00087644">
        <w:t>Anexo I – ponto 1.5.2.4.3</w:t>
      </w:r>
      <w:r w:rsidRPr="00087644">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78229AE7" w14:textId="77777777" w:rsidTr="00D063A2">
        <w:trPr>
          <w:trHeight w:val="240"/>
          <w:jc w:val="center"/>
        </w:trPr>
        <w:tc>
          <w:tcPr>
            <w:tcW w:w="9752" w:type="dxa"/>
            <w:gridSpan w:val="2"/>
            <w:tcBorders>
              <w:top w:val="nil"/>
              <w:left w:val="nil"/>
              <w:bottom w:val="nil"/>
              <w:right w:val="nil"/>
            </w:tcBorders>
          </w:tcPr>
          <w:p w14:paraId="11F827FC" w14:textId="77777777" w:rsidR="004D2B5D" w:rsidRPr="00087644" w:rsidRDefault="004D2B5D" w:rsidP="00D063A2"/>
        </w:tc>
      </w:tr>
      <w:tr w:rsidR="004D2B5D" w:rsidRPr="00087644" w14:paraId="57123253" w14:textId="77777777" w:rsidTr="00D063A2">
        <w:trPr>
          <w:trHeight w:val="240"/>
          <w:jc w:val="center"/>
        </w:trPr>
        <w:tc>
          <w:tcPr>
            <w:tcW w:w="4876" w:type="dxa"/>
            <w:tcBorders>
              <w:top w:val="nil"/>
              <w:left w:val="nil"/>
              <w:bottom w:val="nil"/>
              <w:right w:val="nil"/>
            </w:tcBorders>
            <w:hideMark/>
          </w:tcPr>
          <w:p w14:paraId="629D7E23"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4EFCE60C" w14:textId="77777777" w:rsidR="004D2B5D" w:rsidRPr="00087644" w:rsidRDefault="004D2B5D" w:rsidP="00D063A2">
            <w:pPr>
              <w:pStyle w:val="AmColumnHeading"/>
            </w:pPr>
            <w:r w:rsidRPr="00087644">
              <w:t>Alteração</w:t>
            </w:r>
          </w:p>
        </w:tc>
      </w:tr>
      <w:tr w:rsidR="004D2B5D" w:rsidRPr="00087644" w14:paraId="59E54387" w14:textId="77777777" w:rsidTr="00D063A2">
        <w:trPr>
          <w:jc w:val="center"/>
        </w:trPr>
        <w:tc>
          <w:tcPr>
            <w:tcW w:w="4876" w:type="dxa"/>
            <w:tcBorders>
              <w:top w:val="nil"/>
              <w:left w:val="nil"/>
              <w:bottom w:val="nil"/>
              <w:right w:val="nil"/>
            </w:tcBorders>
          </w:tcPr>
          <w:p w14:paraId="70217D6E" w14:textId="77777777" w:rsidR="004D2B5D" w:rsidRPr="00087644" w:rsidRDefault="004D2B5D" w:rsidP="00D063A2">
            <w:pPr>
              <w:pStyle w:val="Normal6a"/>
            </w:pPr>
          </w:p>
        </w:tc>
        <w:tc>
          <w:tcPr>
            <w:tcW w:w="4876" w:type="dxa"/>
            <w:tcBorders>
              <w:top w:val="nil"/>
              <w:left w:val="nil"/>
              <w:bottom w:val="nil"/>
              <w:right w:val="nil"/>
            </w:tcBorders>
            <w:hideMark/>
          </w:tcPr>
          <w:p w14:paraId="4FD5D8A6" w14:textId="77777777" w:rsidR="004D2B5D" w:rsidRPr="00087644" w:rsidRDefault="004D2B5D" w:rsidP="00D063A2">
            <w:pPr>
              <w:pStyle w:val="Normal6a"/>
            </w:pPr>
            <w:r w:rsidRPr="00087644">
              <w:rPr>
                <w:b/>
                <w:i/>
              </w:rPr>
              <w:t>(7</w:t>
            </w:r>
            <w:r w:rsidRPr="00087644">
              <w:rPr>
                <w:b/>
                <w:i/>
              </w:rPr>
              <w:noBreakHyphen/>
              <w:t>A)</w:t>
            </w:r>
            <w:r w:rsidRPr="00087644">
              <w:tab/>
            </w:r>
            <w:r w:rsidRPr="00087644">
              <w:rPr>
                <w:b/>
                <w:i/>
              </w:rPr>
              <w:t>No anexo I, é aditado o ponto 1.5.2.4.3</w:t>
            </w:r>
            <w:r w:rsidRPr="00087644">
              <w:rPr>
                <w:b/>
                <w:i/>
              </w:rPr>
              <w:noBreakHyphen/>
              <w:t>A: «Nos casos em que se aplica o ponto 1.5.2.4.3, o rótulo da embalagem deve conter o identificador do produto a que se refere o artigo 18.º, n.º 2, no caso das substâncias, ou o nome comercial ou designação referido no artigo 18.º, n.º 3, alínea a), no caso das misturas, e, quando aplicável, os pictogramas de perigo “GHS01” ou “GHS05”.»</w:t>
            </w:r>
          </w:p>
        </w:tc>
      </w:tr>
    </w:tbl>
    <w:p w14:paraId="4B5C691C" w14:textId="77777777" w:rsidR="004D2B5D" w:rsidRPr="00087644" w:rsidRDefault="004D2B5D" w:rsidP="004D2B5D"/>
    <w:p w14:paraId="3339338F" w14:textId="77777777" w:rsidR="004D2B5D" w:rsidRPr="00087644" w:rsidRDefault="004D2B5D" w:rsidP="004D2B5D">
      <w:pPr>
        <w:pStyle w:val="AmNumberTabs"/>
      </w:pPr>
      <w:r w:rsidRPr="00087644">
        <w:t>Alteração</w:t>
      </w:r>
      <w:r w:rsidRPr="00087644">
        <w:tab/>
      </w:r>
      <w:r w:rsidRPr="00087644">
        <w:tab/>
        <w:t>85</w:t>
      </w:r>
    </w:p>
    <w:p w14:paraId="347BCD5E" w14:textId="77777777" w:rsidR="004D2B5D" w:rsidRPr="00087644" w:rsidRDefault="004D2B5D" w:rsidP="004D2B5D">
      <w:pPr>
        <w:pStyle w:val="NormalBold"/>
      </w:pPr>
      <w:r w:rsidRPr="00087644">
        <w:t>Proposta de regulamento</w:t>
      </w:r>
    </w:p>
    <w:p w14:paraId="0C824F84" w14:textId="77777777" w:rsidR="004D2B5D" w:rsidRPr="00087644" w:rsidRDefault="004D2B5D" w:rsidP="004D2B5D">
      <w:pPr>
        <w:pStyle w:val="NormalBold"/>
      </w:pPr>
      <w:r w:rsidRPr="00087644">
        <w:t>Anexo I – parágrafo 1 – ponto 7</w:t>
      </w:r>
      <w:r w:rsidRPr="00087644">
        <w:noBreakHyphen/>
        <w:t>B (novo)</w:t>
      </w:r>
    </w:p>
    <w:p w14:paraId="7E312F8D" w14:textId="77777777" w:rsidR="004D2B5D" w:rsidRPr="00087644" w:rsidRDefault="004D2B5D" w:rsidP="004D2B5D">
      <w:r w:rsidRPr="00087644">
        <w:t>Regulamento (CE) n.º 1272/2008</w:t>
      </w:r>
    </w:p>
    <w:p w14:paraId="3FFA21B1" w14:textId="77777777" w:rsidR="004D2B5D" w:rsidRPr="00087644" w:rsidRDefault="004D2B5D" w:rsidP="004D2B5D">
      <w:r w:rsidRPr="00087644">
        <w:t>Anexo I – ponto 1.5.2.5</w:t>
      </w:r>
      <w:r w:rsidRPr="00087644">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578EA6A9" w14:textId="77777777" w:rsidTr="00D063A2">
        <w:trPr>
          <w:trHeight w:val="240"/>
          <w:jc w:val="center"/>
        </w:trPr>
        <w:tc>
          <w:tcPr>
            <w:tcW w:w="9752" w:type="dxa"/>
            <w:gridSpan w:val="2"/>
            <w:tcBorders>
              <w:top w:val="nil"/>
              <w:left w:val="nil"/>
              <w:bottom w:val="nil"/>
              <w:right w:val="nil"/>
            </w:tcBorders>
          </w:tcPr>
          <w:p w14:paraId="79EB6BAC" w14:textId="77777777" w:rsidR="004D2B5D" w:rsidRPr="00087644" w:rsidRDefault="004D2B5D" w:rsidP="00D063A2"/>
        </w:tc>
      </w:tr>
      <w:tr w:rsidR="004D2B5D" w:rsidRPr="00087644" w14:paraId="78580AAC" w14:textId="77777777" w:rsidTr="00D063A2">
        <w:trPr>
          <w:trHeight w:val="240"/>
          <w:jc w:val="center"/>
        </w:trPr>
        <w:tc>
          <w:tcPr>
            <w:tcW w:w="4876" w:type="dxa"/>
            <w:tcBorders>
              <w:top w:val="nil"/>
              <w:left w:val="nil"/>
              <w:bottom w:val="nil"/>
              <w:right w:val="nil"/>
            </w:tcBorders>
            <w:hideMark/>
          </w:tcPr>
          <w:p w14:paraId="169C80EE"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0D0AF4A5" w14:textId="77777777" w:rsidR="004D2B5D" w:rsidRPr="00087644" w:rsidRDefault="004D2B5D" w:rsidP="00D063A2">
            <w:pPr>
              <w:pStyle w:val="AmColumnHeading"/>
            </w:pPr>
            <w:r w:rsidRPr="00087644">
              <w:t>Alteração</w:t>
            </w:r>
          </w:p>
        </w:tc>
      </w:tr>
      <w:tr w:rsidR="004D2B5D" w:rsidRPr="00087644" w14:paraId="33DDF871" w14:textId="77777777" w:rsidTr="00D063A2">
        <w:trPr>
          <w:jc w:val="center"/>
        </w:trPr>
        <w:tc>
          <w:tcPr>
            <w:tcW w:w="4876" w:type="dxa"/>
            <w:tcBorders>
              <w:top w:val="nil"/>
              <w:left w:val="nil"/>
              <w:bottom w:val="nil"/>
              <w:right w:val="nil"/>
            </w:tcBorders>
          </w:tcPr>
          <w:p w14:paraId="649E532E" w14:textId="77777777" w:rsidR="004D2B5D" w:rsidRPr="00087644" w:rsidRDefault="004D2B5D" w:rsidP="00D063A2">
            <w:pPr>
              <w:pStyle w:val="Normal6a"/>
            </w:pPr>
          </w:p>
        </w:tc>
        <w:tc>
          <w:tcPr>
            <w:tcW w:w="4876" w:type="dxa"/>
            <w:tcBorders>
              <w:top w:val="nil"/>
              <w:left w:val="nil"/>
              <w:bottom w:val="nil"/>
              <w:right w:val="nil"/>
            </w:tcBorders>
            <w:hideMark/>
          </w:tcPr>
          <w:p w14:paraId="28E9FEBA" w14:textId="77777777" w:rsidR="004D2B5D" w:rsidRPr="00087644" w:rsidRDefault="004D2B5D" w:rsidP="00D063A2">
            <w:pPr>
              <w:pStyle w:val="Normal6a"/>
            </w:pPr>
            <w:r w:rsidRPr="00087644">
              <w:rPr>
                <w:b/>
                <w:i/>
              </w:rPr>
              <w:t>(7</w:t>
            </w:r>
            <w:r w:rsidRPr="00087644">
              <w:rPr>
                <w:b/>
                <w:i/>
              </w:rPr>
              <w:noBreakHyphen/>
              <w:t>B)</w:t>
            </w:r>
            <w:r w:rsidRPr="00087644">
              <w:tab/>
            </w:r>
            <w:r w:rsidRPr="00087644">
              <w:rPr>
                <w:b/>
                <w:i/>
              </w:rPr>
              <w:t>No anexo I, é aditado o ponto 1.5.2.5</w:t>
            </w:r>
            <w:r w:rsidRPr="00087644">
              <w:rPr>
                <w:b/>
                <w:i/>
              </w:rPr>
              <w:noBreakHyphen/>
              <w:t xml:space="preserve">A: Rotulagem de cartuchos de </w:t>
            </w:r>
            <w:r w:rsidRPr="00087644">
              <w:rPr>
                <w:b/>
                <w:i/>
              </w:rPr>
              <w:lastRenderedPageBreak/>
              <w:t>tinta cujo conteúdo não ultrapasse 150 ml</w:t>
            </w:r>
          </w:p>
        </w:tc>
      </w:tr>
      <w:tr w:rsidR="004D2B5D" w:rsidRPr="00087644" w14:paraId="05DF1DCC" w14:textId="77777777" w:rsidTr="00D063A2">
        <w:trPr>
          <w:jc w:val="center"/>
        </w:trPr>
        <w:tc>
          <w:tcPr>
            <w:tcW w:w="4876" w:type="dxa"/>
            <w:tcBorders>
              <w:top w:val="nil"/>
              <w:left w:val="nil"/>
              <w:bottom w:val="nil"/>
              <w:right w:val="nil"/>
            </w:tcBorders>
          </w:tcPr>
          <w:p w14:paraId="6590DCD7" w14:textId="77777777" w:rsidR="004D2B5D" w:rsidRPr="00087644" w:rsidRDefault="004D2B5D" w:rsidP="00D063A2">
            <w:pPr>
              <w:pStyle w:val="Normal6a"/>
            </w:pPr>
          </w:p>
        </w:tc>
        <w:tc>
          <w:tcPr>
            <w:tcW w:w="4876" w:type="dxa"/>
            <w:tcBorders>
              <w:top w:val="nil"/>
              <w:left w:val="nil"/>
              <w:bottom w:val="nil"/>
              <w:right w:val="nil"/>
            </w:tcBorders>
            <w:hideMark/>
          </w:tcPr>
          <w:p w14:paraId="0175237D" w14:textId="77777777" w:rsidR="004D2B5D" w:rsidRPr="00087644" w:rsidRDefault="004D2B5D" w:rsidP="00D063A2">
            <w:pPr>
              <w:pStyle w:val="Normal6a"/>
            </w:pPr>
            <w:r w:rsidRPr="00087644">
              <w:rPr>
                <w:b/>
                <w:i/>
              </w:rPr>
              <w:t>1.5.2.5</w:t>
            </w:r>
            <w:r w:rsidRPr="00087644">
              <w:rPr>
                <w:b/>
                <w:i/>
              </w:rPr>
              <w:noBreakHyphen/>
              <w:t>A.1: Os elementos do rótulo exigidos pelo artigo 17.º podem ser reduzidos em conformidade com os pontos 1.5.2.5</w:t>
            </w:r>
            <w:r w:rsidRPr="00087644">
              <w:rPr>
                <w:b/>
                <w:i/>
              </w:rPr>
              <w:noBreakHyphen/>
              <w:t>A.2 e 1.5.2.5</w:t>
            </w:r>
            <w:r w:rsidRPr="00087644">
              <w:rPr>
                <w:b/>
                <w:i/>
              </w:rPr>
              <w:noBreakHyphen/>
              <w:t>A.3 nos casos em que:</w:t>
            </w:r>
          </w:p>
        </w:tc>
      </w:tr>
      <w:tr w:rsidR="004D2B5D" w:rsidRPr="00087644" w14:paraId="44C28951" w14:textId="77777777" w:rsidTr="00D063A2">
        <w:trPr>
          <w:jc w:val="center"/>
        </w:trPr>
        <w:tc>
          <w:tcPr>
            <w:tcW w:w="4876" w:type="dxa"/>
            <w:tcBorders>
              <w:top w:val="nil"/>
              <w:left w:val="nil"/>
              <w:bottom w:val="nil"/>
              <w:right w:val="nil"/>
            </w:tcBorders>
          </w:tcPr>
          <w:p w14:paraId="5B86D51B" w14:textId="77777777" w:rsidR="004D2B5D" w:rsidRPr="00087644" w:rsidRDefault="004D2B5D" w:rsidP="00D063A2">
            <w:pPr>
              <w:pStyle w:val="Normal6a"/>
            </w:pPr>
          </w:p>
        </w:tc>
        <w:tc>
          <w:tcPr>
            <w:tcW w:w="4876" w:type="dxa"/>
            <w:tcBorders>
              <w:top w:val="nil"/>
              <w:left w:val="nil"/>
              <w:bottom w:val="nil"/>
              <w:right w:val="nil"/>
            </w:tcBorders>
            <w:hideMark/>
          </w:tcPr>
          <w:p w14:paraId="5EAA4268" w14:textId="77777777" w:rsidR="004D2B5D" w:rsidRPr="00087644" w:rsidRDefault="004D2B5D" w:rsidP="00D063A2">
            <w:pPr>
              <w:pStyle w:val="Normal6a"/>
            </w:pPr>
            <w:r w:rsidRPr="00087644">
              <w:rPr>
                <w:b/>
                <w:i/>
              </w:rPr>
              <w:t>a) O conteúdo do cartucho de tinta não ultrapassa 150 ml;</w:t>
            </w:r>
          </w:p>
        </w:tc>
      </w:tr>
      <w:tr w:rsidR="004D2B5D" w:rsidRPr="00087644" w14:paraId="05A3097B" w14:textId="77777777" w:rsidTr="00D063A2">
        <w:trPr>
          <w:jc w:val="center"/>
        </w:trPr>
        <w:tc>
          <w:tcPr>
            <w:tcW w:w="4876" w:type="dxa"/>
            <w:tcBorders>
              <w:top w:val="nil"/>
              <w:left w:val="nil"/>
              <w:bottom w:val="nil"/>
              <w:right w:val="nil"/>
            </w:tcBorders>
          </w:tcPr>
          <w:p w14:paraId="761AB3BA" w14:textId="77777777" w:rsidR="004D2B5D" w:rsidRPr="00087644" w:rsidRDefault="004D2B5D" w:rsidP="00D063A2">
            <w:pPr>
              <w:pStyle w:val="Normal6a"/>
            </w:pPr>
          </w:p>
        </w:tc>
        <w:tc>
          <w:tcPr>
            <w:tcW w:w="4876" w:type="dxa"/>
            <w:tcBorders>
              <w:top w:val="nil"/>
              <w:left w:val="nil"/>
              <w:bottom w:val="nil"/>
              <w:right w:val="nil"/>
            </w:tcBorders>
            <w:hideMark/>
          </w:tcPr>
          <w:p w14:paraId="796DD576" w14:textId="77777777" w:rsidR="004D2B5D" w:rsidRPr="00087644" w:rsidRDefault="004D2B5D" w:rsidP="00D063A2">
            <w:pPr>
              <w:pStyle w:val="Normal6a"/>
            </w:pPr>
            <w:r w:rsidRPr="00087644">
              <w:rPr>
                <w:b/>
                <w:i/>
              </w:rPr>
              <w:t>b) A embalagem exterior cumpre as disposições do artigo 17.º; e</w:t>
            </w:r>
          </w:p>
        </w:tc>
      </w:tr>
      <w:tr w:rsidR="004D2B5D" w:rsidRPr="00087644" w14:paraId="39CB7400" w14:textId="77777777" w:rsidTr="00D063A2">
        <w:trPr>
          <w:jc w:val="center"/>
        </w:trPr>
        <w:tc>
          <w:tcPr>
            <w:tcW w:w="4876" w:type="dxa"/>
            <w:tcBorders>
              <w:top w:val="nil"/>
              <w:left w:val="nil"/>
              <w:bottom w:val="nil"/>
              <w:right w:val="nil"/>
            </w:tcBorders>
          </w:tcPr>
          <w:p w14:paraId="5AAF5FAA" w14:textId="77777777" w:rsidR="004D2B5D" w:rsidRPr="00087644" w:rsidRDefault="004D2B5D" w:rsidP="00D063A2">
            <w:pPr>
              <w:pStyle w:val="Normal6a"/>
            </w:pPr>
          </w:p>
        </w:tc>
        <w:tc>
          <w:tcPr>
            <w:tcW w:w="4876" w:type="dxa"/>
            <w:tcBorders>
              <w:top w:val="nil"/>
              <w:left w:val="nil"/>
              <w:bottom w:val="nil"/>
              <w:right w:val="nil"/>
            </w:tcBorders>
            <w:hideMark/>
          </w:tcPr>
          <w:p w14:paraId="14F5EE80" w14:textId="77777777" w:rsidR="004D2B5D" w:rsidRPr="00087644" w:rsidRDefault="004D2B5D" w:rsidP="00D063A2">
            <w:pPr>
              <w:pStyle w:val="Normal6a"/>
            </w:pPr>
            <w:r w:rsidRPr="00087644">
              <w:rPr>
                <w:b/>
                <w:i/>
              </w:rPr>
              <w:t>c) As informações sobre os perigos que figuram na embalagem exterior são conservadas juntamente com a impressora.</w:t>
            </w:r>
          </w:p>
        </w:tc>
      </w:tr>
      <w:tr w:rsidR="004D2B5D" w:rsidRPr="00087644" w14:paraId="606C6F51" w14:textId="77777777" w:rsidTr="00D063A2">
        <w:trPr>
          <w:jc w:val="center"/>
        </w:trPr>
        <w:tc>
          <w:tcPr>
            <w:tcW w:w="4876" w:type="dxa"/>
            <w:tcBorders>
              <w:top w:val="nil"/>
              <w:left w:val="nil"/>
              <w:bottom w:val="nil"/>
              <w:right w:val="nil"/>
            </w:tcBorders>
          </w:tcPr>
          <w:p w14:paraId="4D2DF320" w14:textId="77777777" w:rsidR="004D2B5D" w:rsidRPr="00087644" w:rsidRDefault="004D2B5D" w:rsidP="00D063A2">
            <w:pPr>
              <w:pStyle w:val="Normal6a"/>
            </w:pPr>
          </w:p>
        </w:tc>
        <w:tc>
          <w:tcPr>
            <w:tcW w:w="4876" w:type="dxa"/>
            <w:tcBorders>
              <w:top w:val="nil"/>
              <w:left w:val="nil"/>
              <w:bottom w:val="nil"/>
              <w:right w:val="nil"/>
            </w:tcBorders>
            <w:hideMark/>
          </w:tcPr>
          <w:p w14:paraId="76D4E545" w14:textId="77777777" w:rsidR="004D2B5D" w:rsidRPr="00087644" w:rsidRDefault="004D2B5D" w:rsidP="00D063A2">
            <w:pPr>
              <w:pStyle w:val="Normal6a"/>
            </w:pPr>
            <w:r w:rsidRPr="00087644">
              <w:rPr>
                <w:b/>
                <w:i/>
              </w:rPr>
              <w:t>1.5.2.5</w:t>
            </w:r>
            <w:r w:rsidRPr="00087644">
              <w:rPr>
                <w:b/>
                <w:i/>
              </w:rPr>
              <w:noBreakHyphen/>
              <w:t>A.2: Nos casos em que se aplica o ponto 1.5.2.5</w:t>
            </w:r>
            <w:r w:rsidRPr="00087644">
              <w:rPr>
                <w:b/>
                <w:i/>
              </w:rPr>
              <w:noBreakHyphen/>
              <w:t>A.1, o rótulo do cartucho de tinta e de qualquer embalagem intermédia deve conter, pelo menos:</w:t>
            </w:r>
          </w:p>
        </w:tc>
      </w:tr>
      <w:tr w:rsidR="004D2B5D" w:rsidRPr="00087644" w14:paraId="21E94D36" w14:textId="77777777" w:rsidTr="00D063A2">
        <w:trPr>
          <w:jc w:val="center"/>
        </w:trPr>
        <w:tc>
          <w:tcPr>
            <w:tcW w:w="4876" w:type="dxa"/>
            <w:tcBorders>
              <w:top w:val="nil"/>
              <w:left w:val="nil"/>
              <w:bottom w:val="nil"/>
              <w:right w:val="nil"/>
            </w:tcBorders>
          </w:tcPr>
          <w:p w14:paraId="3AF75BF4" w14:textId="77777777" w:rsidR="004D2B5D" w:rsidRPr="00087644" w:rsidRDefault="004D2B5D" w:rsidP="00D063A2">
            <w:pPr>
              <w:pStyle w:val="Normal6a"/>
            </w:pPr>
          </w:p>
        </w:tc>
        <w:tc>
          <w:tcPr>
            <w:tcW w:w="4876" w:type="dxa"/>
            <w:tcBorders>
              <w:top w:val="nil"/>
              <w:left w:val="nil"/>
              <w:bottom w:val="nil"/>
              <w:right w:val="nil"/>
            </w:tcBorders>
            <w:hideMark/>
          </w:tcPr>
          <w:p w14:paraId="3E8F7E33" w14:textId="77777777" w:rsidR="004D2B5D" w:rsidRPr="00087644" w:rsidRDefault="004D2B5D" w:rsidP="00D063A2">
            <w:pPr>
              <w:pStyle w:val="Normal6a"/>
            </w:pPr>
            <w:r w:rsidRPr="00087644">
              <w:rPr>
                <w:b/>
                <w:i/>
              </w:rPr>
              <w:t>a) O identificador do produto em conformidade com o artigo 18.º, n.º 2, para as substâncias, e com o artigo 18.º, n.º 3, para as misturas;</w:t>
            </w:r>
          </w:p>
        </w:tc>
      </w:tr>
      <w:tr w:rsidR="004D2B5D" w:rsidRPr="00087644" w14:paraId="03CBF95E" w14:textId="77777777" w:rsidTr="00D063A2">
        <w:trPr>
          <w:jc w:val="center"/>
        </w:trPr>
        <w:tc>
          <w:tcPr>
            <w:tcW w:w="4876" w:type="dxa"/>
            <w:tcBorders>
              <w:top w:val="nil"/>
              <w:left w:val="nil"/>
              <w:bottom w:val="nil"/>
              <w:right w:val="nil"/>
            </w:tcBorders>
          </w:tcPr>
          <w:p w14:paraId="0E43CC90" w14:textId="77777777" w:rsidR="004D2B5D" w:rsidRPr="00087644" w:rsidRDefault="004D2B5D" w:rsidP="00D063A2">
            <w:pPr>
              <w:pStyle w:val="Normal6a"/>
            </w:pPr>
          </w:p>
        </w:tc>
        <w:tc>
          <w:tcPr>
            <w:tcW w:w="4876" w:type="dxa"/>
            <w:tcBorders>
              <w:top w:val="nil"/>
              <w:left w:val="nil"/>
              <w:bottom w:val="nil"/>
              <w:right w:val="nil"/>
            </w:tcBorders>
            <w:hideMark/>
          </w:tcPr>
          <w:p w14:paraId="5A0B6FC7" w14:textId="77777777" w:rsidR="004D2B5D" w:rsidRPr="00087644" w:rsidRDefault="004D2B5D" w:rsidP="00D063A2">
            <w:pPr>
              <w:pStyle w:val="Normal6a"/>
            </w:pPr>
            <w:r w:rsidRPr="00087644">
              <w:rPr>
                <w:b/>
                <w:i/>
              </w:rPr>
              <w:t>b) Se for caso disso, os pictogramas;</w:t>
            </w:r>
          </w:p>
        </w:tc>
      </w:tr>
      <w:tr w:rsidR="004D2B5D" w:rsidRPr="00087644" w14:paraId="2B8DA7A7" w14:textId="77777777" w:rsidTr="00D063A2">
        <w:trPr>
          <w:jc w:val="center"/>
        </w:trPr>
        <w:tc>
          <w:tcPr>
            <w:tcW w:w="4876" w:type="dxa"/>
            <w:tcBorders>
              <w:top w:val="nil"/>
              <w:left w:val="nil"/>
              <w:bottom w:val="nil"/>
              <w:right w:val="nil"/>
            </w:tcBorders>
          </w:tcPr>
          <w:p w14:paraId="432A36FB" w14:textId="77777777" w:rsidR="004D2B5D" w:rsidRPr="00087644" w:rsidRDefault="004D2B5D" w:rsidP="00D063A2">
            <w:pPr>
              <w:pStyle w:val="Normal6a"/>
            </w:pPr>
          </w:p>
        </w:tc>
        <w:tc>
          <w:tcPr>
            <w:tcW w:w="4876" w:type="dxa"/>
            <w:tcBorders>
              <w:top w:val="nil"/>
              <w:left w:val="nil"/>
              <w:bottom w:val="nil"/>
              <w:right w:val="nil"/>
            </w:tcBorders>
            <w:hideMark/>
          </w:tcPr>
          <w:p w14:paraId="458C1EFD" w14:textId="77777777" w:rsidR="004D2B5D" w:rsidRPr="00087644" w:rsidRDefault="004D2B5D" w:rsidP="00D063A2">
            <w:pPr>
              <w:pStyle w:val="Normal6a"/>
            </w:pPr>
            <w:r w:rsidRPr="00087644">
              <w:rPr>
                <w:b/>
                <w:i/>
              </w:rPr>
              <w:t>c) Se for caso disso, o identificador único de fórmula;</w:t>
            </w:r>
          </w:p>
        </w:tc>
      </w:tr>
      <w:tr w:rsidR="004D2B5D" w:rsidRPr="00087644" w14:paraId="6976C6BF" w14:textId="77777777" w:rsidTr="00D063A2">
        <w:trPr>
          <w:jc w:val="center"/>
        </w:trPr>
        <w:tc>
          <w:tcPr>
            <w:tcW w:w="4876" w:type="dxa"/>
            <w:tcBorders>
              <w:top w:val="nil"/>
              <w:left w:val="nil"/>
              <w:bottom w:val="nil"/>
              <w:right w:val="nil"/>
            </w:tcBorders>
          </w:tcPr>
          <w:p w14:paraId="7465800A" w14:textId="77777777" w:rsidR="004D2B5D" w:rsidRPr="00087644" w:rsidRDefault="004D2B5D" w:rsidP="00D063A2">
            <w:pPr>
              <w:pStyle w:val="Normal6a"/>
            </w:pPr>
          </w:p>
        </w:tc>
        <w:tc>
          <w:tcPr>
            <w:tcW w:w="4876" w:type="dxa"/>
            <w:tcBorders>
              <w:top w:val="nil"/>
              <w:left w:val="nil"/>
              <w:bottom w:val="nil"/>
              <w:right w:val="nil"/>
            </w:tcBorders>
            <w:hideMark/>
          </w:tcPr>
          <w:p w14:paraId="74EDFFAF" w14:textId="77777777" w:rsidR="004D2B5D" w:rsidRPr="00087644" w:rsidRDefault="004D2B5D" w:rsidP="00D063A2">
            <w:pPr>
              <w:pStyle w:val="Normal6a"/>
            </w:pPr>
            <w:r w:rsidRPr="00087644">
              <w:rPr>
                <w:b/>
                <w:i/>
              </w:rPr>
              <w:t>d) O nome, o nome registado ou a marca comercial do fornecedor; e</w:t>
            </w:r>
          </w:p>
        </w:tc>
      </w:tr>
      <w:tr w:rsidR="004D2B5D" w:rsidRPr="00087644" w14:paraId="32A251C4" w14:textId="77777777" w:rsidTr="00D063A2">
        <w:trPr>
          <w:jc w:val="center"/>
        </w:trPr>
        <w:tc>
          <w:tcPr>
            <w:tcW w:w="4876" w:type="dxa"/>
            <w:tcBorders>
              <w:top w:val="nil"/>
              <w:left w:val="nil"/>
              <w:bottom w:val="nil"/>
              <w:right w:val="nil"/>
            </w:tcBorders>
          </w:tcPr>
          <w:p w14:paraId="0CB37611" w14:textId="77777777" w:rsidR="004D2B5D" w:rsidRPr="00087644" w:rsidRDefault="004D2B5D" w:rsidP="00D063A2">
            <w:pPr>
              <w:pStyle w:val="Normal6a"/>
            </w:pPr>
          </w:p>
        </w:tc>
        <w:tc>
          <w:tcPr>
            <w:tcW w:w="4876" w:type="dxa"/>
            <w:tcBorders>
              <w:top w:val="nil"/>
              <w:left w:val="nil"/>
              <w:bottom w:val="nil"/>
              <w:right w:val="nil"/>
            </w:tcBorders>
            <w:hideMark/>
          </w:tcPr>
          <w:p w14:paraId="5BC51422" w14:textId="77777777" w:rsidR="004D2B5D" w:rsidRPr="00087644" w:rsidRDefault="004D2B5D" w:rsidP="00D063A2">
            <w:pPr>
              <w:pStyle w:val="Normal6a"/>
            </w:pPr>
            <w:r w:rsidRPr="00087644">
              <w:rPr>
                <w:b/>
                <w:i/>
              </w:rPr>
              <w:t>e) O número de telefone ou contacto digital.</w:t>
            </w:r>
          </w:p>
        </w:tc>
      </w:tr>
      <w:tr w:rsidR="004D2B5D" w:rsidRPr="00087644" w14:paraId="41C4DD2D" w14:textId="77777777" w:rsidTr="00D063A2">
        <w:trPr>
          <w:jc w:val="center"/>
        </w:trPr>
        <w:tc>
          <w:tcPr>
            <w:tcW w:w="4876" w:type="dxa"/>
            <w:tcBorders>
              <w:top w:val="nil"/>
              <w:left w:val="nil"/>
              <w:bottom w:val="nil"/>
              <w:right w:val="nil"/>
            </w:tcBorders>
          </w:tcPr>
          <w:p w14:paraId="182797E2" w14:textId="77777777" w:rsidR="004D2B5D" w:rsidRPr="00087644" w:rsidRDefault="004D2B5D" w:rsidP="00D063A2">
            <w:pPr>
              <w:pStyle w:val="Normal6a"/>
            </w:pPr>
          </w:p>
        </w:tc>
        <w:tc>
          <w:tcPr>
            <w:tcW w:w="4876" w:type="dxa"/>
            <w:tcBorders>
              <w:top w:val="nil"/>
              <w:left w:val="nil"/>
              <w:bottom w:val="nil"/>
              <w:right w:val="nil"/>
            </w:tcBorders>
            <w:hideMark/>
          </w:tcPr>
          <w:p w14:paraId="41FA7E1C" w14:textId="77777777" w:rsidR="004D2B5D" w:rsidRPr="00087644" w:rsidRDefault="004D2B5D" w:rsidP="00D063A2">
            <w:pPr>
              <w:pStyle w:val="Normal6a"/>
            </w:pPr>
            <w:r w:rsidRPr="00087644">
              <w:rPr>
                <w:b/>
                <w:i/>
              </w:rPr>
              <w:t>1.5.2.5</w:t>
            </w:r>
            <w:r w:rsidRPr="00087644">
              <w:rPr>
                <w:b/>
                <w:i/>
              </w:rPr>
              <w:noBreakHyphen/>
              <w:t>A.3: Nos casos em que se aplica o ponto 1.5.2.5</w:t>
            </w:r>
            <w:r w:rsidRPr="00087644">
              <w:rPr>
                <w:b/>
                <w:i/>
              </w:rPr>
              <w:noBreakHyphen/>
              <w:t>A.1, e o conteúdo do cartucho de tinta não ultrapasse 30 ml, as informações exigidas pelo ponto 1.5.2.5</w:t>
            </w:r>
            <w:r w:rsidRPr="00087644">
              <w:rPr>
                <w:b/>
                <w:i/>
              </w:rPr>
              <w:noBreakHyphen/>
              <w:t>A.1 podem ser ainda mais reduzidas, de molde que o rótulo do cartucho de tinta contenha, pelo menos:</w:t>
            </w:r>
          </w:p>
        </w:tc>
      </w:tr>
      <w:tr w:rsidR="004D2B5D" w:rsidRPr="00087644" w14:paraId="0AFB5BE0" w14:textId="77777777" w:rsidTr="00D063A2">
        <w:trPr>
          <w:jc w:val="center"/>
        </w:trPr>
        <w:tc>
          <w:tcPr>
            <w:tcW w:w="4876" w:type="dxa"/>
            <w:tcBorders>
              <w:top w:val="nil"/>
              <w:left w:val="nil"/>
              <w:bottom w:val="nil"/>
              <w:right w:val="nil"/>
            </w:tcBorders>
          </w:tcPr>
          <w:p w14:paraId="3865DB7E" w14:textId="77777777" w:rsidR="004D2B5D" w:rsidRPr="00087644" w:rsidRDefault="004D2B5D" w:rsidP="00D063A2">
            <w:pPr>
              <w:pStyle w:val="Normal6a"/>
            </w:pPr>
          </w:p>
        </w:tc>
        <w:tc>
          <w:tcPr>
            <w:tcW w:w="4876" w:type="dxa"/>
            <w:tcBorders>
              <w:top w:val="nil"/>
              <w:left w:val="nil"/>
              <w:bottom w:val="nil"/>
              <w:right w:val="nil"/>
            </w:tcBorders>
            <w:hideMark/>
          </w:tcPr>
          <w:p w14:paraId="36A249F0" w14:textId="77777777" w:rsidR="004D2B5D" w:rsidRPr="00087644" w:rsidRDefault="004D2B5D" w:rsidP="00D063A2">
            <w:pPr>
              <w:pStyle w:val="Normal6a"/>
            </w:pPr>
            <w:r w:rsidRPr="00087644">
              <w:rPr>
                <w:b/>
                <w:i/>
              </w:rPr>
              <w:t>a) O identificador do produto em conformidade com o artigo 18.º, n.º 2, para as substâncias, e com o artigo 18.º, n.º 3, para as misturas; e</w:t>
            </w:r>
          </w:p>
        </w:tc>
      </w:tr>
      <w:tr w:rsidR="004D2B5D" w:rsidRPr="00087644" w14:paraId="2550D18E" w14:textId="77777777" w:rsidTr="00D063A2">
        <w:trPr>
          <w:jc w:val="center"/>
        </w:trPr>
        <w:tc>
          <w:tcPr>
            <w:tcW w:w="4876" w:type="dxa"/>
            <w:tcBorders>
              <w:top w:val="nil"/>
              <w:left w:val="nil"/>
              <w:bottom w:val="nil"/>
              <w:right w:val="nil"/>
            </w:tcBorders>
          </w:tcPr>
          <w:p w14:paraId="68005220" w14:textId="77777777" w:rsidR="004D2B5D" w:rsidRPr="00087644" w:rsidRDefault="004D2B5D" w:rsidP="00D063A2">
            <w:pPr>
              <w:pStyle w:val="Normal6a"/>
            </w:pPr>
          </w:p>
        </w:tc>
        <w:tc>
          <w:tcPr>
            <w:tcW w:w="4876" w:type="dxa"/>
            <w:tcBorders>
              <w:top w:val="nil"/>
              <w:left w:val="nil"/>
              <w:bottom w:val="nil"/>
              <w:right w:val="nil"/>
            </w:tcBorders>
            <w:hideMark/>
          </w:tcPr>
          <w:p w14:paraId="6F5B86D7" w14:textId="77777777" w:rsidR="004D2B5D" w:rsidRPr="00087644" w:rsidRDefault="004D2B5D" w:rsidP="00D063A2">
            <w:pPr>
              <w:pStyle w:val="Normal6a"/>
            </w:pPr>
            <w:r w:rsidRPr="00087644">
              <w:rPr>
                <w:b/>
                <w:i/>
              </w:rPr>
              <w:t xml:space="preserve">(b) Se for caso disso, os seguintes pictogramas: “GHS01”, “GHS05”, “GHS06”, “GHS08”, “GHS07”, “GHS09”. Sempre que forem indicados mais de dois pictogramas, “GHS06” e “GHS08” poderão prevalecer sobre </w:t>
            </w:r>
            <w:r w:rsidRPr="00087644">
              <w:rPr>
                <w:b/>
                <w:i/>
              </w:rPr>
              <w:lastRenderedPageBreak/>
              <w:t>“GHS01” e “GHS05”.</w:t>
            </w:r>
          </w:p>
        </w:tc>
      </w:tr>
    </w:tbl>
    <w:p w14:paraId="2883FA59" w14:textId="77777777" w:rsidR="004D2B5D" w:rsidRPr="00087644" w:rsidRDefault="004D2B5D" w:rsidP="004D2B5D"/>
    <w:p w14:paraId="6A27DFED" w14:textId="77777777" w:rsidR="004D2B5D" w:rsidRPr="00087644" w:rsidRDefault="004D2B5D" w:rsidP="004D2B5D">
      <w:pPr>
        <w:pStyle w:val="AmNumberTabs"/>
      </w:pPr>
      <w:r w:rsidRPr="00087644">
        <w:t>Alteração</w:t>
      </w:r>
      <w:r w:rsidRPr="00087644">
        <w:tab/>
      </w:r>
      <w:r w:rsidRPr="00087644">
        <w:tab/>
        <w:t>86</w:t>
      </w:r>
    </w:p>
    <w:p w14:paraId="16C67EC3" w14:textId="77777777" w:rsidR="004D2B5D" w:rsidRPr="00087644" w:rsidRDefault="004D2B5D" w:rsidP="004D2B5D">
      <w:pPr>
        <w:pStyle w:val="NormalBold"/>
      </w:pPr>
      <w:r w:rsidRPr="00087644">
        <w:t>Proposta de regulamento</w:t>
      </w:r>
    </w:p>
    <w:p w14:paraId="57F9B563" w14:textId="77777777" w:rsidR="004D2B5D" w:rsidRPr="00087644" w:rsidRDefault="004D2B5D" w:rsidP="004D2B5D">
      <w:pPr>
        <w:pStyle w:val="NormalBold"/>
      </w:pPr>
      <w:r w:rsidRPr="00087644">
        <w:t>Anexo I – parágrafo 1 – ponto 8</w:t>
      </w:r>
    </w:p>
    <w:p w14:paraId="21B079CC" w14:textId="77777777" w:rsidR="004D2B5D" w:rsidRPr="00087644" w:rsidRDefault="004D2B5D" w:rsidP="004D2B5D">
      <w:r w:rsidRPr="00087644">
        <w:t>Regulamento (CE) n.º 1272/2008</w:t>
      </w:r>
    </w:p>
    <w:p w14:paraId="0A3D50FE" w14:textId="77777777" w:rsidR="004D2B5D" w:rsidRPr="00087644" w:rsidRDefault="004D2B5D" w:rsidP="004D2B5D">
      <w:r w:rsidRPr="00087644">
        <w:t xml:space="preserve">Anexo I – ponto 1.6 – alínea </w:t>
      </w:r>
      <w:proofErr w:type="spellStart"/>
      <w:r w:rsidRPr="00087644">
        <w:t>b</w:t>
      </w:r>
      <w:r w:rsidRPr="00087644">
        <w:noBreakHyphen/>
        <w:t>A</w:t>
      </w:r>
      <w:proofErr w:type="spellEnd"/>
      <w:r w:rsidRPr="00087644">
        <w:t xml:space="preserve">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044FF7F6" w14:textId="77777777" w:rsidTr="00D063A2">
        <w:trPr>
          <w:trHeight w:val="240"/>
          <w:jc w:val="center"/>
        </w:trPr>
        <w:tc>
          <w:tcPr>
            <w:tcW w:w="9752" w:type="dxa"/>
            <w:gridSpan w:val="2"/>
            <w:tcBorders>
              <w:top w:val="nil"/>
              <w:left w:val="nil"/>
              <w:bottom w:val="nil"/>
              <w:right w:val="nil"/>
            </w:tcBorders>
          </w:tcPr>
          <w:p w14:paraId="6D58D77E" w14:textId="77777777" w:rsidR="004D2B5D" w:rsidRPr="00087644" w:rsidRDefault="004D2B5D" w:rsidP="00D063A2"/>
        </w:tc>
      </w:tr>
      <w:tr w:rsidR="004D2B5D" w:rsidRPr="00087644" w14:paraId="46757EE6" w14:textId="77777777" w:rsidTr="00D063A2">
        <w:trPr>
          <w:trHeight w:val="240"/>
          <w:jc w:val="center"/>
        </w:trPr>
        <w:tc>
          <w:tcPr>
            <w:tcW w:w="4876" w:type="dxa"/>
            <w:tcBorders>
              <w:top w:val="nil"/>
              <w:left w:val="nil"/>
              <w:bottom w:val="nil"/>
              <w:right w:val="nil"/>
            </w:tcBorders>
            <w:hideMark/>
          </w:tcPr>
          <w:p w14:paraId="0AE83D29"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0A7F087E" w14:textId="77777777" w:rsidR="004D2B5D" w:rsidRPr="00087644" w:rsidRDefault="004D2B5D" w:rsidP="00D063A2">
            <w:pPr>
              <w:pStyle w:val="AmColumnHeading"/>
            </w:pPr>
            <w:r w:rsidRPr="00087644">
              <w:t>Alteração</w:t>
            </w:r>
          </w:p>
        </w:tc>
      </w:tr>
      <w:tr w:rsidR="004D2B5D" w:rsidRPr="00087644" w14:paraId="04A19251" w14:textId="77777777" w:rsidTr="00D063A2">
        <w:trPr>
          <w:jc w:val="center"/>
        </w:trPr>
        <w:tc>
          <w:tcPr>
            <w:tcW w:w="4876" w:type="dxa"/>
            <w:tcBorders>
              <w:top w:val="nil"/>
              <w:left w:val="nil"/>
              <w:bottom w:val="nil"/>
              <w:right w:val="nil"/>
            </w:tcBorders>
          </w:tcPr>
          <w:p w14:paraId="24920F14" w14:textId="77777777" w:rsidR="004D2B5D" w:rsidRPr="00087644" w:rsidRDefault="004D2B5D" w:rsidP="00D063A2">
            <w:pPr>
              <w:pStyle w:val="Normal6a"/>
            </w:pPr>
          </w:p>
        </w:tc>
        <w:tc>
          <w:tcPr>
            <w:tcW w:w="4876" w:type="dxa"/>
            <w:tcBorders>
              <w:top w:val="nil"/>
              <w:left w:val="nil"/>
              <w:bottom w:val="nil"/>
              <w:right w:val="nil"/>
            </w:tcBorders>
            <w:hideMark/>
          </w:tcPr>
          <w:p w14:paraId="12593DB9" w14:textId="77777777" w:rsidR="004D2B5D" w:rsidRPr="00087644" w:rsidRDefault="004D2B5D" w:rsidP="00D063A2">
            <w:pPr>
              <w:pStyle w:val="Normal6a"/>
            </w:pPr>
            <w:r w:rsidRPr="00087644">
              <w:rPr>
                <w:b/>
                <w:i/>
              </w:rPr>
              <w:t>(</w:t>
            </w:r>
            <w:proofErr w:type="spellStart"/>
            <w:r w:rsidRPr="00087644">
              <w:rPr>
                <w:b/>
                <w:i/>
              </w:rPr>
              <w:t>b</w:t>
            </w:r>
            <w:r w:rsidRPr="00087644">
              <w:rPr>
                <w:b/>
                <w:i/>
              </w:rPr>
              <w:noBreakHyphen/>
              <w:t>A</w:t>
            </w:r>
            <w:proofErr w:type="spellEnd"/>
            <w:r w:rsidRPr="00087644">
              <w:rPr>
                <w:b/>
                <w:i/>
              </w:rPr>
              <w:t>)</w:t>
            </w:r>
            <w:r w:rsidRPr="00087644">
              <w:tab/>
            </w:r>
            <w:r w:rsidRPr="00087644">
              <w:rPr>
                <w:b/>
                <w:i/>
              </w:rPr>
              <w:t>O número de telefone do ou dos fornecedores exigido nos termos do artigo 17.º, n.º 1, alínea a), e, se for caso disso, os elementos previstos nos termos do artigo 25.º, n.º 6, terceiro parágrafo, e do anexo I, ponto 1.5.1.2.</w:t>
            </w:r>
          </w:p>
        </w:tc>
      </w:tr>
    </w:tbl>
    <w:p w14:paraId="4576D211" w14:textId="77777777" w:rsidR="004D2B5D" w:rsidRPr="00087644" w:rsidRDefault="004D2B5D" w:rsidP="004D2B5D"/>
    <w:p w14:paraId="7A65A931" w14:textId="77777777" w:rsidR="004D2B5D" w:rsidRPr="00087644" w:rsidRDefault="004D2B5D" w:rsidP="004D2B5D">
      <w:pPr>
        <w:pStyle w:val="AmNumberTabs"/>
      </w:pPr>
      <w:r w:rsidRPr="00087644">
        <w:t>Alteração</w:t>
      </w:r>
      <w:r w:rsidRPr="00087644">
        <w:tab/>
      </w:r>
      <w:r w:rsidRPr="00087644">
        <w:tab/>
        <w:t>87</w:t>
      </w:r>
    </w:p>
    <w:p w14:paraId="2918C6E5" w14:textId="77777777" w:rsidR="004D2B5D" w:rsidRPr="00087644" w:rsidRDefault="004D2B5D" w:rsidP="004D2B5D">
      <w:pPr>
        <w:pStyle w:val="NormalBold"/>
      </w:pPr>
      <w:r w:rsidRPr="00087644">
        <w:t>Proposta de regulamento</w:t>
      </w:r>
    </w:p>
    <w:p w14:paraId="3693100A" w14:textId="77777777" w:rsidR="004D2B5D" w:rsidRPr="00087644" w:rsidRDefault="004D2B5D" w:rsidP="004D2B5D">
      <w:pPr>
        <w:pStyle w:val="NormalBold"/>
      </w:pPr>
      <w:r w:rsidRPr="00087644">
        <w:t>Anexo I – parágrafo 1 – ponto 9</w:t>
      </w:r>
    </w:p>
    <w:p w14:paraId="42DB2919" w14:textId="77777777" w:rsidR="004D2B5D" w:rsidRPr="00087644" w:rsidRDefault="004D2B5D" w:rsidP="004D2B5D">
      <w:r w:rsidRPr="00087644">
        <w:t>Regulamento (CE) n.º 1272/2008</w:t>
      </w:r>
    </w:p>
    <w:p w14:paraId="6CC47946" w14:textId="77777777" w:rsidR="004D2B5D" w:rsidRPr="00087644" w:rsidRDefault="004D2B5D" w:rsidP="004D2B5D">
      <w:r w:rsidRPr="00087644">
        <w:t>Anexo I – parte 5 – alínea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271901F4" w14:textId="77777777" w:rsidTr="00D063A2">
        <w:trPr>
          <w:trHeight w:val="240"/>
          <w:jc w:val="center"/>
        </w:trPr>
        <w:tc>
          <w:tcPr>
            <w:tcW w:w="9752" w:type="dxa"/>
            <w:gridSpan w:val="2"/>
            <w:tcBorders>
              <w:top w:val="nil"/>
              <w:left w:val="nil"/>
              <w:bottom w:val="nil"/>
              <w:right w:val="nil"/>
            </w:tcBorders>
          </w:tcPr>
          <w:p w14:paraId="486D606D" w14:textId="77777777" w:rsidR="004D2B5D" w:rsidRPr="00087644" w:rsidRDefault="004D2B5D" w:rsidP="00D063A2"/>
        </w:tc>
      </w:tr>
      <w:tr w:rsidR="004D2B5D" w:rsidRPr="00087644" w14:paraId="5561A44A" w14:textId="77777777" w:rsidTr="00D063A2">
        <w:trPr>
          <w:trHeight w:val="240"/>
          <w:jc w:val="center"/>
        </w:trPr>
        <w:tc>
          <w:tcPr>
            <w:tcW w:w="4876" w:type="dxa"/>
            <w:tcBorders>
              <w:top w:val="nil"/>
              <w:left w:val="nil"/>
              <w:bottom w:val="nil"/>
              <w:right w:val="nil"/>
            </w:tcBorders>
            <w:hideMark/>
          </w:tcPr>
          <w:p w14:paraId="056CA4A4"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33F4E77E" w14:textId="77777777" w:rsidR="004D2B5D" w:rsidRPr="00087644" w:rsidRDefault="004D2B5D" w:rsidP="00D063A2">
            <w:pPr>
              <w:pStyle w:val="AmColumnHeading"/>
            </w:pPr>
            <w:r w:rsidRPr="00087644">
              <w:t>Alteração</w:t>
            </w:r>
          </w:p>
        </w:tc>
      </w:tr>
      <w:tr w:rsidR="004D2B5D" w:rsidRPr="00087644" w14:paraId="14696E62" w14:textId="77777777" w:rsidTr="00D063A2">
        <w:trPr>
          <w:jc w:val="center"/>
        </w:trPr>
        <w:tc>
          <w:tcPr>
            <w:tcW w:w="4876" w:type="dxa"/>
            <w:tcBorders>
              <w:top w:val="nil"/>
              <w:left w:val="nil"/>
              <w:bottom w:val="nil"/>
              <w:right w:val="nil"/>
            </w:tcBorders>
            <w:hideMark/>
          </w:tcPr>
          <w:p w14:paraId="1DE88AB8" w14:textId="77777777" w:rsidR="004D2B5D" w:rsidRPr="00087644" w:rsidRDefault="004D2B5D" w:rsidP="00D063A2">
            <w:pPr>
              <w:pStyle w:val="Normal6a"/>
            </w:pPr>
            <w:r w:rsidRPr="00087644">
              <w:t>(b)</w:t>
            </w:r>
            <w:r w:rsidRPr="00087644">
              <w:tab/>
              <w:t xml:space="preserve">No caso das substâncias ou misturas disponibilizadas em estações de serviço </w:t>
            </w:r>
            <w:r w:rsidRPr="00087644">
              <w:rPr>
                <w:b/>
                <w:i/>
              </w:rPr>
              <w:t>e diretamente bombeadas para um recipiente que seja parte integrante de um veículo e do qual a substância ou mistura, normalmente, não se destina a ser retirada</w:t>
            </w:r>
            <w:r w:rsidRPr="00087644">
              <w:t>, uma cópia dos elementos do rótulo referidos no artigo 17.º, alíneas c) a h), deve ser facultada num local visível na bomba respetiva</w:t>
            </w:r>
            <w:r w:rsidRPr="00087644">
              <w:rPr>
                <w:b/>
                <w:i/>
              </w:rPr>
              <w:t>.</w:t>
            </w:r>
            <w:r w:rsidRPr="00087644">
              <w:t xml:space="preserve"> Não é necessário fornecer o identificador único de fórmula a que se refere o artigo 25.º, n.º 7.</w:t>
            </w:r>
          </w:p>
        </w:tc>
        <w:tc>
          <w:tcPr>
            <w:tcW w:w="4876" w:type="dxa"/>
            <w:tcBorders>
              <w:top w:val="nil"/>
              <w:left w:val="nil"/>
              <w:bottom w:val="nil"/>
              <w:right w:val="nil"/>
            </w:tcBorders>
            <w:hideMark/>
          </w:tcPr>
          <w:p w14:paraId="7D1E7488" w14:textId="77777777" w:rsidR="004D2B5D" w:rsidRPr="00087644" w:rsidRDefault="004D2B5D" w:rsidP="00D063A2">
            <w:pPr>
              <w:pStyle w:val="Normal6a"/>
            </w:pPr>
            <w:r w:rsidRPr="00087644">
              <w:t>(b)</w:t>
            </w:r>
            <w:r w:rsidRPr="00087644">
              <w:tab/>
              <w:t xml:space="preserve">No caso das substâncias ou misturas disponibilizadas em estações de serviço </w:t>
            </w:r>
            <w:r w:rsidRPr="00087644">
              <w:rPr>
                <w:b/>
                <w:i/>
              </w:rPr>
              <w:t>de combustível</w:t>
            </w:r>
            <w:r w:rsidRPr="00087644">
              <w:t xml:space="preserve">, uma cópia dos </w:t>
            </w:r>
            <w:r w:rsidRPr="00087644">
              <w:rPr>
                <w:b/>
                <w:i/>
              </w:rPr>
              <w:t>seguintes</w:t>
            </w:r>
            <w:r w:rsidRPr="00087644">
              <w:t xml:space="preserve"> elementos do rótulo referidos no artigo 17.º, </w:t>
            </w:r>
            <w:r w:rsidRPr="00087644">
              <w:rPr>
                <w:b/>
                <w:i/>
              </w:rPr>
              <w:t>n.º 1,</w:t>
            </w:r>
            <w:r w:rsidRPr="00087644">
              <w:t xml:space="preserve"> alíneas c) a h), deve ser facultada num local visível na bomba respetiva </w:t>
            </w:r>
            <w:r w:rsidRPr="00087644">
              <w:rPr>
                <w:b/>
                <w:i/>
              </w:rPr>
              <w:t>ou ao seu lado:</w:t>
            </w:r>
            <w:r w:rsidRPr="00087644">
              <w:t xml:space="preserve"> Não é necessário fornecer o identificador único de fórmula a que se refere o artigo 25.º, n.º 7.</w:t>
            </w:r>
          </w:p>
        </w:tc>
      </w:tr>
    </w:tbl>
    <w:p w14:paraId="2BBC6B83" w14:textId="77777777" w:rsidR="004D2B5D" w:rsidRPr="00087644" w:rsidRDefault="004D2B5D" w:rsidP="004D2B5D"/>
    <w:p w14:paraId="7675461F" w14:textId="77777777" w:rsidR="004D2B5D" w:rsidRPr="00087644" w:rsidRDefault="004D2B5D" w:rsidP="004D2B5D">
      <w:pPr>
        <w:pStyle w:val="AmNumberTabs"/>
      </w:pPr>
      <w:r w:rsidRPr="00087644">
        <w:t>Alteração</w:t>
      </w:r>
      <w:r w:rsidRPr="00087644">
        <w:tab/>
      </w:r>
      <w:r w:rsidRPr="00087644">
        <w:tab/>
        <w:t>88</w:t>
      </w:r>
    </w:p>
    <w:p w14:paraId="0C1002AF" w14:textId="77777777" w:rsidR="004D2B5D" w:rsidRPr="00087644" w:rsidRDefault="004D2B5D" w:rsidP="004D2B5D">
      <w:pPr>
        <w:pStyle w:val="NormalBold"/>
      </w:pPr>
      <w:r w:rsidRPr="00087644">
        <w:t>Proposta de regulamento</w:t>
      </w:r>
    </w:p>
    <w:p w14:paraId="5D43AAF2" w14:textId="77777777" w:rsidR="004D2B5D" w:rsidRPr="00087644" w:rsidRDefault="004D2B5D" w:rsidP="004D2B5D">
      <w:pPr>
        <w:pStyle w:val="NormalBold"/>
      </w:pPr>
      <w:r w:rsidRPr="00087644">
        <w:t>Anexo IV – parágrafo 1 – ponto 2 – alínea a</w:t>
      </w:r>
    </w:p>
    <w:p w14:paraId="0801E8AC" w14:textId="32291414" w:rsidR="004D2B5D" w:rsidRPr="00087644" w:rsidRDefault="004D2B5D" w:rsidP="004D2B5D">
      <w:r w:rsidRPr="00087644">
        <w:t>Regulamento (UE) 2019/1009</w:t>
      </w:r>
    </w:p>
    <w:p w14:paraId="4C47D165" w14:textId="77777777" w:rsidR="004D2B5D" w:rsidRPr="00087644" w:rsidRDefault="004D2B5D" w:rsidP="004D2B5D">
      <w:r w:rsidRPr="00087644">
        <w:t>Anexo II – parte II – SUBSTÂNCIAS E MISTURAS À BASE DE MATÉRIAS VIRGENS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7591AA7F" w14:textId="77777777" w:rsidTr="00D063A2">
        <w:trPr>
          <w:trHeight w:val="240"/>
          <w:jc w:val="center"/>
        </w:trPr>
        <w:tc>
          <w:tcPr>
            <w:tcW w:w="9752" w:type="dxa"/>
            <w:gridSpan w:val="2"/>
            <w:tcBorders>
              <w:top w:val="nil"/>
              <w:left w:val="nil"/>
              <w:bottom w:val="nil"/>
              <w:right w:val="nil"/>
            </w:tcBorders>
          </w:tcPr>
          <w:p w14:paraId="7A38F165" w14:textId="77777777" w:rsidR="004D2B5D" w:rsidRPr="00087644" w:rsidRDefault="004D2B5D" w:rsidP="00D063A2"/>
        </w:tc>
      </w:tr>
      <w:tr w:rsidR="004D2B5D" w:rsidRPr="00087644" w14:paraId="2A024E50" w14:textId="77777777" w:rsidTr="00D063A2">
        <w:trPr>
          <w:trHeight w:val="240"/>
          <w:jc w:val="center"/>
        </w:trPr>
        <w:tc>
          <w:tcPr>
            <w:tcW w:w="4876" w:type="dxa"/>
            <w:tcBorders>
              <w:top w:val="nil"/>
              <w:left w:val="nil"/>
              <w:bottom w:val="nil"/>
              <w:right w:val="nil"/>
            </w:tcBorders>
            <w:hideMark/>
          </w:tcPr>
          <w:p w14:paraId="7046BF3F"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6523D07E" w14:textId="77777777" w:rsidR="004D2B5D" w:rsidRPr="00087644" w:rsidRDefault="004D2B5D" w:rsidP="00D063A2">
            <w:pPr>
              <w:pStyle w:val="AmColumnHeading"/>
            </w:pPr>
            <w:r w:rsidRPr="00087644">
              <w:t>Alteração</w:t>
            </w:r>
          </w:p>
        </w:tc>
      </w:tr>
      <w:tr w:rsidR="004D2B5D" w:rsidRPr="00087644" w14:paraId="186DA4F8" w14:textId="77777777" w:rsidTr="00D063A2">
        <w:trPr>
          <w:jc w:val="center"/>
        </w:trPr>
        <w:tc>
          <w:tcPr>
            <w:tcW w:w="4876" w:type="dxa"/>
            <w:tcBorders>
              <w:top w:val="nil"/>
              <w:left w:val="nil"/>
              <w:bottom w:val="nil"/>
              <w:right w:val="nil"/>
            </w:tcBorders>
            <w:hideMark/>
          </w:tcPr>
          <w:p w14:paraId="3583130D" w14:textId="77777777" w:rsidR="004D2B5D" w:rsidRPr="00087644" w:rsidRDefault="004D2B5D" w:rsidP="00D063A2">
            <w:pPr>
              <w:pStyle w:val="Normal6a"/>
            </w:pPr>
            <w:r w:rsidRPr="00087644">
              <w:t>(a)</w:t>
            </w:r>
            <w:r w:rsidRPr="00087644">
              <w:tab/>
              <w:t xml:space="preserve">Na secção CMC 1: SUBSTÂNCIAS E MISTURAS À BASE </w:t>
            </w:r>
            <w:r w:rsidRPr="00087644">
              <w:lastRenderedPageBreak/>
              <w:t xml:space="preserve">DE MATÉRIAS VIRGENS, </w:t>
            </w:r>
            <w:r w:rsidRPr="00087644">
              <w:rPr>
                <w:b/>
                <w:i/>
              </w:rPr>
              <w:t>é suprimido</w:t>
            </w:r>
            <w:r w:rsidRPr="00087644">
              <w:t xml:space="preserve"> o ponto 2;</w:t>
            </w:r>
          </w:p>
        </w:tc>
        <w:tc>
          <w:tcPr>
            <w:tcW w:w="4876" w:type="dxa"/>
            <w:tcBorders>
              <w:top w:val="nil"/>
              <w:left w:val="nil"/>
              <w:bottom w:val="nil"/>
              <w:right w:val="nil"/>
            </w:tcBorders>
            <w:hideMark/>
          </w:tcPr>
          <w:p w14:paraId="007EB836" w14:textId="77777777" w:rsidR="004D2B5D" w:rsidRPr="00087644" w:rsidRDefault="004D2B5D" w:rsidP="00D063A2">
            <w:pPr>
              <w:pStyle w:val="Normal6a"/>
            </w:pPr>
            <w:r w:rsidRPr="00087644">
              <w:lastRenderedPageBreak/>
              <w:t>(a)</w:t>
            </w:r>
            <w:r w:rsidRPr="00087644">
              <w:tab/>
              <w:t xml:space="preserve">Na secção CMC 1: SUBSTÂNCIAS E MISTURAS À BASE </w:t>
            </w:r>
            <w:r w:rsidRPr="00087644">
              <w:lastRenderedPageBreak/>
              <w:t xml:space="preserve">DE MATÉRIAS VIRGENS, o ponto 2 </w:t>
            </w:r>
            <w:r w:rsidRPr="00087644">
              <w:rPr>
                <w:b/>
                <w:i/>
              </w:rPr>
              <w:t>passa a ter a seguinte redação:</w:t>
            </w:r>
          </w:p>
        </w:tc>
      </w:tr>
      <w:tr w:rsidR="004D2B5D" w:rsidRPr="00087644" w14:paraId="58B13C3F" w14:textId="77777777" w:rsidTr="00D063A2">
        <w:trPr>
          <w:jc w:val="center"/>
        </w:trPr>
        <w:tc>
          <w:tcPr>
            <w:tcW w:w="4876" w:type="dxa"/>
            <w:tcBorders>
              <w:top w:val="nil"/>
              <w:left w:val="nil"/>
              <w:bottom w:val="nil"/>
              <w:right w:val="nil"/>
            </w:tcBorders>
          </w:tcPr>
          <w:p w14:paraId="415E7E29" w14:textId="77777777" w:rsidR="004D2B5D" w:rsidRPr="00087644" w:rsidRDefault="004D2B5D" w:rsidP="00D063A2">
            <w:pPr>
              <w:pStyle w:val="Normal6a"/>
            </w:pPr>
          </w:p>
        </w:tc>
        <w:tc>
          <w:tcPr>
            <w:tcW w:w="4876" w:type="dxa"/>
            <w:tcBorders>
              <w:top w:val="nil"/>
              <w:left w:val="nil"/>
              <w:bottom w:val="nil"/>
              <w:right w:val="nil"/>
            </w:tcBorders>
            <w:hideMark/>
          </w:tcPr>
          <w:p w14:paraId="611AB57C" w14:textId="77777777" w:rsidR="004D2B5D" w:rsidRPr="00087644" w:rsidRDefault="004D2B5D" w:rsidP="00D063A2">
            <w:pPr>
              <w:pStyle w:val="Normal6a"/>
            </w:pPr>
            <w:r w:rsidRPr="00087644">
              <w:rPr>
                <w:b/>
                <w:i/>
              </w:rPr>
              <w:t>«a) As substâncias classificadas no anexo VI, parte 3, do Regulamento (CE) n.º 1272/2008 numa das seguintes classes ou categorias de perigo:</w:t>
            </w:r>
          </w:p>
        </w:tc>
      </w:tr>
      <w:tr w:rsidR="004D2B5D" w:rsidRPr="00087644" w14:paraId="3B55347E" w14:textId="77777777" w:rsidTr="00D063A2">
        <w:trPr>
          <w:jc w:val="center"/>
        </w:trPr>
        <w:tc>
          <w:tcPr>
            <w:tcW w:w="4876" w:type="dxa"/>
            <w:tcBorders>
              <w:top w:val="nil"/>
              <w:left w:val="nil"/>
              <w:bottom w:val="nil"/>
              <w:right w:val="nil"/>
            </w:tcBorders>
          </w:tcPr>
          <w:p w14:paraId="226133CD" w14:textId="77777777" w:rsidR="004D2B5D" w:rsidRPr="00087644" w:rsidRDefault="004D2B5D" w:rsidP="00D063A2">
            <w:pPr>
              <w:pStyle w:val="Normal6a"/>
            </w:pPr>
          </w:p>
        </w:tc>
        <w:tc>
          <w:tcPr>
            <w:tcW w:w="4876" w:type="dxa"/>
            <w:tcBorders>
              <w:top w:val="nil"/>
              <w:left w:val="nil"/>
              <w:bottom w:val="nil"/>
              <w:right w:val="nil"/>
            </w:tcBorders>
            <w:hideMark/>
          </w:tcPr>
          <w:p w14:paraId="060CFD11" w14:textId="77777777" w:rsidR="004D2B5D" w:rsidRPr="00087644" w:rsidRDefault="004D2B5D" w:rsidP="00D063A2">
            <w:pPr>
              <w:pStyle w:val="Normal6a"/>
            </w:pPr>
            <w:r w:rsidRPr="00087644">
              <w:rPr>
                <w:b/>
                <w:i/>
              </w:rPr>
              <w:noBreakHyphen/>
              <w:t xml:space="preserve"> </w:t>
            </w:r>
            <w:proofErr w:type="spellStart"/>
            <w:r w:rsidRPr="00087644">
              <w:rPr>
                <w:b/>
                <w:i/>
              </w:rPr>
              <w:t>Mutagenicidade</w:t>
            </w:r>
            <w:proofErr w:type="spellEnd"/>
            <w:r w:rsidRPr="00087644">
              <w:rPr>
                <w:b/>
                <w:i/>
              </w:rPr>
              <w:t xml:space="preserve"> em células germinativas, categoria 1A ou 1B</w:t>
            </w:r>
            <w:r w:rsidRPr="00087644">
              <w:t>;</w:t>
            </w:r>
          </w:p>
        </w:tc>
      </w:tr>
      <w:tr w:rsidR="004D2B5D" w:rsidRPr="00087644" w14:paraId="6557FEE6" w14:textId="77777777" w:rsidTr="00D063A2">
        <w:trPr>
          <w:jc w:val="center"/>
        </w:trPr>
        <w:tc>
          <w:tcPr>
            <w:tcW w:w="4876" w:type="dxa"/>
            <w:tcBorders>
              <w:top w:val="nil"/>
              <w:left w:val="nil"/>
              <w:bottom w:val="nil"/>
              <w:right w:val="nil"/>
            </w:tcBorders>
          </w:tcPr>
          <w:p w14:paraId="4ECB8BE8" w14:textId="77777777" w:rsidR="004D2B5D" w:rsidRPr="00087644" w:rsidRDefault="004D2B5D" w:rsidP="00D063A2">
            <w:pPr>
              <w:pStyle w:val="Normal6a"/>
            </w:pPr>
          </w:p>
        </w:tc>
        <w:tc>
          <w:tcPr>
            <w:tcW w:w="4876" w:type="dxa"/>
            <w:tcBorders>
              <w:top w:val="nil"/>
              <w:left w:val="nil"/>
              <w:bottom w:val="nil"/>
              <w:right w:val="nil"/>
            </w:tcBorders>
            <w:hideMark/>
          </w:tcPr>
          <w:p w14:paraId="71C31DB8" w14:textId="77777777" w:rsidR="004D2B5D" w:rsidRPr="00087644" w:rsidRDefault="004D2B5D" w:rsidP="00D063A2">
            <w:pPr>
              <w:pStyle w:val="Normal6a"/>
            </w:pPr>
            <w:r w:rsidRPr="00087644">
              <w:rPr>
                <w:b/>
                <w:i/>
              </w:rPr>
              <w:noBreakHyphen/>
              <w:t xml:space="preserve"> Carcinogenicidade, categorias 1A ou 1B;</w:t>
            </w:r>
          </w:p>
        </w:tc>
      </w:tr>
      <w:tr w:rsidR="004D2B5D" w:rsidRPr="00087644" w14:paraId="2E4A1CE4" w14:textId="77777777" w:rsidTr="00D063A2">
        <w:trPr>
          <w:jc w:val="center"/>
        </w:trPr>
        <w:tc>
          <w:tcPr>
            <w:tcW w:w="4876" w:type="dxa"/>
            <w:tcBorders>
              <w:top w:val="nil"/>
              <w:left w:val="nil"/>
              <w:bottom w:val="nil"/>
              <w:right w:val="nil"/>
            </w:tcBorders>
          </w:tcPr>
          <w:p w14:paraId="7BDA9C7C" w14:textId="77777777" w:rsidR="004D2B5D" w:rsidRPr="00087644" w:rsidRDefault="004D2B5D" w:rsidP="00D063A2">
            <w:pPr>
              <w:pStyle w:val="Normal6a"/>
            </w:pPr>
          </w:p>
        </w:tc>
        <w:tc>
          <w:tcPr>
            <w:tcW w:w="4876" w:type="dxa"/>
            <w:tcBorders>
              <w:top w:val="nil"/>
              <w:left w:val="nil"/>
              <w:bottom w:val="nil"/>
              <w:right w:val="nil"/>
            </w:tcBorders>
            <w:hideMark/>
          </w:tcPr>
          <w:p w14:paraId="0CB24693" w14:textId="77777777" w:rsidR="004D2B5D" w:rsidRPr="00087644" w:rsidRDefault="004D2B5D" w:rsidP="00D063A2">
            <w:pPr>
              <w:pStyle w:val="Normal6a"/>
            </w:pPr>
            <w:r w:rsidRPr="00087644">
              <w:rPr>
                <w:b/>
                <w:i/>
              </w:rPr>
              <w:noBreakHyphen/>
              <w:t xml:space="preserve"> Toxicidade reprodutiva, categorias 1A ou 1B;</w:t>
            </w:r>
          </w:p>
        </w:tc>
      </w:tr>
      <w:tr w:rsidR="004D2B5D" w:rsidRPr="00087644" w14:paraId="5B50AFA0" w14:textId="77777777" w:rsidTr="00D063A2">
        <w:trPr>
          <w:jc w:val="center"/>
        </w:trPr>
        <w:tc>
          <w:tcPr>
            <w:tcW w:w="4876" w:type="dxa"/>
            <w:tcBorders>
              <w:top w:val="nil"/>
              <w:left w:val="nil"/>
              <w:bottom w:val="nil"/>
              <w:right w:val="nil"/>
            </w:tcBorders>
          </w:tcPr>
          <w:p w14:paraId="6C43261A" w14:textId="77777777" w:rsidR="004D2B5D" w:rsidRPr="00087644" w:rsidRDefault="004D2B5D" w:rsidP="00D063A2">
            <w:pPr>
              <w:pStyle w:val="Normal6a"/>
            </w:pPr>
          </w:p>
        </w:tc>
        <w:tc>
          <w:tcPr>
            <w:tcW w:w="4876" w:type="dxa"/>
            <w:tcBorders>
              <w:top w:val="nil"/>
              <w:left w:val="nil"/>
              <w:bottom w:val="nil"/>
              <w:right w:val="nil"/>
            </w:tcBorders>
            <w:hideMark/>
          </w:tcPr>
          <w:p w14:paraId="67199407" w14:textId="77777777" w:rsidR="004D2B5D" w:rsidRPr="00087644" w:rsidRDefault="004D2B5D" w:rsidP="00D063A2">
            <w:pPr>
              <w:pStyle w:val="Normal6a"/>
            </w:pPr>
            <w:r w:rsidRPr="00087644">
              <w:rPr>
                <w:b/>
                <w:i/>
              </w:rPr>
              <w:noBreakHyphen/>
              <w:t xml:space="preserve"> Toxicidade para órgãos</w:t>
            </w:r>
            <w:r w:rsidRPr="00087644">
              <w:rPr>
                <w:b/>
                <w:i/>
              </w:rPr>
              <w:noBreakHyphen/>
              <w:t>alvo específicos, exposição repetida, categoria 1;</w:t>
            </w:r>
          </w:p>
        </w:tc>
      </w:tr>
      <w:tr w:rsidR="004D2B5D" w:rsidRPr="00087644" w14:paraId="11810DB6" w14:textId="77777777" w:rsidTr="00D063A2">
        <w:trPr>
          <w:jc w:val="center"/>
        </w:trPr>
        <w:tc>
          <w:tcPr>
            <w:tcW w:w="4876" w:type="dxa"/>
            <w:tcBorders>
              <w:top w:val="nil"/>
              <w:left w:val="nil"/>
              <w:bottom w:val="nil"/>
              <w:right w:val="nil"/>
            </w:tcBorders>
          </w:tcPr>
          <w:p w14:paraId="416E7A39" w14:textId="77777777" w:rsidR="004D2B5D" w:rsidRPr="00087644" w:rsidRDefault="004D2B5D" w:rsidP="00D063A2">
            <w:pPr>
              <w:pStyle w:val="Normal6a"/>
            </w:pPr>
          </w:p>
        </w:tc>
        <w:tc>
          <w:tcPr>
            <w:tcW w:w="4876" w:type="dxa"/>
            <w:tcBorders>
              <w:top w:val="nil"/>
              <w:left w:val="nil"/>
              <w:bottom w:val="nil"/>
              <w:right w:val="nil"/>
            </w:tcBorders>
            <w:hideMark/>
          </w:tcPr>
          <w:p w14:paraId="4653A22A" w14:textId="77777777" w:rsidR="004D2B5D" w:rsidRPr="00087644" w:rsidRDefault="004D2B5D" w:rsidP="00D063A2">
            <w:pPr>
              <w:pStyle w:val="Normal6a"/>
            </w:pPr>
            <w:r w:rsidRPr="00087644">
              <w:rPr>
                <w:b/>
                <w:i/>
              </w:rPr>
              <w:noBreakHyphen/>
              <w:t xml:space="preserve"> </w:t>
            </w:r>
            <w:proofErr w:type="spellStart"/>
            <w:r w:rsidRPr="00087644">
              <w:rPr>
                <w:b/>
                <w:i/>
              </w:rPr>
              <w:t>Desregulador</w:t>
            </w:r>
            <w:proofErr w:type="spellEnd"/>
            <w:r w:rsidRPr="00087644">
              <w:rPr>
                <w:b/>
                <w:i/>
              </w:rPr>
              <w:t xml:space="preserve"> endócrino para a saúde humana, categoria 1;</w:t>
            </w:r>
          </w:p>
        </w:tc>
      </w:tr>
      <w:tr w:rsidR="004D2B5D" w:rsidRPr="00087644" w14:paraId="65B9D6A0" w14:textId="77777777" w:rsidTr="00D063A2">
        <w:trPr>
          <w:jc w:val="center"/>
        </w:trPr>
        <w:tc>
          <w:tcPr>
            <w:tcW w:w="4876" w:type="dxa"/>
            <w:tcBorders>
              <w:top w:val="nil"/>
              <w:left w:val="nil"/>
              <w:bottom w:val="nil"/>
              <w:right w:val="nil"/>
            </w:tcBorders>
          </w:tcPr>
          <w:p w14:paraId="1EF7BA8A" w14:textId="77777777" w:rsidR="004D2B5D" w:rsidRPr="00087644" w:rsidRDefault="004D2B5D" w:rsidP="00D063A2">
            <w:pPr>
              <w:pStyle w:val="Normal6a"/>
            </w:pPr>
          </w:p>
        </w:tc>
        <w:tc>
          <w:tcPr>
            <w:tcW w:w="4876" w:type="dxa"/>
            <w:tcBorders>
              <w:top w:val="nil"/>
              <w:left w:val="nil"/>
              <w:bottom w:val="nil"/>
              <w:right w:val="nil"/>
            </w:tcBorders>
            <w:hideMark/>
          </w:tcPr>
          <w:p w14:paraId="20BBF52F" w14:textId="77777777" w:rsidR="004D2B5D" w:rsidRPr="00087644" w:rsidRDefault="004D2B5D" w:rsidP="00D063A2">
            <w:pPr>
              <w:pStyle w:val="Normal6a"/>
            </w:pPr>
            <w:r w:rsidRPr="00087644">
              <w:rPr>
                <w:b/>
                <w:i/>
              </w:rPr>
              <w:noBreakHyphen/>
              <w:t xml:space="preserve"> </w:t>
            </w:r>
            <w:proofErr w:type="spellStart"/>
            <w:r w:rsidRPr="00087644">
              <w:rPr>
                <w:b/>
                <w:i/>
              </w:rPr>
              <w:t>Desregulador</w:t>
            </w:r>
            <w:proofErr w:type="spellEnd"/>
            <w:r w:rsidRPr="00087644">
              <w:rPr>
                <w:b/>
                <w:i/>
              </w:rPr>
              <w:t xml:space="preserve"> endócrino para o ambiente, categoria 1; e</w:t>
            </w:r>
          </w:p>
        </w:tc>
      </w:tr>
      <w:tr w:rsidR="004D2B5D" w:rsidRPr="00087644" w14:paraId="657B9FCE" w14:textId="77777777" w:rsidTr="00D063A2">
        <w:trPr>
          <w:jc w:val="center"/>
        </w:trPr>
        <w:tc>
          <w:tcPr>
            <w:tcW w:w="4876" w:type="dxa"/>
            <w:tcBorders>
              <w:top w:val="nil"/>
              <w:left w:val="nil"/>
              <w:bottom w:val="nil"/>
              <w:right w:val="nil"/>
            </w:tcBorders>
          </w:tcPr>
          <w:p w14:paraId="256BAE10" w14:textId="77777777" w:rsidR="004D2B5D" w:rsidRPr="00087644" w:rsidRDefault="004D2B5D" w:rsidP="00D063A2">
            <w:pPr>
              <w:pStyle w:val="Normal6a"/>
            </w:pPr>
          </w:p>
        </w:tc>
        <w:tc>
          <w:tcPr>
            <w:tcW w:w="4876" w:type="dxa"/>
            <w:tcBorders>
              <w:top w:val="nil"/>
              <w:left w:val="nil"/>
              <w:bottom w:val="nil"/>
              <w:right w:val="nil"/>
            </w:tcBorders>
            <w:hideMark/>
          </w:tcPr>
          <w:p w14:paraId="2F0171E8" w14:textId="77777777" w:rsidR="004D2B5D" w:rsidRPr="00087644" w:rsidRDefault="004D2B5D" w:rsidP="00D063A2">
            <w:pPr>
              <w:pStyle w:val="Normal6a"/>
            </w:pPr>
            <w:r w:rsidRPr="00087644">
              <w:rPr>
                <w:b/>
                <w:i/>
              </w:rPr>
              <w:noBreakHyphen/>
              <w:t xml:space="preserve"> Propriedades persistentes, bioacumuláveis e tóxicas ou muito persistentes e muito bioacumuláveis,</w:t>
            </w:r>
          </w:p>
        </w:tc>
      </w:tr>
      <w:tr w:rsidR="004D2B5D" w:rsidRPr="00087644" w14:paraId="7BD17C96" w14:textId="77777777" w:rsidTr="00D063A2">
        <w:trPr>
          <w:jc w:val="center"/>
        </w:trPr>
        <w:tc>
          <w:tcPr>
            <w:tcW w:w="4876" w:type="dxa"/>
            <w:tcBorders>
              <w:top w:val="nil"/>
              <w:left w:val="nil"/>
              <w:bottom w:val="nil"/>
              <w:right w:val="nil"/>
            </w:tcBorders>
          </w:tcPr>
          <w:p w14:paraId="52AE8976" w14:textId="77777777" w:rsidR="004D2B5D" w:rsidRPr="00087644" w:rsidRDefault="004D2B5D" w:rsidP="00D063A2">
            <w:pPr>
              <w:pStyle w:val="Normal6a"/>
            </w:pPr>
          </w:p>
        </w:tc>
        <w:tc>
          <w:tcPr>
            <w:tcW w:w="4876" w:type="dxa"/>
            <w:tcBorders>
              <w:top w:val="nil"/>
              <w:left w:val="nil"/>
              <w:bottom w:val="nil"/>
              <w:right w:val="nil"/>
            </w:tcBorders>
            <w:hideMark/>
          </w:tcPr>
          <w:p w14:paraId="0CDC55BA" w14:textId="77777777" w:rsidR="004D2B5D" w:rsidRPr="00087644" w:rsidRDefault="004D2B5D" w:rsidP="00D063A2">
            <w:pPr>
              <w:pStyle w:val="Normal6a"/>
            </w:pPr>
            <w:r w:rsidRPr="00087644">
              <w:rPr>
                <w:b/>
                <w:i/>
              </w:rPr>
              <w:t>cujas quantidades reais colocadas no mercado são inferiores a 10 toneladas por ano, intencionalmente incorporadas no produto fertilizante UE, individualmente ou em mistura, numa concentração igual ou inferior aos valores</w:t>
            </w:r>
            <w:r w:rsidRPr="00087644">
              <w:rPr>
                <w:b/>
                <w:i/>
              </w:rPr>
              <w:noBreakHyphen/>
              <w:t>limite previstos no artigo 11.º, n.º 3, do Regulamento (CE) n.º 1272/2008, devem ter sido registadas nos termos do Regulamento (CE) n.º 1907/2006, com um dossiê que contenha:</w:t>
            </w:r>
          </w:p>
        </w:tc>
      </w:tr>
      <w:tr w:rsidR="004D2B5D" w:rsidRPr="00087644" w14:paraId="11CD96F4" w14:textId="77777777" w:rsidTr="00D063A2">
        <w:trPr>
          <w:jc w:val="center"/>
        </w:trPr>
        <w:tc>
          <w:tcPr>
            <w:tcW w:w="4876" w:type="dxa"/>
            <w:tcBorders>
              <w:top w:val="nil"/>
              <w:left w:val="nil"/>
              <w:bottom w:val="nil"/>
              <w:right w:val="nil"/>
            </w:tcBorders>
          </w:tcPr>
          <w:p w14:paraId="2EA5734A" w14:textId="77777777" w:rsidR="004D2B5D" w:rsidRPr="00087644" w:rsidRDefault="004D2B5D" w:rsidP="00D063A2">
            <w:pPr>
              <w:pStyle w:val="Normal6a"/>
            </w:pPr>
          </w:p>
        </w:tc>
        <w:tc>
          <w:tcPr>
            <w:tcW w:w="4876" w:type="dxa"/>
            <w:tcBorders>
              <w:top w:val="nil"/>
              <w:left w:val="nil"/>
              <w:bottom w:val="nil"/>
              <w:right w:val="nil"/>
            </w:tcBorders>
            <w:hideMark/>
          </w:tcPr>
          <w:p w14:paraId="1C44ADD5" w14:textId="77777777" w:rsidR="004D2B5D" w:rsidRPr="00087644" w:rsidRDefault="004D2B5D" w:rsidP="00D063A2">
            <w:pPr>
              <w:pStyle w:val="Normal6a"/>
            </w:pPr>
            <w:r w:rsidRPr="00087644">
              <w:rPr>
                <w:b/>
                <w:i/>
              </w:rPr>
              <w:t>i) as informações previstas nos anexos VI e VII e, na medida em que sejam pertinentes e estejam disponíveis, no anexo VIII do Regulamento (CE) n.º 1907/2006, com base nos dados disponíveis, em métodos alternativos nos termos do artigo 13.º e em adaptações nos termos do anexo XI, e a realização de novos ensaios em animais vertebrados apenas como último recurso e quando pertinente, e</w:t>
            </w:r>
          </w:p>
        </w:tc>
      </w:tr>
      <w:tr w:rsidR="004D2B5D" w:rsidRPr="00087644" w14:paraId="1B0AAF07" w14:textId="77777777" w:rsidTr="00D063A2">
        <w:trPr>
          <w:jc w:val="center"/>
        </w:trPr>
        <w:tc>
          <w:tcPr>
            <w:tcW w:w="4876" w:type="dxa"/>
            <w:tcBorders>
              <w:top w:val="nil"/>
              <w:left w:val="nil"/>
              <w:bottom w:val="nil"/>
              <w:right w:val="nil"/>
            </w:tcBorders>
          </w:tcPr>
          <w:p w14:paraId="1724C890" w14:textId="77777777" w:rsidR="004D2B5D" w:rsidRPr="00087644" w:rsidRDefault="004D2B5D" w:rsidP="00D063A2">
            <w:pPr>
              <w:pStyle w:val="Normal6a"/>
            </w:pPr>
          </w:p>
        </w:tc>
        <w:tc>
          <w:tcPr>
            <w:tcW w:w="4876" w:type="dxa"/>
            <w:tcBorders>
              <w:top w:val="nil"/>
              <w:left w:val="nil"/>
              <w:bottom w:val="nil"/>
              <w:right w:val="nil"/>
            </w:tcBorders>
            <w:hideMark/>
          </w:tcPr>
          <w:p w14:paraId="792EFF72" w14:textId="6CF406A0" w:rsidR="004D2B5D" w:rsidRPr="00087644" w:rsidRDefault="004D2B5D" w:rsidP="00D063A2">
            <w:pPr>
              <w:pStyle w:val="Normal6a"/>
            </w:pPr>
            <w:proofErr w:type="spellStart"/>
            <w:r w:rsidRPr="00087644">
              <w:rPr>
                <w:b/>
                <w:i/>
              </w:rPr>
              <w:t>ii</w:t>
            </w:r>
            <w:proofErr w:type="spellEnd"/>
            <w:r w:rsidRPr="00087644">
              <w:rPr>
                <w:b/>
                <w:i/>
              </w:rPr>
              <w:t xml:space="preserve">) um relatório sobre a segurança química, nos termos do artigo 14.º do Regulamento (CE) n.º 1907/2006, </w:t>
            </w:r>
            <w:r w:rsidRPr="00087644">
              <w:rPr>
                <w:b/>
                <w:i/>
              </w:rPr>
              <w:lastRenderedPageBreak/>
              <w:t>estritamente limitado aos cenários de exposição relacionados com a utilização agronómica e o ambiente, salvo se estiverem expressamente abrangidas por uma das isenções ao registo obrigatório previstas no artigo 9.º do Regulamento (CE) n.º 1907/2006, exclusivamente para fins de investigação e desenvolvimento científicos, no anexo IV do Regulamento (CE) n.º 1907/2006 ou no anexo V, pontos 6, 7, 8, 9 ou 10 (apenas para a magnésia), do mesmo regulamento.</w:t>
            </w:r>
          </w:p>
        </w:tc>
      </w:tr>
      <w:tr w:rsidR="004D2B5D" w:rsidRPr="00087644" w14:paraId="17F696A0" w14:textId="77777777" w:rsidTr="00D063A2">
        <w:trPr>
          <w:jc w:val="center"/>
        </w:trPr>
        <w:tc>
          <w:tcPr>
            <w:tcW w:w="4876" w:type="dxa"/>
            <w:tcBorders>
              <w:top w:val="nil"/>
              <w:left w:val="nil"/>
              <w:bottom w:val="nil"/>
              <w:right w:val="nil"/>
            </w:tcBorders>
          </w:tcPr>
          <w:p w14:paraId="03E967B4" w14:textId="77777777" w:rsidR="004D2B5D" w:rsidRPr="00087644" w:rsidRDefault="004D2B5D" w:rsidP="00D063A2">
            <w:pPr>
              <w:pStyle w:val="Normal6a"/>
            </w:pPr>
          </w:p>
        </w:tc>
        <w:tc>
          <w:tcPr>
            <w:tcW w:w="4876" w:type="dxa"/>
            <w:tcBorders>
              <w:top w:val="nil"/>
              <w:left w:val="nil"/>
              <w:bottom w:val="nil"/>
              <w:right w:val="nil"/>
            </w:tcBorders>
            <w:hideMark/>
          </w:tcPr>
          <w:p w14:paraId="2C3C14CC" w14:textId="77777777" w:rsidR="004D2B5D" w:rsidRPr="00087644" w:rsidRDefault="004D2B5D" w:rsidP="00D063A2">
            <w:pPr>
              <w:pStyle w:val="Normal6a"/>
            </w:pPr>
            <w:r w:rsidRPr="00087644">
              <w:rPr>
                <w:b/>
                <w:i/>
              </w:rPr>
              <w:t>b) Os polímeros estão isentos do disposto na alínea a).»</w:t>
            </w:r>
          </w:p>
        </w:tc>
      </w:tr>
    </w:tbl>
    <w:p w14:paraId="69FD3AA9" w14:textId="77777777" w:rsidR="004D2B5D" w:rsidRPr="00087644" w:rsidRDefault="004D2B5D" w:rsidP="004D2B5D"/>
    <w:p w14:paraId="32C04AA0" w14:textId="77777777" w:rsidR="004D2B5D" w:rsidRPr="00087644" w:rsidRDefault="004D2B5D" w:rsidP="004D2B5D">
      <w:pPr>
        <w:pStyle w:val="AmNumberTabs"/>
      </w:pPr>
      <w:r w:rsidRPr="00087644">
        <w:t>Alteração</w:t>
      </w:r>
      <w:r w:rsidRPr="00087644">
        <w:tab/>
      </w:r>
      <w:r w:rsidRPr="00087644">
        <w:tab/>
        <w:t>89</w:t>
      </w:r>
    </w:p>
    <w:p w14:paraId="15FB9ED0" w14:textId="77777777" w:rsidR="004D2B5D" w:rsidRPr="00087644" w:rsidRDefault="004D2B5D" w:rsidP="004D2B5D">
      <w:pPr>
        <w:pStyle w:val="NormalBold"/>
      </w:pPr>
      <w:r w:rsidRPr="00087644">
        <w:t>Proposta de regulamento</w:t>
      </w:r>
    </w:p>
    <w:p w14:paraId="71085E5D" w14:textId="77777777" w:rsidR="004D2B5D" w:rsidRPr="00087644" w:rsidRDefault="004D2B5D" w:rsidP="004D2B5D">
      <w:pPr>
        <w:pStyle w:val="NormalBold"/>
      </w:pPr>
      <w:r w:rsidRPr="00087644">
        <w:t>Anexo IV – parágrafo 1 – ponto 2 – alínea f</w:t>
      </w:r>
    </w:p>
    <w:p w14:paraId="6918F697" w14:textId="68AF0D47" w:rsidR="004D2B5D" w:rsidRPr="00087644" w:rsidRDefault="004D2B5D" w:rsidP="004D2B5D">
      <w:r w:rsidRPr="00087644">
        <w:t>Regulamento (UE) 2019/1009</w:t>
      </w:r>
    </w:p>
    <w:p w14:paraId="7DB8F2C4" w14:textId="77777777" w:rsidR="004D2B5D" w:rsidRPr="00087644" w:rsidRDefault="004D2B5D" w:rsidP="004D2B5D">
      <w:r w:rsidRPr="00087644">
        <w:t>Anexo II – parte II – CMC 8: POLÍMEROS DE NUTRIENTES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B5D" w:rsidRPr="00087644" w14:paraId="12780CBC" w14:textId="77777777" w:rsidTr="00D063A2">
        <w:trPr>
          <w:trHeight w:val="240"/>
          <w:jc w:val="center"/>
        </w:trPr>
        <w:tc>
          <w:tcPr>
            <w:tcW w:w="9752" w:type="dxa"/>
            <w:gridSpan w:val="2"/>
            <w:tcBorders>
              <w:top w:val="nil"/>
              <w:left w:val="nil"/>
              <w:bottom w:val="nil"/>
              <w:right w:val="nil"/>
            </w:tcBorders>
          </w:tcPr>
          <w:p w14:paraId="3B464955" w14:textId="77777777" w:rsidR="004D2B5D" w:rsidRPr="00087644" w:rsidRDefault="004D2B5D" w:rsidP="00D063A2"/>
        </w:tc>
      </w:tr>
      <w:tr w:rsidR="004D2B5D" w:rsidRPr="00087644" w14:paraId="6D36DDA3" w14:textId="77777777" w:rsidTr="00D063A2">
        <w:trPr>
          <w:trHeight w:val="240"/>
          <w:jc w:val="center"/>
        </w:trPr>
        <w:tc>
          <w:tcPr>
            <w:tcW w:w="4876" w:type="dxa"/>
            <w:tcBorders>
              <w:top w:val="nil"/>
              <w:left w:val="nil"/>
              <w:bottom w:val="nil"/>
              <w:right w:val="nil"/>
            </w:tcBorders>
            <w:hideMark/>
          </w:tcPr>
          <w:p w14:paraId="228D4D62" w14:textId="77777777" w:rsidR="004D2B5D" w:rsidRPr="00087644" w:rsidRDefault="004D2B5D" w:rsidP="00D063A2">
            <w:pPr>
              <w:pStyle w:val="AmColumnHeading"/>
            </w:pPr>
            <w:r w:rsidRPr="00087644">
              <w:t>Texto da Comissão</w:t>
            </w:r>
          </w:p>
        </w:tc>
        <w:tc>
          <w:tcPr>
            <w:tcW w:w="4876" w:type="dxa"/>
            <w:tcBorders>
              <w:top w:val="nil"/>
              <w:left w:val="nil"/>
              <w:bottom w:val="nil"/>
              <w:right w:val="nil"/>
            </w:tcBorders>
            <w:hideMark/>
          </w:tcPr>
          <w:p w14:paraId="21DE6E36" w14:textId="77777777" w:rsidR="004D2B5D" w:rsidRPr="00087644" w:rsidRDefault="004D2B5D" w:rsidP="00D063A2">
            <w:pPr>
              <w:pStyle w:val="AmColumnHeading"/>
            </w:pPr>
            <w:r w:rsidRPr="00087644">
              <w:t>Alteração</w:t>
            </w:r>
          </w:p>
        </w:tc>
      </w:tr>
      <w:tr w:rsidR="004D2B5D" w:rsidRPr="00087644" w14:paraId="6E77FE44" w14:textId="77777777" w:rsidTr="00D063A2">
        <w:trPr>
          <w:jc w:val="center"/>
        </w:trPr>
        <w:tc>
          <w:tcPr>
            <w:tcW w:w="4876" w:type="dxa"/>
            <w:tcBorders>
              <w:top w:val="nil"/>
              <w:left w:val="nil"/>
              <w:bottom w:val="nil"/>
              <w:right w:val="nil"/>
            </w:tcBorders>
            <w:hideMark/>
          </w:tcPr>
          <w:p w14:paraId="6CE1B61D" w14:textId="77777777" w:rsidR="004D2B5D" w:rsidRPr="00087644" w:rsidRDefault="004D2B5D" w:rsidP="00D063A2">
            <w:pPr>
              <w:pStyle w:val="Normal6a"/>
            </w:pPr>
            <w:r w:rsidRPr="00087644">
              <w:t>1.</w:t>
            </w:r>
            <w:r w:rsidRPr="00087644">
              <w:tab/>
              <w:t>Um produto fertilizante UE pode conter polímeros constituídos exclusivamente por substâncias monoméricas conformes com os critérios estabelecidos no ponto 1 da CMC 1, se o objetivo da polimerização consistir em controlar a libertação de nutrientes de uma ou mais substâncias monoméricas.</w:t>
            </w:r>
            <w:r w:rsidRPr="00087644">
              <w:rPr>
                <w:b/>
                <w:i/>
              </w:rPr>
              <w:t>;</w:t>
            </w:r>
          </w:p>
        </w:tc>
        <w:tc>
          <w:tcPr>
            <w:tcW w:w="4876" w:type="dxa"/>
            <w:tcBorders>
              <w:top w:val="nil"/>
              <w:left w:val="nil"/>
              <w:bottom w:val="nil"/>
              <w:right w:val="nil"/>
            </w:tcBorders>
            <w:hideMark/>
          </w:tcPr>
          <w:p w14:paraId="2A147923" w14:textId="77777777" w:rsidR="004D2B5D" w:rsidRPr="00087644" w:rsidRDefault="004D2B5D" w:rsidP="00D063A2">
            <w:pPr>
              <w:pStyle w:val="Normal6a"/>
            </w:pPr>
            <w:r w:rsidRPr="00087644">
              <w:t>1.</w:t>
            </w:r>
            <w:r w:rsidRPr="00087644">
              <w:tab/>
              <w:t xml:space="preserve">Um produto fertilizante UE pode conter polímeros constituídos exclusivamente por substâncias monoméricas conformes com os critérios estabelecidos no ponto 1 da CMC 1, se o objetivo da polimerização consistir em controlar a libertação de nutrientes de uma ou mais substâncias monoméricas. </w:t>
            </w:r>
            <w:r w:rsidRPr="00087644">
              <w:rPr>
                <w:b/>
                <w:i/>
              </w:rPr>
              <w:t>Além disso, o polímero pode desempenhar outras funções, desde que tal não altere as características de segurança do produto nem comprometa a função de libertação controlada.</w:t>
            </w:r>
          </w:p>
        </w:tc>
      </w:tr>
    </w:tbl>
    <w:p w14:paraId="75B83750" w14:textId="28162E4E" w:rsidR="00E365E1" w:rsidRPr="00087644" w:rsidRDefault="00E365E1" w:rsidP="008B3FFD"/>
    <w:sectPr w:rsidR="00E365E1" w:rsidRPr="00087644" w:rsidSect="006D056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2B418" w14:textId="77777777" w:rsidR="008B3FFD" w:rsidRPr="006D0563" w:rsidRDefault="008B3FFD">
      <w:r w:rsidRPr="006D0563">
        <w:separator/>
      </w:r>
    </w:p>
  </w:endnote>
  <w:endnote w:type="continuationSeparator" w:id="0">
    <w:p w14:paraId="58A8BF7D" w14:textId="77777777" w:rsidR="008B3FFD" w:rsidRPr="006D0563" w:rsidRDefault="008B3FFD">
      <w:r w:rsidRPr="006D05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D7356" w14:textId="77777777" w:rsidR="008B3FFD" w:rsidRPr="006D0563" w:rsidRDefault="008B3FFD">
      <w:r w:rsidRPr="006D0563">
        <w:separator/>
      </w:r>
    </w:p>
  </w:footnote>
  <w:footnote w:type="continuationSeparator" w:id="0">
    <w:p w14:paraId="7B609FBC" w14:textId="77777777" w:rsidR="008B3FFD" w:rsidRPr="006D0563" w:rsidRDefault="008B3FFD">
      <w:r w:rsidRPr="006D0563">
        <w:continuationSeparator/>
      </w:r>
    </w:p>
  </w:footnote>
  <w:footnote w:id="1">
    <w:p w14:paraId="49FC162B" w14:textId="61E45B3D" w:rsidR="004D1983" w:rsidRPr="0019089E" w:rsidRDefault="004D1983" w:rsidP="0019089E">
      <w:pPr>
        <w:pStyle w:val="FootnoteText"/>
        <w:ind w:left="851" w:hanging="851"/>
        <w:rPr>
          <w:sz w:val="24"/>
          <w:szCs w:val="24"/>
          <w:lang w:val="pt-PT"/>
        </w:rPr>
      </w:pPr>
      <w:r w:rsidRPr="0019089E">
        <w:rPr>
          <w:rStyle w:val="FootnoteReference"/>
          <w:sz w:val="24"/>
          <w:szCs w:val="24"/>
        </w:rPr>
        <w:footnoteRef/>
      </w:r>
      <w:r w:rsidRPr="0019089E">
        <w:rPr>
          <w:sz w:val="24"/>
          <w:szCs w:val="24"/>
          <w:lang w:val="pt-PT"/>
        </w:rPr>
        <w:t xml:space="preserve"> </w:t>
      </w:r>
      <w:r w:rsidRPr="0019089E">
        <w:rPr>
          <w:sz w:val="24"/>
          <w:szCs w:val="24"/>
          <w:lang w:val="pt-PT"/>
        </w:rPr>
        <w:tab/>
        <w:t>O assunto foi devolvido à</w:t>
      </w:r>
      <w:r>
        <w:rPr>
          <w:sz w:val="24"/>
          <w:szCs w:val="24"/>
          <w:lang w:val="pt-PT"/>
        </w:rPr>
        <w:t>s</w:t>
      </w:r>
      <w:r w:rsidRPr="0019089E">
        <w:rPr>
          <w:sz w:val="24"/>
          <w:szCs w:val="24"/>
          <w:lang w:val="pt-PT"/>
        </w:rPr>
        <w:t xml:space="preserve"> comiss</w:t>
      </w:r>
      <w:r>
        <w:rPr>
          <w:sz w:val="24"/>
          <w:szCs w:val="24"/>
          <w:lang w:val="pt-PT"/>
        </w:rPr>
        <w:t>ões</w:t>
      </w:r>
      <w:r w:rsidRPr="0019089E">
        <w:rPr>
          <w:sz w:val="24"/>
          <w:szCs w:val="24"/>
          <w:lang w:val="pt-PT"/>
        </w:rPr>
        <w:t xml:space="preserve"> competente</w:t>
      </w:r>
      <w:r>
        <w:rPr>
          <w:sz w:val="24"/>
          <w:szCs w:val="24"/>
          <w:lang w:val="pt-PT"/>
        </w:rPr>
        <w:t>s</w:t>
      </w:r>
      <w:r w:rsidRPr="0019089E">
        <w:rPr>
          <w:sz w:val="24"/>
          <w:szCs w:val="24"/>
          <w:lang w:val="pt-PT"/>
        </w:rPr>
        <w:t xml:space="preserve"> para negociações interinstitucionais, nos termos do artigo 60.º, n.º 4, quarto parágrafo, do Regimento (A10</w:t>
      </w:r>
      <w:r>
        <w:rPr>
          <w:sz w:val="24"/>
          <w:szCs w:val="24"/>
          <w:lang w:val="pt-PT"/>
        </w:rPr>
        <w:t>-</w:t>
      </w:r>
      <w:r w:rsidRPr="004D1983">
        <w:rPr>
          <w:sz w:val="24"/>
          <w:szCs w:val="24"/>
          <w:lang w:val="pt-PT"/>
        </w:rPr>
        <w:t>0104</w:t>
      </w:r>
      <w:r>
        <w:rPr>
          <w:sz w:val="24"/>
          <w:szCs w:val="24"/>
          <w:lang w:val="pt-PT"/>
        </w:rPr>
        <w:t>/</w:t>
      </w:r>
      <w:r w:rsidRPr="0019089E">
        <w:rPr>
          <w:sz w:val="24"/>
          <w:szCs w:val="24"/>
          <w:lang w:val="pt-PT"/>
        </w:rPr>
        <w:t>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7418639">
    <w:abstractNumId w:val="9"/>
  </w:num>
  <w:num w:numId="2" w16cid:durableId="297228608">
    <w:abstractNumId w:val="9"/>
  </w:num>
  <w:num w:numId="3" w16cid:durableId="1800764452">
    <w:abstractNumId w:val="7"/>
  </w:num>
  <w:num w:numId="4" w16cid:durableId="1550073484">
    <w:abstractNumId w:val="7"/>
  </w:num>
  <w:num w:numId="5" w16cid:durableId="900019509">
    <w:abstractNumId w:val="6"/>
  </w:num>
  <w:num w:numId="6" w16cid:durableId="1303341373">
    <w:abstractNumId w:val="6"/>
  </w:num>
  <w:num w:numId="7" w16cid:durableId="1131820907">
    <w:abstractNumId w:val="5"/>
  </w:num>
  <w:num w:numId="8" w16cid:durableId="669929">
    <w:abstractNumId w:val="5"/>
  </w:num>
  <w:num w:numId="9" w16cid:durableId="100423100">
    <w:abstractNumId w:val="4"/>
  </w:num>
  <w:num w:numId="10" w16cid:durableId="1121419032">
    <w:abstractNumId w:val="4"/>
  </w:num>
  <w:num w:numId="11" w16cid:durableId="267082654">
    <w:abstractNumId w:val="8"/>
  </w:num>
  <w:num w:numId="12" w16cid:durableId="122500605">
    <w:abstractNumId w:val="8"/>
  </w:num>
  <w:num w:numId="13" w16cid:durableId="1236403906">
    <w:abstractNumId w:val="3"/>
  </w:num>
  <w:num w:numId="14" w16cid:durableId="306056073">
    <w:abstractNumId w:val="3"/>
  </w:num>
  <w:num w:numId="15" w16cid:durableId="1170101463">
    <w:abstractNumId w:val="2"/>
  </w:num>
  <w:num w:numId="16" w16cid:durableId="975724365">
    <w:abstractNumId w:val="2"/>
  </w:num>
  <w:num w:numId="17" w16cid:durableId="598294064">
    <w:abstractNumId w:val="1"/>
  </w:num>
  <w:num w:numId="18" w16cid:durableId="527568123">
    <w:abstractNumId w:val="1"/>
  </w:num>
  <w:num w:numId="19" w16cid:durableId="2123110601">
    <w:abstractNumId w:val="0"/>
  </w:num>
  <w:num w:numId="20" w16cid:durableId="1906597575">
    <w:abstractNumId w:val="0"/>
  </w:num>
  <w:num w:numId="21" w16cid:durableId="77755826">
    <w:abstractNumId w:val="9"/>
  </w:num>
  <w:num w:numId="22" w16cid:durableId="195121619">
    <w:abstractNumId w:val="7"/>
  </w:num>
  <w:num w:numId="23" w16cid:durableId="1191644916">
    <w:abstractNumId w:val="6"/>
  </w:num>
  <w:num w:numId="24" w16cid:durableId="345637983">
    <w:abstractNumId w:val="5"/>
  </w:num>
  <w:num w:numId="25" w16cid:durableId="249124410">
    <w:abstractNumId w:val="4"/>
  </w:num>
  <w:num w:numId="26" w16cid:durableId="1332220835">
    <w:abstractNumId w:val="8"/>
  </w:num>
  <w:num w:numId="27" w16cid:durableId="1836802899">
    <w:abstractNumId w:val="3"/>
  </w:num>
  <w:num w:numId="28" w16cid:durableId="1817603584">
    <w:abstractNumId w:val="2"/>
  </w:num>
  <w:num w:numId="29" w16cid:durableId="1754475242">
    <w:abstractNumId w:val="1"/>
  </w:num>
  <w:num w:numId="30" w16cid:durableId="1256741707">
    <w:abstractNumId w:val="0"/>
  </w:num>
  <w:num w:numId="31" w16cid:durableId="1889101525">
    <w:abstractNumId w:val="9"/>
  </w:num>
  <w:num w:numId="32" w16cid:durableId="416443014">
    <w:abstractNumId w:val="7"/>
  </w:num>
  <w:num w:numId="33" w16cid:durableId="1951549155">
    <w:abstractNumId w:val="6"/>
  </w:num>
  <w:num w:numId="34" w16cid:durableId="1240286200">
    <w:abstractNumId w:val="5"/>
  </w:num>
  <w:num w:numId="35" w16cid:durableId="1841964630">
    <w:abstractNumId w:val="4"/>
  </w:num>
  <w:num w:numId="36" w16cid:durableId="518203057">
    <w:abstractNumId w:val="8"/>
  </w:num>
  <w:num w:numId="37" w16cid:durableId="1806309341">
    <w:abstractNumId w:val="3"/>
  </w:num>
  <w:num w:numId="38" w16cid:durableId="165244126">
    <w:abstractNumId w:val="2"/>
  </w:num>
  <w:num w:numId="39" w16cid:durableId="1322352335">
    <w:abstractNumId w:val="1"/>
  </w:num>
  <w:num w:numId="40" w16cid:durableId="854228218">
    <w:abstractNumId w:val="0"/>
  </w:num>
  <w:num w:numId="41" w16cid:durableId="1800537089">
    <w:abstractNumId w:val="10"/>
  </w:num>
  <w:num w:numId="42" w16cid:durableId="766458961">
    <w:abstractNumId w:val="10"/>
  </w:num>
  <w:num w:numId="43" w16cid:durableId="1203906618">
    <w:abstractNumId w:val="10"/>
  </w:num>
  <w:num w:numId="44" w16cid:durableId="9588043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4/2026"/>
    <w:docVar w:name="dvlangue" w:val="PT"/>
    <w:docVar w:name="dvnumam" w:val="0"/>
    <w:docVar w:name="dvpe" w:val="783.026"/>
    <w:docVar w:name="dvrapporteur" w:val="Relatores: "/>
    <w:docVar w:name="dvstar" w:val="***I"/>
    <w:docVar w:name="dvtitre" w:val="Resolução legislativa do Parlamento Europeu, de ... de ... de 2026,_x000d__x000a_ sobre a proposta de regulamento do Parlamento Europeu e do Conselho que altera os Regulamentos (CE) n.º 1272/2008, (CE) n.º 1223/2009 e (UE) 2019/1009 no que diz respeito à simplificação de determinados requisitos e procedimentos aplicáveis aos produtos químicos(COM(2025)0531 – C10-0143/2025 – 2025/0531(COD))"/>
  </w:docVars>
  <w:rsids>
    <w:rsidRoot w:val="008B3FFD"/>
    <w:rsid w:val="00002272"/>
    <w:rsid w:val="00064002"/>
    <w:rsid w:val="00067099"/>
    <w:rsid w:val="000677B9"/>
    <w:rsid w:val="000831BA"/>
    <w:rsid w:val="00087644"/>
    <w:rsid w:val="000A3C98"/>
    <w:rsid w:val="000A42CC"/>
    <w:rsid w:val="000C7B72"/>
    <w:rsid w:val="000E7DD9"/>
    <w:rsid w:val="0010095E"/>
    <w:rsid w:val="00125B37"/>
    <w:rsid w:val="00187494"/>
    <w:rsid w:val="0019089E"/>
    <w:rsid w:val="001F32AE"/>
    <w:rsid w:val="00237FB3"/>
    <w:rsid w:val="002767FF"/>
    <w:rsid w:val="002A2F9A"/>
    <w:rsid w:val="002B18FE"/>
    <w:rsid w:val="002B5493"/>
    <w:rsid w:val="002C31A3"/>
    <w:rsid w:val="00343214"/>
    <w:rsid w:val="00361C00"/>
    <w:rsid w:val="00395FA1"/>
    <w:rsid w:val="003E15D4"/>
    <w:rsid w:val="00411CCE"/>
    <w:rsid w:val="0041666E"/>
    <w:rsid w:val="00421060"/>
    <w:rsid w:val="00471C19"/>
    <w:rsid w:val="004867E3"/>
    <w:rsid w:val="00494A28"/>
    <w:rsid w:val="004C0004"/>
    <w:rsid w:val="004C5D52"/>
    <w:rsid w:val="004D1983"/>
    <w:rsid w:val="004D2B5D"/>
    <w:rsid w:val="004D718A"/>
    <w:rsid w:val="0050519A"/>
    <w:rsid w:val="005072A1"/>
    <w:rsid w:val="00514517"/>
    <w:rsid w:val="00545827"/>
    <w:rsid w:val="00560270"/>
    <w:rsid w:val="005C2568"/>
    <w:rsid w:val="005F1B17"/>
    <w:rsid w:val="006037C0"/>
    <w:rsid w:val="006631B6"/>
    <w:rsid w:val="00680577"/>
    <w:rsid w:val="006D0563"/>
    <w:rsid w:val="006F74FA"/>
    <w:rsid w:val="00731ADD"/>
    <w:rsid w:val="00734777"/>
    <w:rsid w:val="00747932"/>
    <w:rsid w:val="00751A4A"/>
    <w:rsid w:val="00756632"/>
    <w:rsid w:val="00762C74"/>
    <w:rsid w:val="00786EC0"/>
    <w:rsid w:val="007A6681"/>
    <w:rsid w:val="007D1690"/>
    <w:rsid w:val="007E22AD"/>
    <w:rsid w:val="00817416"/>
    <w:rsid w:val="00842779"/>
    <w:rsid w:val="00865F67"/>
    <w:rsid w:val="00881A7B"/>
    <w:rsid w:val="008840E5"/>
    <w:rsid w:val="00887B3E"/>
    <w:rsid w:val="008A079E"/>
    <w:rsid w:val="008B3FFD"/>
    <w:rsid w:val="008C2AC6"/>
    <w:rsid w:val="00930C23"/>
    <w:rsid w:val="0093193B"/>
    <w:rsid w:val="009509D8"/>
    <w:rsid w:val="00950B64"/>
    <w:rsid w:val="00981893"/>
    <w:rsid w:val="009E1DF1"/>
    <w:rsid w:val="00A1687D"/>
    <w:rsid w:val="00A43E52"/>
    <w:rsid w:val="00A4678D"/>
    <w:rsid w:val="00A778C7"/>
    <w:rsid w:val="00AB441E"/>
    <w:rsid w:val="00AB6293"/>
    <w:rsid w:val="00AD2CDD"/>
    <w:rsid w:val="00AE0928"/>
    <w:rsid w:val="00AF3B82"/>
    <w:rsid w:val="00B12E95"/>
    <w:rsid w:val="00B22876"/>
    <w:rsid w:val="00B558F0"/>
    <w:rsid w:val="00BD48FE"/>
    <w:rsid w:val="00BD7BD8"/>
    <w:rsid w:val="00BE6ADC"/>
    <w:rsid w:val="00BF13FC"/>
    <w:rsid w:val="00C05BFE"/>
    <w:rsid w:val="00C13C4C"/>
    <w:rsid w:val="00C23CD4"/>
    <w:rsid w:val="00C61C0C"/>
    <w:rsid w:val="00C82AC8"/>
    <w:rsid w:val="00C941CB"/>
    <w:rsid w:val="00CC2357"/>
    <w:rsid w:val="00CF071A"/>
    <w:rsid w:val="00D058B8"/>
    <w:rsid w:val="00D56C11"/>
    <w:rsid w:val="00D834A0"/>
    <w:rsid w:val="00D872DF"/>
    <w:rsid w:val="00D91E21"/>
    <w:rsid w:val="00DA7FCD"/>
    <w:rsid w:val="00E11A2A"/>
    <w:rsid w:val="00E365E1"/>
    <w:rsid w:val="00E820A4"/>
    <w:rsid w:val="00EB006A"/>
    <w:rsid w:val="00EB4716"/>
    <w:rsid w:val="00EB4772"/>
    <w:rsid w:val="00ED169E"/>
    <w:rsid w:val="00ED4235"/>
    <w:rsid w:val="00F04346"/>
    <w:rsid w:val="00F075DC"/>
    <w:rsid w:val="00F149E9"/>
    <w:rsid w:val="00F5134D"/>
    <w:rsid w:val="00F74202"/>
    <w:rsid w:val="00F87713"/>
    <w:rsid w:val="00F937D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A183E6"/>
  <w15:chartTrackingRefBased/>
  <w15:docId w15:val="{51616347-F288-4CB3-9EE0-46AE2E5F7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D2B5D"/>
    <w:rPr>
      <w:b/>
      <w:kern w:val="28"/>
      <w:sz w:val="28"/>
      <w:lang w:val="fr-FR" w:eastAsia="fr-FR"/>
    </w:rPr>
  </w:style>
  <w:style w:type="character" w:customStyle="1" w:styleId="Heading2Char">
    <w:name w:val="Heading 2 Char"/>
    <w:basedOn w:val="DefaultParagraphFont"/>
    <w:link w:val="Heading2"/>
    <w:semiHidden/>
    <w:rsid w:val="004D2B5D"/>
    <w:rPr>
      <w:sz w:val="24"/>
      <w:lang w:val="fr-FR" w:eastAsia="fr-FR"/>
    </w:rPr>
  </w:style>
  <w:style w:type="character" w:customStyle="1" w:styleId="Heading3Char">
    <w:name w:val="Heading 3 Char"/>
    <w:basedOn w:val="DefaultParagraphFont"/>
    <w:link w:val="Heading3"/>
    <w:semiHidden/>
    <w:rsid w:val="004D2B5D"/>
    <w:rPr>
      <w:rFonts w:ascii="Arial" w:hAnsi="Arial"/>
      <w:sz w:val="24"/>
      <w:lang w:val="fr-FR" w:eastAsia="fr-FR"/>
    </w:rPr>
  </w:style>
  <w:style w:type="character" w:customStyle="1" w:styleId="Heading4Char">
    <w:name w:val="Heading 4 Char"/>
    <w:basedOn w:val="DefaultParagraphFont"/>
    <w:link w:val="Heading4"/>
    <w:semiHidden/>
    <w:rsid w:val="004D2B5D"/>
    <w:rPr>
      <w:sz w:val="24"/>
      <w:lang w:val="en-US" w:eastAsia="fr-FR"/>
    </w:rPr>
  </w:style>
  <w:style w:type="character" w:customStyle="1" w:styleId="Heading5Char">
    <w:name w:val="Heading 5 Char"/>
    <w:basedOn w:val="DefaultParagraphFont"/>
    <w:link w:val="Heading5"/>
    <w:semiHidden/>
    <w:rsid w:val="004D2B5D"/>
    <w:rPr>
      <w:sz w:val="24"/>
      <w:lang w:val="en-US" w:eastAsia="fr-FR"/>
    </w:rPr>
  </w:style>
  <w:style w:type="character" w:customStyle="1" w:styleId="Heading6Char">
    <w:name w:val="Heading 6 Char"/>
    <w:basedOn w:val="DefaultParagraphFont"/>
    <w:link w:val="Heading6"/>
    <w:semiHidden/>
    <w:rsid w:val="004D2B5D"/>
    <w:rPr>
      <w:i/>
      <w:sz w:val="22"/>
      <w:lang w:val="pt-PT"/>
    </w:rPr>
  </w:style>
  <w:style w:type="character" w:customStyle="1" w:styleId="Heading7Char">
    <w:name w:val="Heading 7 Char"/>
    <w:basedOn w:val="DefaultParagraphFont"/>
    <w:link w:val="Heading7"/>
    <w:semiHidden/>
    <w:rsid w:val="004D2B5D"/>
    <w:rPr>
      <w:rFonts w:ascii="Arial" w:hAnsi="Arial"/>
      <w:sz w:val="24"/>
      <w:lang w:val="pt-PT"/>
    </w:rPr>
  </w:style>
  <w:style w:type="character" w:customStyle="1" w:styleId="Heading8Char">
    <w:name w:val="Heading 8 Char"/>
    <w:basedOn w:val="DefaultParagraphFont"/>
    <w:link w:val="Heading8"/>
    <w:semiHidden/>
    <w:rsid w:val="004D2B5D"/>
    <w:rPr>
      <w:rFonts w:ascii="Arial" w:hAnsi="Arial"/>
      <w:i/>
      <w:sz w:val="24"/>
      <w:lang w:val="pt-PT"/>
    </w:rPr>
  </w:style>
  <w:style w:type="character" w:customStyle="1" w:styleId="Heading9Char">
    <w:name w:val="Heading 9 Char"/>
    <w:basedOn w:val="DefaultParagraphFont"/>
    <w:link w:val="Heading9"/>
    <w:semiHidden/>
    <w:rsid w:val="004D2B5D"/>
    <w:rPr>
      <w:rFonts w:ascii="Arial" w:hAnsi="Arial"/>
      <w:b/>
      <w:i/>
      <w:sz w:val="18"/>
      <w:lang w:val="pt-PT"/>
    </w:rPr>
  </w:style>
  <w:style w:type="paragraph" w:styleId="TOCHeading">
    <w:name w:val="TOC Heading"/>
    <w:basedOn w:val="Normal"/>
    <w:next w:val="Normal"/>
    <w:unhideWhenUsed/>
    <w:qFormat/>
    <w:rsid w:val="004D2B5D"/>
    <w:pPr>
      <w:widowControl/>
      <w:spacing w:after="240"/>
    </w:pPr>
    <w:rPr>
      <w:lang w:val="en-GB"/>
    </w:rPr>
  </w:style>
  <w:style w:type="paragraph" w:customStyle="1" w:styleId="EPFooter2">
    <w:name w:val="EPFooter2"/>
    <w:basedOn w:val="Normal"/>
    <w:next w:val="Normal"/>
    <w:rsid w:val="004D2B5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D2B5D"/>
    <w:pPr>
      <w:keepNext/>
      <w:spacing w:after="240"/>
      <w:jc w:val="right"/>
    </w:pPr>
    <w:rPr>
      <w:rFonts w:ascii="Arial" w:hAnsi="Arial"/>
      <w:b/>
    </w:rPr>
  </w:style>
  <w:style w:type="paragraph" w:customStyle="1" w:styleId="Normal6a">
    <w:name w:val="Normal6a"/>
    <w:basedOn w:val="Normal"/>
    <w:rsid w:val="004D2B5D"/>
    <w:pPr>
      <w:spacing w:after="120"/>
    </w:pPr>
  </w:style>
  <w:style w:type="paragraph" w:customStyle="1" w:styleId="PageHeading">
    <w:name w:val="PageHeading"/>
    <w:basedOn w:val="Normal"/>
    <w:rsid w:val="004D2B5D"/>
    <w:pPr>
      <w:keepNext/>
      <w:spacing w:after="480"/>
      <w:jc w:val="center"/>
    </w:pPr>
    <w:rPr>
      <w:rFonts w:ascii="Arial" w:hAnsi="Arial" w:cs="Arial"/>
      <w:b/>
    </w:rPr>
  </w:style>
  <w:style w:type="paragraph" w:customStyle="1" w:styleId="NormalBold">
    <w:name w:val="NormalBold"/>
    <w:basedOn w:val="Normal"/>
    <w:link w:val="NormalBoldChar"/>
    <w:rsid w:val="004D2B5D"/>
    <w:rPr>
      <w:b/>
    </w:rPr>
  </w:style>
  <w:style w:type="paragraph" w:customStyle="1" w:styleId="NormalBold12a">
    <w:name w:val="NormalBold12a"/>
    <w:basedOn w:val="Normal"/>
    <w:rsid w:val="004D2B5D"/>
    <w:pPr>
      <w:spacing w:after="240"/>
    </w:pPr>
    <w:rPr>
      <w:b/>
    </w:rPr>
  </w:style>
  <w:style w:type="paragraph" w:customStyle="1" w:styleId="AmJustText">
    <w:name w:val="AmJustText"/>
    <w:basedOn w:val="Normal"/>
    <w:rsid w:val="004D2B5D"/>
    <w:pPr>
      <w:spacing w:after="240"/>
    </w:pPr>
    <w:rPr>
      <w:i/>
    </w:rPr>
  </w:style>
  <w:style w:type="paragraph" w:customStyle="1" w:styleId="NormalHanging12a">
    <w:name w:val="NormalHanging12a"/>
    <w:basedOn w:val="Normal"/>
    <w:rsid w:val="004D2B5D"/>
    <w:pPr>
      <w:spacing w:after="240"/>
      <w:ind w:left="567" w:hanging="567"/>
    </w:pPr>
  </w:style>
  <w:style w:type="paragraph" w:customStyle="1" w:styleId="CoverNormal24a">
    <w:name w:val="CoverNormal24a"/>
    <w:basedOn w:val="Normal"/>
    <w:rsid w:val="004D2B5D"/>
    <w:pPr>
      <w:spacing w:after="480"/>
      <w:ind w:left="1417"/>
    </w:pPr>
  </w:style>
  <w:style w:type="paragraph" w:customStyle="1" w:styleId="CoverNormal">
    <w:name w:val="CoverNormal"/>
    <w:basedOn w:val="Normal"/>
    <w:rsid w:val="004D2B5D"/>
    <w:pPr>
      <w:ind w:left="1418"/>
    </w:pPr>
  </w:style>
  <w:style w:type="paragraph" w:customStyle="1" w:styleId="AmCrossRef">
    <w:name w:val="AmCrossRef"/>
    <w:basedOn w:val="Normal"/>
    <w:rsid w:val="004D2B5D"/>
    <w:pPr>
      <w:spacing w:before="240" w:after="240"/>
      <w:jc w:val="center"/>
    </w:pPr>
    <w:rPr>
      <w:i/>
    </w:rPr>
  </w:style>
  <w:style w:type="paragraph" w:customStyle="1" w:styleId="AmJustTitle">
    <w:name w:val="AmJustTitle"/>
    <w:basedOn w:val="Normal"/>
    <w:next w:val="AmJustText"/>
    <w:rsid w:val="004D2B5D"/>
    <w:pPr>
      <w:keepNext/>
      <w:spacing w:before="240" w:after="240"/>
      <w:jc w:val="center"/>
    </w:pPr>
    <w:rPr>
      <w:i/>
    </w:rPr>
  </w:style>
  <w:style w:type="paragraph" w:customStyle="1" w:styleId="CoverReference">
    <w:name w:val="CoverReference"/>
    <w:basedOn w:val="Normal"/>
    <w:rsid w:val="004D2B5D"/>
    <w:pPr>
      <w:spacing w:before="1080"/>
      <w:jc w:val="right"/>
    </w:pPr>
    <w:rPr>
      <w:rFonts w:ascii="Arial" w:hAnsi="Arial" w:cs="Arial"/>
      <w:b/>
    </w:rPr>
  </w:style>
  <w:style w:type="paragraph" w:customStyle="1" w:styleId="CoverDocType">
    <w:name w:val="CoverDocType"/>
    <w:basedOn w:val="Normal"/>
    <w:rsid w:val="004D2B5D"/>
    <w:pPr>
      <w:ind w:left="1418"/>
    </w:pPr>
    <w:rPr>
      <w:rFonts w:ascii="Arial" w:hAnsi="Arial"/>
      <w:b/>
      <w:sz w:val="48"/>
    </w:rPr>
  </w:style>
  <w:style w:type="paragraph" w:customStyle="1" w:styleId="CoverDocType24a">
    <w:name w:val="CoverDocType24a"/>
    <w:basedOn w:val="Normal"/>
    <w:rsid w:val="004D2B5D"/>
    <w:pPr>
      <w:spacing w:after="480"/>
      <w:ind w:left="1418"/>
    </w:pPr>
    <w:rPr>
      <w:rFonts w:ascii="Arial" w:hAnsi="Arial"/>
      <w:b/>
      <w:sz w:val="48"/>
    </w:rPr>
  </w:style>
  <w:style w:type="paragraph" w:customStyle="1" w:styleId="CoverDate">
    <w:name w:val="CoverDate"/>
    <w:basedOn w:val="Normal"/>
    <w:rsid w:val="004D2B5D"/>
    <w:pPr>
      <w:spacing w:before="240" w:after="1200"/>
    </w:pPr>
  </w:style>
  <w:style w:type="paragraph" w:styleId="Header">
    <w:name w:val="header"/>
    <w:basedOn w:val="Normal"/>
    <w:link w:val="HeaderChar"/>
    <w:rsid w:val="004D2B5D"/>
    <w:pPr>
      <w:tabs>
        <w:tab w:val="center" w:pos="4513"/>
        <w:tab w:val="right" w:pos="9026"/>
      </w:tabs>
    </w:pPr>
  </w:style>
  <w:style w:type="character" w:customStyle="1" w:styleId="HeaderChar">
    <w:name w:val="Header Char"/>
    <w:basedOn w:val="DefaultParagraphFont"/>
    <w:link w:val="Header"/>
    <w:rsid w:val="004D2B5D"/>
    <w:rPr>
      <w:sz w:val="24"/>
      <w:lang w:val="pt-PT"/>
    </w:rPr>
  </w:style>
  <w:style w:type="paragraph" w:customStyle="1" w:styleId="AmOrLang">
    <w:name w:val="AmOrLang"/>
    <w:basedOn w:val="Normal"/>
    <w:rsid w:val="004D2B5D"/>
    <w:pPr>
      <w:spacing w:before="240" w:after="240"/>
      <w:jc w:val="right"/>
    </w:pPr>
  </w:style>
  <w:style w:type="paragraph" w:customStyle="1" w:styleId="AmColumnHeading">
    <w:name w:val="AmColumnHeading"/>
    <w:basedOn w:val="Normal"/>
    <w:rsid w:val="004D2B5D"/>
    <w:pPr>
      <w:spacing w:after="240"/>
      <w:jc w:val="center"/>
    </w:pPr>
    <w:rPr>
      <w:i/>
    </w:rPr>
  </w:style>
  <w:style w:type="paragraph" w:customStyle="1" w:styleId="AmNumberTabs">
    <w:name w:val="AmNumberTabs"/>
    <w:basedOn w:val="Normal"/>
    <w:rsid w:val="004D2B5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D2B5D"/>
    <w:pPr>
      <w:spacing w:before="240"/>
    </w:pPr>
    <w:rPr>
      <w:b/>
    </w:rPr>
  </w:style>
  <w:style w:type="paragraph" w:customStyle="1" w:styleId="EPBody">
    <w:name w:val="EPBody"/>
    <w:basedOn w:val="Normal"/>
    <w:rsid w:val="004D2B5D"/>
    <w:pPr>
      <w:jc w:val="center"/>
    </w:pPr>
    <w:rPr>
      <w:rFonts w:ascii="Arial" w:hAnsi="Arial" w:cs="Arial"/>
      <w:i/>
      <w:sz w:val="22"/>
      <w:szCs w:val="22"/>
    </w:rPr>
  </w:style>
  <w:style w:type="paragraph" w:customStyle="1" w:styleId="EPFooter">
    <w:name w:val="EPFooter"/>
    <w:basedOn w:val="Normal"/>
    <w:rsid w:val="004D2B5D"/>
    <w:pPr>
      <w:tabs>
        <w:tab w:val="center" w:pos="4535"/>
        <w:tab w:val="right" w:pos="9071"/>
      </w:tabs>
      <w:spacing w:before="240" w:after="240"/>
    </w:pPr>
    <w:rPr>
      <w:color w:val="010000"/>
      <w:sz w:val="22"/>
    </w:rPr>
  </w:style>
  <w:style w:type="paragraph" w:customStyle="1" w:styleId="EPComma">
    <w:name w:val="EPComma"/>
    <w:basedOn w:val="Normal"/>
    <w:rsid w:val="004D2B5D"/>
    <w:pPr>
      <w:spacing w:before="480" w:after="240"/>
    </w:pPr>
  </w:style>
  <w:style w:type="paragraph" w:customStyle="1" w:styleId="Lgendesigne">
    <w:name w:val="Légende signe"/>
    <w:basedOn w:val="Normal"/>
    <w:rsid w:val="004D2B5D"/>
    <w:pPr>
      <w:tabs>
        <w:tab w:val="right" w:pos="454"/>
        <w:tab w:val="left" w:pos="737"/>
      </w:tabs>
      <w:ind w:left="737" w:hanging="737"/>
    </w:pPr>
    <w:rPr>
      <w:snapToGrid w:val="0"/>
      <w:sz w:val="18"/>
      <w:lang w:eastAsia="en-US"/>
    </w:rPr>
  </w:style>
  <w:style w:type="paragraph" w:customStyle="1" w:styleId="Lgendetitre">
    <w:name w:val="Légende titre"/>
    <w:basedOn w:val="Normal"/>
    <w:rsid w:val="004D2B5D"/>
    <w:pPr>
      <w:spacing w:before="240" w:after="240"/>
    </w:pPr>
    <w:rPr>
      <w:b/>
      <w:i/>
      <w:snapToGrid w:val="0"/>
      <w:lang w:eastAsia="en-US"/>
    </w:rPr>
  </w:style>
  <w:style w:type="paragraph" w:customStyle="1" w:styleId="Lgendestandard">
    <w:name w:val="Légende standard"/>
    <w:basedOn w:val="Normal"/>
    <w:rsid w:val="004D2B5D"/>
    <w:rPr>
      <w:sz w:val="18"/>
    </w:rPr>
  </w:style>
  <w:style w:type="paragraph" w:customStyle="1" w:styleId="msonormal0">
    <w:name w:val="msonormal"/>
    <w:basedOn w:val="Normal"/>
    <w:rsid w:val="004D2B5D"/>
    <w:pPr>
      <w:widowControl/>
      <w:spacing w:before="100" w:beforeAutospacing="1" w:after="100" w:afterAutospacing="1"/>
    </w:pPr>
    <w:rPr>
      <w:szCs w:val="24"/>
    </w:rPr>
  </w:style>
  <w:style w:type="character" w:customStyle="1" w:styleId="Normal12Char">
    <w:name w:val="Normal12 Char"/>
    <w:basedOn w:val="DefaultParagraphFont"/>
    <w:link w:val="Normal12"/>
    <w:locked/>
    <w:rsid w:val="004D2B5D"/>
    <w:rPr>
      <w:noProof/>
      <w:sz w:val="24"/>
    </w:rPr>
  </w:style>
  <w:style w:type="paragraph" w:customStyle="1" w:styleId="Normal12">
    <w:name w:val="Normal12"/>
    <w:basedOn w:val="Normal"/>
    <w:link w:val="Normal12Char"/>
    <w:rsid w:val="004D2B5D"/>
    <w:pPr>
      <w:spacing w:after="240"/>
    </w:pPr>
    <w:rPr>
      <w:noProof/>
      <w:lang w:val="en-GB"/>
    </w:rPr>
  </w:style>
  <w:style w:type="paragraph" w:customStyle="1" w:styleId="CommitteeAM">
    <w:name w:val="CommitteeAM"/>
    <w:basedOn w:val="Normal"/>
    <w:rsid w:val="004D2B5D"/>
    <w:pPr>
      <w:spacing w:before="240" w:after="600"/>
      <w:jc w:val="center"/>
    </w:pPr>
    <w:rPr>
      <w:i/>
    </w:rPr>
  </w:style>
  <w:style w:type="paragraph" w:customStyle="1" w:styleId="ZDateAM">
    <w:name w:val="ZDateAM"/>
    <w:basedOn w:val="Normal"/>
    <w:rsid w:val="004D2B5D"/>
    <w:pPr>
      <w:tabs>
        <w:tab w:val="right" w:pos="9356"/>
      </w:tabs>
      <w:spacing w:after="480"/>
    </w:pPr>
    <w:rPr>
      <w:noProof/>
    </w:rPr>
  </w:style>
  <w:style w:type="paragraph" w:customStyle="1" w:styleId="ProjRap">
    <w:name w:val="ProjRap"/>
    <w:basedOn w:val="Normal"/>
    <w:rsid w:val="004D2B5D"/>
    <w:pPr>
      <w:tabs>
        <w:tab w:val="right" w:pos="9356"/>
      </w:tabs>
    </w:pPr>
    <w:rPr>
      <w:b/>
      <w:noProof/>
    </w:rPr>
  </w:style>
  <w:style w:type="paragraph" w:customStyle="1" w:styleId="PELeft">
    <w:name w:val="PELeft"/>
    <w:basedOn w:val="Normal"/>
    <w:rsid w:val="004D2B5D"/>
    <w:pPr>
      <w:spacing w:before="40" w:after="40"/>
    </w:pPr>
    <w:rPr>
      <w:rFonts w:ascii="Arial" w:hAnsi="Arial" w:cs="Arial"/>
      <w:sz w:val="22"/>
      <w:szCs w:val="22"/>
    </w:rPr>
  </w:style>
  <w:style w:type="paragraph" w:customStyle="1" w:styleId="PERight">
    <w:name w:val="PERight"/>
    <w:basedOn w:val="Normal"/>
    <w:next w:val="Normal"/>
    <w:rsid w:val="004D2B5D"/>
    <w:pPr>
      <w:jc w:val="right"/>
    </w:pPr>
    <w:rPr>
      <w:rFonts w:ascii="Arial" w:hAnsi="Arial" w:cs="Arial"/>
      <w:sz w:val="22"/>
      <w:szCs w:val="22"/>
    </w:rPr>
  </w:style>
  <w:style w:type="character" w:customStyle="1" w:styleId="Normal6Char">
    <w:name w:val="Normal6 Char"/>
    <w:basedOn w:val="DefaultParagraphFont"/>
    <w:link w:val="Normal6"/>
    <w:locked/>
    <w:rsid w:val="004D2B5D"/>
    <w:rPr>
      <w:sz w:val="24"/>
      <w:lang w:val="pt-PT"/>
    </w:rPr>
  </w:style>
  <w:style w:type="paragraph" w:customStyle="1" w:styleId="Normal6">
    <w:name w:val="Normal6"/>
    <w:basedOn w:val="Normal"/>
    <w:link w:val="Normal6Char"/>
    <w:rsid w:val="004D2B5D"/>
    <w:pPr>
      <w:spacing w:after="120"/>
    </w:pPr>
  </w:style>
  <w:style w:type="character" w:customStyle="1" w:styleId="NormalBoldChar">
    <w:name w:val="NormalBold Char"/>
    <w:basedOn w:val="DefaultParagraphFont"/>
    <w:link w:val="NormalBold"/>
    <w:locked/>
    <w:rsid w:val="004D2B5D"/>
    <w:rPr>
      <w:b/>
      <w:sz w:val="24"/>
      <w:lang w:val="pt-PT"/>
    </w:rPr>
  </w:style>
  <w:style w:type="paragraph" w:customStyle="1" w:styleId="Normal12Italic">
    <w:name w:val="Normal12Italic"/>
    <w:basedOn w:val="Normal12"/>
    <w:rsid w:val="004D2B5D"/>
    <w:rPr>
      <w:i/>
    </w:rPr>
  </w:style>
  <w:style w:type="paragraph" w:customStyle="1" w:styleId="JustificationTitle">
    <w:name w:val="JustificationTitle"/>
    <w:basedOn w:val="Normal"/>
    <w:next w:val="Normal12"/>
    <w:rsid w:val="004D2B5D"/>
    <w:pPr>
      <w:keepNext/>
      <w:spacing w:before="240" w:after="240"/>
      <w:jc w:val="center"/>
    </w:pPr>
    <w:rPr>
      <w:i/>
      <w:noProof/>
    </w:rPr>
  </w:style>
  <w:style w:type="paragraph" w:customStyle="1" w:styleId="Olang">
    <w:name w:val="Olang"/>
    <w:basedOn w:val="Normal"/>
    <w:rsid w:val="004D2B5D"/>
    <w:pPr>
      <w:spacing w:before="240" w:after="240"/>
      <w:jc w:val="right"/>
    </w:pPr>
    <w:rPr>
      <w:noProof/>
      <w:szCs w:val="24"/>
    </w:rPr>
  </w:style>
  <w:style w:type="paragraph" w:customStyle="1" w:styleId="ColumnHeading">
    <w:name w:val="ColumnHeading"/>
    <w:basedOn w:val="Normal"/>
    <w:rsid w:val="004D2B5D"/>
    <w:pPr>
      <w:spacing w:after="240"/>
      <w:jc w:val="center"/>
    </w:pPr>
    <w:rPr>
      <w:i/>
    </w:rPr>
  </w:style>
  <w:style w:type="paragraph" w:customStyle="1" w:styleId="AMNumberTabs0">
    <w:name w:val="AMNumberTabs"/>
    <w:basedOn w:val="Normal"/>
    <w:rsid w:val="004D2B5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D2B5D"/>
    <w:pPr>
      <w:spacing w:before="240"/>
      <w:jc w:val="center"/>
    </w:pPr>
    <w:rPr>
      <w:i/>
    </w:rPr>
  </w:style>
  <w:style w:type="character" w:customStyle="1" w:styleId="Footer2Middle">
    <w:name w:val="Footer2Middle"/>
    <w:rsid w:val="004D2B5D"/>
    <w:rPr>
      <w:rFonts w:ascii="Arial" w:hAnsi="Arial" w:cs="Arial" w:hint="default"/>
      <w:b w:val="0"/>
      <w:bCs w:val="0"/>
      <w:i/>
      <w:iCs w:val="0"/>
      <w:color w:val="C0C0C0"/>
      <w:sz w:val="22"/>
    </w:rPr>
  </w:style>
  <w:style w:type="paragraph" w:customStyle="1" w:styleId="EntPE">
    <w:name w:val="EntPE"/>
    <w:basedOn w:val="Normal12"/>
    <w:rsid w:val="004D2B5D"/>
    <w:pPr>
      <w:jc w:val="center"/>
    </w:pPr>
    <w:rPr>
      <w:noProof w:val="0"/>
      <w:sz w:val="56"/>
    </w:rPr>
  </w:style>
  <w:style w:type="character" w:styleId="Hyperlink">
    <w:name w:val="Hyperlink"/>
    <w:basedOn w:val="DefaultParagraphFont"/>
    <w:uiPriority w:val="99"/>
    <w:rsid w:val="004D2B5D"/>
    <w:rPr>
      <w:color w:val="0563C1" w:themeColor="hyperlink"/>
      <w:u w:val="single"/>
    </w:rPr>
  </w:style>
  <w:style w:type="character" w:styleId="UnresolvedMention">
    <w:name w:val="Unresolved Mention"/>
    <w:basedOn w:val="DefaultParagraphFont"/>
    <w:uiPriority w:val="99"/>
    <w:semiHidden/>
    <w:unhideWhenUsed/>
    <w:rsid w:val="004D2B5D"/>
    <w:rPr>
      <w:color w:val="605E5C"/>
      <w:shd w:val="clear" w:color="auto" w:fill="E1DFDD"/>
    </w:rPr>
  </w:style>
  <w:style w:type="paragraph" w:customStyle="1" w:styleId="Normal24a">
    <w:name w:val="Normal24a"/>
    <w:basedOn w:val="Normal"/>
    <w:rsid w:val="004D2B5D"/>
    <w:pPr>
      <w:spacing w:after="480"/>
    </w:pPr>
  </w:style>
  <w:style w:type="paragraph" w:customStyle="1" w:styleId="NormalBoldCenter">
    <w:name w:val="NormalBoldCenter"/>
    <w:basedOn w:val="Normal"/>
    <w:rsid w:val="004D2B5D"/>
    <w:pPr>
      <w:jc w:val="center"/>
    </w:pPr>
    <w:rPr>
      <w:b/>
    </w:rPr>
  </w:style>
  <w:style w:type="paragraph" w:customStyle="1" w:styleId="Footprint12b">
    <w:name w:val="Footprint12b"/>
    <w:basedOn w:val="Normal"/>
    <w:rsid w:val="004D2B5D"/>
    <w:pPr>
      <w:spacing w:before="240"/>
    </w:pPr>
    <w:rPr>
      <w:szCs w:val="24"/>
    </w:rPr>
  </w:style>
  <w:style w:type="paragraph" w:customStyle="1" w:styleId="NormalSingle">
    <w:name w:val="NormalSingle"/>
    <w:basedOn w:val="Normal"/>
    <w:qFormat/>
    <w:rsid w:val="004D2B5D"/>
    <w:rPr>
      <w:szCs w:val="24"/>
    </w:rPr>
  </w:style>
  <w:style w:type="character" w:styleId="CommentReference">
    <w:name w:val="annotation reference"/>
    <w:basedOn w:val="DefaultParagraphFont"/>
    <w:rsid w:val="004D2B5D"/>
    <w:rPr>
      <w:sz w:val="16"/>
      <w:szCs w:val="16"/>
    </w:rPr>
  </w:style>
  <w:style w:type="paragraph" w:styleId="CommentText">
    <w:name w:val="annotation text"/>
    <w:basedOn w:val="Normal"/>
    <w:link w:val="CommentTextChar"/>
    <w:rsid w:val="004D2B5D"/>
    <w:rPr>
      <w:sz w:val="20"/>
    </w:rPr>
  </w:style>
  <w:style w:type="character" w:customStyle="1" w:styleId="CommentTextChar">
    <w:name w:val="Comment Text Char"/>
    <w:basedOn w:val="DefaultParagraphFont"/>
    <w:link w:val="CommentText"/>
    <w:rsid w:val="004D2B5D"/>
    <w:rPr>
      <w:lang w:val="pt-PT"/>
    </w:rPr>
  </w:style>
  <w:style w:type="paragraph" w:styleId="CommentSubject">
    <w:name w:val="annotation subject"/>
    <w:basedOn w:val="CommentText"/>
    <w:next w:val="CommentText"/>
    <w:link w:val="CommentSubjectChar"/>
    <w:unhideWhenUsed/>
    <w:rsid w:val="004D2B5D"/>
    <w:rPr>
      <w:b/>
      <w:bCs/>
    </w:rPr>
  </w:style>
  <w:style w:type="character" w:customStyle="1" w:styleId="CommentSubjectChar">
    <w:name w:val="Comment Subject Char"/>
    <w:basedOn w:val="CommentTextChar"/>
    <w:link w:val="CommentSubject"/>
    <w:rsid w:val="004D2B5D"/>
    <w:rPr>
      <w:b/>
      <w:bCs/>
      <w:lang w:val="pt-PT"/>
    </w:rPr>
  </w:style>
  <w:style w:type="paragraph" w:styleId="Revision">
    <w:name w:val="Revision"/>
    <w:hidden/>
    <w:uiPriority w:val="99"/>
    <w:semiHidden/>
    <w:rsid w:val="004D2B5D"/>
    <w:rPr>
      <w:sz w:val="24"/>
      <w:lang w:val="pt-PT"/>
    </w:rPr>
  </w:style>
  <w:style w:type="paragraph" w:customStyle="1" w:styleId="Normal12a">
    <w:name w:val="Normal12a"/>
    <w:basedOn w:val="Normal"/>
    <w:rsid w:val="004D2B5D"/>
    <w:pPr>
      <w:spacing w:after="240"/>
    </w:pPr>
  </w:style>
  <w:style w:type="paragraph" w:customStyle="1" w:styleId="RollCallVotes">
    <w:name w:val="RollCallVotes"/>
    <w:basedOn w:val="Normal"/>
    <w:rsid w:val="004D2B5D"/>
    <w:pPr>
      <w:spacing w:before="120" w:after="120"/>
      <w:jc w:val="center"/>
    </w:pPr>
    <w:rPr>
      <w:b/>
      <w:bCs/>
      <w:snapToGrid w:val="0"/>
      <w:sz w:val="16"/>
      <w:lang w:eastAsia="en-US"/>
    </w:rPr>
  </w:style>
  <w:style w:type="paragraph" w:customStyle="1" w:styleId="RollCallTabs">
    <w:name w:val="RollCallTabs"/>
    <w:basedOn w:val="Normal"/>
    <w:qFormat/>
    <w:rsid w:val="004D2B5D"/>
    <w:pPr>
      <w:tabs>
        <w:tab w:val="center" w:pos="284"/>
        <w:tab w:val="left" w:pos="426"/>
      </w:tabs>
    </w:pPr>
    <w:rPr>
      <w:snapToGrid w:val="0"/>
      <w:lang w:eastAsia="en-US"/>
    </w:rPr>
  </w:style>
  <w:style w:type="paragraph" w:customStyle="1" w:styleId="RollCallSymbols14pt">
    <w:name w:val="RollCallSymbols14pt"/>
    <w:basedOn w:val="Normal"/>
    <w:rsid w:val="004D2B5D"/>
    <w:pPr>
      <w:spacing w:before="120" w:after="120"/>
      <w:jc w:val="center"/>
    </w:pPr>
    <w:rPr>
      <w:rFonts w:ascii="Arial" w:hAnsi="Arial"/>
      <w:b/>
      <w:bCs/>
      <w:snapToGrid w:val="0"/>
      <w:sz w:val="28"/>
      <w:lang w:eastAsia="en-US"/>
    </w:rPr>
  </w:style>
  <w:style w:type="paragraph" w:customStyle="1" w:styleId="RollCallTable">
    <w:name w:val="RollCallTable"/>
    <w:basedOn w:val="Normal"/>
    <w:rsid w:val="004D2B5D"/>
    <w:pPr>
      <w:spacing w:before="120" w:after="120"/>
    </w:pPr>
    <w:rPr>
      <w:snapToGrid w:val="0"/>
      <w:sz w:val="16"/>
      <w:lang w:eastAsia="en-US"/>
    </w:rPr>
  </w:style>
  <w:style w:type="paragraph" w:customStyle="1" w:styleId="PageHeadingNotTOC">
    <w:name w:val="PageHeadingNotTOC"/>
    <w:basedOn w:val="Normal"/>
    <w:rsid w:val="004D2B5D"/>
    <w:pPr>
      <w:keepNext/>
      <w:spacing w:after="480"/>
      <w:jc w:val="center"/>
    </w:pPr>
    <w:rPr>
      <w:rFonts w:ascii="Arial" w:hAnsi="Arial" w:cs="Arial"/>
      <w:b/>
    </w:rPr>
  </w:style>
  <w:style w:type="paragraph" w:customStyle="1" w:styleId="AmHeadingPA">
    <w:name w:val="AmHeadingPA"/>
    <w:basedOn w:val="Normal"/>
    <w:next w:val="Normal"/>
    <w:rsid w:val="004D2B5D"/>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4D2B5D"/>
    <w:pPr>
      <w:ind w:left="720"/>
      <w:contextualSpacing/>
    </w:pPr>
  </w:style>
  <w:style w:type="paragraph" w:styleId="Footer">
    <w:name w:val="footer"/>
    <w:basedOn w:val="Normal"/>
    <w:link w:val="FooterChar"/>
    <w:rsid w:val="004D2B5D"/>
    <w:pPr>
      <w:tabs>
        <w:tab w:val="center" w:pos="4513"/>
        <w:tab w:val="right" w:pos="9026"/>
      </w:tabs>
    </w:pPr>
  </w:style>
  <w:style w:type="character" w:customStyle="1" w:styleId="FooterChar">
    <w:name w:val="Footer Char"/>
    <w:basedOn w:val="DefaultParagraphFont"/>
    <w:link w:val="Footer"/>
    <w:rsid w:val="004D2B5D"/>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reg/2019/1009/oj" TargetMode="External"/><Relationship Id="rId18" Type="http://schemas.openxmlformats.org/officeDocument/2006/relationships/hyperlink" Target="http://data.europa.eu/eli/reg/2006/1907/oj"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data.europa.eu/eli/reg/2012/528/oj" TargetMode="External"/><Relationship Id="rId7" Type="http://schemas.openxmlformats.org/officeDocument/2006/relationships/endnotes" Target="endnotes.xml"/><Relationship Id="rId12" Type="http://schemas.openxmlformats.org/officeDocument/2006/relationships/hyperlink" Target="http://data.europa.eu/eli/reg/2009/1223/oj" TargetMode="External"/><Relationship Id="rId17" Type="http://schemas.openxmlformats.org/officeDocument/2006/relationships/hyperlink" Target="http://data.europa.eu/eli/reg/2006/1907/oj"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reg/2024/2865/oj" TargetMode="External"/><Relationship Id="rId20" Type="http://schemas.openxmlformats.org/officeDocument/2006/relationships/hyperlink" Target="http://data.europa.eu/eli/reg/2009/1107/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09/1223/oj" TargetMode="External"/><Relationship Id="rId24" Type="http://schemas.openxmlformats.org/officeDocument/2006/relationships/hyperlink" Target="http://data.europa.eu/eli/agree_interinstit/2016/512/oj" TargetMode="External"/><Relationship Id="rId5" Type="http://schemas.openxmlformats.org/officeDocument/2006/relationships/webSettings" Target="webSettings.xml"/><Relationship Id="rId15" Type="http://schemas.openxmlformats.org/officeDocument/2006/relationships/hyperlink" Target="http://data.europa.eu/eli/reg/2024/2865/oj" TargetMode="External"/><Relationship Id="rId23" Type="http://schemas.openxmlformats.org/officeDocument/2006/relationships/hyperlink" Target="http://data.europa.eu/eli/agree_interinstit/2016/512/oj" TargetMode="External"/><Relationship Id="rId10" Type="http://schemas.openxmlformats.org/officeDocument/2006/relationships/hyperlink" Target="http://data.europa.eu/eli/reg/2008/1272/oj" TargetMode="External"/><Relationship Id="rId19" Type="http://schemas.openxmlformats.org/officeDocument/2006/relationships/hyperlink" Target="http://data.europa.eu/eli/reg/2009/1107/oj" TargetMode="External"/><Relationship Id="rId4" Type="http://schemas.openxmlformats.org/officeDocument/2006/relationships/settings" Target="settings.xml"/><Relationship Id="rId9" Type="http://schemas.openxmlformats.org/officeDocument/2006/relationships/hyperlink" Target="http://data.europa.eu/eli/reg/2008/1272/oj" TargetMode="External"/><Relationship Id="rId14" Type="http://schemas.openxmlformats.org/officeDocument/2006/relationships/hyperlink" Target="http://data.europa.eu/eli/reg/2019/1009/oj" TargetMode="External"/><Relationship Id="rId22" Type="http://schemas.openxmlformats.org/officeDocument/2006/relationships/hyperlink" Target="http://data.europa.eu/eli/reg/2012/52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Pages>
  <Words>17486</Words>
  <Characters>99007</Characters>
  <Application>Microsoft Office Word</Application>
  <DocSecurity>0</DocSecurity>
  <Lines>825</Lines>
  <Paragraphs>232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Teresa2</cp:lastModifiedBy>
  <cp:revision>2</cp:revision>
  <cp:lastPrinted>2004-11-19T15:42:00Z</cp:lastPrinted>
  <dcterms:created xsi:type="dcterms:W3CDTF">2026-04-29T15:49:00Z</dcterms:created>
  <dcterms:modified xsi:type="dcterms:W3CDTF">2026-04-29T15:49:00Z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A10-0104/2026</vt:lpwstr>
  </property>
  <property fmtid="{D5CDD505-2E9C-101B-9397-08002B2CF9AE}" pid="4" name="&lt;Type&gt;">
    <vt:lpwstr>RR</vt:lpwstr>
  </property>
</Properties>
</file>