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297C" w14:paraId="162B00D3" w14:textId="77777777" w:rsidTr="0010095E">
        <w:trPr>
          <w:trHeight w:hRule="exact" w:val="1418"/>
        </w:trPr>
        <w:tc>
          <w:tcPr>
            <w:tcW w:w="6804" w:type="dxa"/>
            <w:shd w:val="clear" w:color="auto" w:fill="auto"/>
            <w:vAlign w:val="center"/>
          </w:tcPr>
          <w:p w14:paraId="41FB58DA" w14:textId="77777777" w:rsidR="00751A4A" w:rsidRPr="003B297C" w:rsidRDefault="001E3968" w:rsidP="0010095E">
            <w:pPr>
              <w:pStyle w:val="EPName"/>
            </w:pPr>
            <w:r w:rsidRPr="003B297C">
              <w:t>Euroopa Parlament</w:t>
            </w:r>
          </w:p>
          <w:p w14:paraId="628C8606" w14:textId="77777777" w:rsidR="00751A4A" w:rsidRPr="003B297C" w:rsidRDefault="005F1B17" w:rsidP="005F1B17">
            <w:pPr>
              <w:pStyle w:val="EPTerm"/>
              <w:rPr>
                <w:rStyle w:val="HideTWBExt"/>
                <w:noProof w:val="0"/>
                <w:vanish w:val="0"/>
                <w:color w:val="auto"/>
              </w:rPr>
            </w:pPr>
            <w:r w:rsidRPr="003B297C">
              <w:t>2024</w:t>
            </w:r>
            <w:r w:rsidR="00817416" w:rsidRPr="003B297C">
              <w:t>-202</w:t>
            </w:r>
            <w:r w:rsidRPr="003B297C">
              <w:t>9</w:t>
            </w:r>
          </w:p>
        </w:tc>
        <w:tc>
          <w:tcPr>
            <w:tcW w:w="2268" w:type="dxa"/>
            <w:shd w:val="clear" w:color="auto" w:fill="auto"/>
          </w:tcPr>
          <w:p w14:paraId="43FE846C" w14:textId="77777777" w:rsidR="00751A4A" w:rsidRPr="003B297C" w:rsidRDefault="00187494" w:rsidP="0010095E">
            <w:pPr>
              <w:pStyle w:val="EPLogo"/>
            </w:pPr>
            <w:r w:rsidRPr="003B297C">
              <w:rPr>
                <w:noProof/>
                <w:lang w:eastAsia="ja-JP"/>
              </w:rPr>
              <w:drawing>
                <wp:inline distT="0" distB="0" distL="0" distR="0" wp14:anchorId="55DE3E5A" wp14:editId="4A0AE8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CB4D1D" w14:textId="77777777" w:rsidR="00D058B8" w:rsidRPr="003B297C" w:rsidRDefault="00D058B8" w:rsidP="004C5D52">
      <w:pPr>
        <w:pStyle w:val="LineTop"/>
      </w:pPr>
    </w:p>
    <w:p w14:paraId="3459F653" w14:textId="77777777" w:rsidR="00680577" w:rsidRPr="003B297C" w:rsidRDefault="001E3968" w:rsidP="00680577">
      <w:pPr>
        <w:pStyle w:val="EPBodyTA1"/>
      </w:pPr>
      <w:r w:rsidRPr="003B297C">
        <w:t>VASTUVÕETUD TEKSTID</w:t>
      </w:r>
    </w:p>
    <w:p w14:paraId="7A4BAF1B" w14:textId="77777777" w:rsidR="00D058B8" w:rsidRPr="003B297C" w:rsidRDefault="00D058B8" w:rsidP="00D058B8">
      <w:pPr>
        <w:pStyle w:val="LineBottom"/>
      </w:pPr>
    </w:p>
    <w:p w14:paraId="4489A0A9" w14:textId="07AC4AD6" w:rsidR="001E3968" w:rsidRPr="003B297C" w:rsidRDefault="001E3968" w:rsidP="001E3968">
      <w:pPr>
        <w:pStyle w:val="ATHeading1"/>
      </w:pPr>
      <w:bookmarkStart w:id="0" w:name="TANumber"/>
      <w:r w:rsidRPr="003B297C">
        <w:t>P10_TA(2026)0</w:t>
      </w:r>
      <w:r w:rsidR="004650FF" w:rsidRPr="003B297C">
        <w:t>139</w:t>
      </w:r>
      <w:bookmarkEnd w:id="0"/>
    </w:p>
    <w:p w14:paraId="6EE544FD" w14:textId="77777777" w:rsidR="001E3968" w:rsidRPr="003B297C" w:rsidRDefault="001E3968" w:rsidP="001E3968">
      <w:pPr>
        <w:pStyle w:val="ATHeading2"/>
      </w:pPr>
      <w:bookmarkStart w:id="1" w:name="title"/>
      <w:r w:rsidRPr="003B297C">
        <w:t>Hoonete, maanteetranspordi ja teatavate muude sektorite turustabiilsusreserv</w:t>
      </w:r>
      <w:bookmarkEnd w:id="1"/>
    </w:p>
    <w:p w14:paraId="6C9496B1" w14:textId="77777777" w:rsidR="001E3968" w:rsidRPr="003B297C" w:rsidRDefault="001E3968" w:rsidP="001E3968">
      <w:pPr>
        <w:rPr>
          <w:i/>
          <w:vanish/>
        </w:rPr>
      </w:pPr>
      <w:r w:rsidRPr="003B297C">
        <w:rPr>
          <w:i/>
        </w:rPr>
        <w:fldChar w:fldCharType="begin"/>
      </w:r>
      <w:r w:rsidRPr="003B297C">
        <w:rPr>
          <w:i/>
        </w:rPr>
        <w:instrText xml:space="preserve"> TC"(</w:instrText>
      </w:r>
      <w:bookmarkStart w:id="2" w:name="DocNumber"/>
      <w:r w:rsidRPr="003B297C">
        <w:rPr>
          <w:i/>
        </w:rPr>
        <w:instrText>A10-0098/2026</w:instrText>
      </w:r>
      <w:bookmarkEnd w:id="2"/>
      <w:r w:rsidRPr="003B297C">
        <w:rPr>
          <w:i/>
        </w:rPr>
        <w:instrText xml:space="preserve"> - Raportöör: Danuše Nerudová)"\l3 \n&gt; \* MERGEFORMAT </w:instrText>
      </w:r>
      <w:r w:rsidRPr="003B297C">
        <w:rPr>
          <w:i/>
        </w:rPr>
        <w:fldChar w:fldCharType="end"/>
      </w:r>
    </w:p>
    <w:p w14:paraId="1B65FD03" w14:textId="77777777" w:rsidR="001E3968" w:rsidRPr="003B297C" w:rsidRDefault="001E3968" w:rsidP="001E3968">
      <w:pPr>
        <w:rPr>
          <w:vanish/>
        </w:rPr>
      </w:pPr>
      <w:bookmarkStart w:id="3" w:name="Commission"/>
      <w:r w:rsidRPr="003B297C">
        <w:rPr>
          <w:vanish/>
        </w:rPr>
        <w:t>Keskkonna-, kliima- ja toiduohutuse komisjon</w:t>
      </w:r>
      <w:bookmarkEnd w:id="3"/>
    </w:p>
    <w:p w14:paraId="32A8278B" w14:textId="2E682A84" w:rsidR="001E3968" w:rsidRPr="003B297C" w:rsidRDefault="001E3968" w:rsidP="001E3968">
      <w:pPr>
        <w:rPr>
          <w:vanish/>
        </w:rPr>
      </w:pPr>
      <w:bookmarkStart w:id="4" w:name="PE"/>
      <w:r w:rsidRPr="003B297C">
        <w:rPr>
          <w:vanish/>
        </w:rPr>
        <w:t>PE78</w:t>
      </w:r>
      <w:r w:rsidR="002C18FF" w:rsidRPr="003B297C">
        <w:rPr>
          <w:vanish/>
        </w:rPr>
        <w:t>3</w:t>
      </w:r>
      <w:r w:rsidRPr="003B297C">
        <w:rPr>
          <w:vanish/>
        </w:rPr>
        <w:t>.</w:t>
      </w:r>
      <w:r w:rsidR="002C18FF" w:rsidRPr="003B297C">
        <w:rPr>
          <w:vanish/>
        </w:rPr>
        <w:t>023</w:t>
      </w:r>
      <w:bookmarkEnd w:id="4"/>
    </w:p>
    <w:p w14:paraId="7801D5F6" w14:textId="41F02036" w:rsidR="001E3968" w:rsidRPr="003B297C" w:rsidRDefault="001E3968" w:rsidP="001E3968">
      <w:pPr>
        <w:pStyle w:val="ATHeading3"/>
      </w:pPr>
      <w:bookmarkStart w:id="5" w:name="Sujet"/>
      <w:r w:rsidRPr="003B297C">
        <w:t xml:space="preserve">Euroopa Parlamendi </w:t>
      </w:r>
      <w:r w:rsidR="002C18FF" w:rsidRPr="003B297C">
        <w:t>29. aprilli</w:t>
      </w:r>
      <w:r w:rsidR="00E65111" w:rsidRPr="003B297C">
        <w:t>l</w:t>
      </w:r>
      <w:r w:rsidRPr="003B297C">
        <w:t xml:space="preserve"> 2026. aasta</w:t>
      </w:r>
      <w:r w:rsidR="00E65111" w:rsidRPr="003B297C">
        <w:t>l</w:t>
      </w:r>
      <w:r w:rsidRPr="003B297C">
        <w:t xml:space="preserve"> vastu </w:t>
      </w:r>
      <w:r w:rsidR="00E65111" w:rsidRPr="003B297C">
        <w:t>võetud muudatusettepanekud ettepanekule võtta</w:t>
      </w:r>
      <w:r w:rsidR="007B0856" w:rsidRPr="003B297C">
        <w:t xml:space="preserve"> vastu</w:t>
      </w:r>
      <w:r w:rsidR="00E65111" w:rsidRPr="003B297C">
        <w:t xml:space="preserve"> </w:t>
      </w:r>
      <w:r w:rsidRPr="003B297C">
        <w:t>Euroopa Parlamendi ja nõukogu otsus, millega muudetakse otsust</w:t>
      </w:r>
      <w:r w:rsidR="007B0856" w:rsidRPr="003B297C">
        <w:t xml:space="preserve"> </w:t>
      </w:r>
      <w:r w:rsidRPr="003B297C">
        <w:t>(EL) 2015/1814 hoonete, maanteetranspordi ja teatavate muude sektorite turustabiilsusreservi osas</w:t>
      </w:r>
      <w:bookmarkEnd w:id="5"/>
      <w:r w:rsidRPr="003B297C">
        <w:t xml:space="preserve"> </w:t>
      </w:r>
      <w:bookmarkStart w:id="6" w:name="References"/>
      <w:r w:rsidRPr="003B297C">
        <w:t>(COM(2025)0738 – C10-0320/2025 – 2025/0380(COD))</w:t>
      </w:r>
      <w:bookmarkEnd w:id="6"/>
      <w:r w:rsidR="007B0856" w:rsidRPr="003B297C">
        <w:rPr>
          <w:rStyle w:val="FootnoteReference"/>
        </w:rPr>
        <w:footnoteReference w:id="1"/>
      </w:r>
    </w:p>
    <w:p w14:paraId="03BC8E97" w14:textId="77777777" w:rsidR="00BD6C9B" w:rsidRPr="003B297C" w:rsidRDefault="00BD6C9B" w:rsidP="00BD6C9B">
      <w:pPr>
        <w:pStyle w:val="NormalBold"/>
      </w:pPr>
      <w:r w:rsidRPr="003B297C">
        <w:t>(Seadusandlik tavamenetlus: esimene lugemine)</w:t>
      </w:r>
    </w:p>
    <w:p w14:paraId="34A38048" w14:textId="3049E23A" w:rsidR="00BD6C9B" w:rsidRPr="003B297C" w:rsidRDefault="00BD6C9B" w:rsidP="00E65111">
      <w:pPr>
        <w:pStyle w:val="NormalHanging12a"/>
      </w:pPr>
      <w:r w:rsidRPr="003B297C">
        <w:br w:type="page"/>
      </w:r>
    </w:p>
    <w:p w14:paraId="7F7D1169" w14:textId="77777777" w:rsidR="00BD6C9B" w:rsidRPr="003B297C" w:rsidRDefault="00BD6C9B" w:rsidP="00BD6C9B">
      <w:pPr>
        <w:pStyle w:val="NormalHanging12a"/>
      </w:pPr>
    </w:p>
    <w:p w14:paraId="7C11DF61" w14:textId="77777777" w:rsidR="00BD6C9B" w:rsidRPr="003B297C" w:rsidRDefault="00BD6C9B" w:rsidP="00BD6C9B"/>
    <w:p w14:paraId="54B37E5A" w14:textId="77777777" w:rsidR="00BD6C9B" w:rsidRPr="003B297C" w:rsidRDefault="00BD6C9B" w:rsidP="00BD6C9B">
      <w:pPr>
        <w:pStyle w:val="AmNumberTabs"/>
        <w:keepNext/>
      </w:pPr>
      <w:r w:rsidRPr="003B297C">
        <w:t>Muudatusettepanek</w:t>
      </w:r>
      <w:r w:rsidRPr="003B297C">
        <w:tab/>
      </w:r>
      <w:r w:rsidRPr="003B297C">
        <w:tab/>
        <w:t>1</w:t>
      </w:r>
    </w:p>
    <w:p w14:paraId="0503351D" w14:textId="77777777" w:rsidR="00BD6C9B" w:rsidRPr="003B297C" w:rsidRDefault="00BD6C9B" w:rsidP="00BD6C9B">
      <w:pPr>
        <w:pStyle w:val="NormalBold"/>
      </w:pPr>
      <w:r w:rsidRPr="003B297C">
        <w:t>Ettepanek võtta vastu otsus</w:t>
      </w:r>
    </w:p>
    <w:p w14:paraId="67195B05" w14:textId="77777777" w:rsidR="00BD6C9B" w:rsidRPr="003B297C" w:rsidRDefault="00BD6C9B" w:rsidP="00BD6C9B">
      <w:pPr>
        <w:pStyle w:val="NormalBold"/>
      </w:pPr>
      <w:r w:rsidRPr="003B297C">
        <w:t>Põhjendus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083994C9" w14:textId="77777777" w:rsidTr="00ED7FA3">
        <w:trPr>
          <w:trHeight w:val="240"/>
          <w:jc w:val="center"/>
        </w:trPr>
        <w:tc>
          <w:tcPr>
            <w:tcW w:w="9752" w:type="dxa"/>
            <w:gridSpan w:val="2"/>
            <w:tcBorders>
              <w:top w:val="nil"/>
              <w:left w:val="nil"/>
              <w:bottom w:val="nil"/>
              <w:right w:val="nil"/>
            </w:tcBorders>
          </w:tcPr>
          <w:p w14:paraId="52C5C594" w14:textId="77777777" w:rsidR="00BD6C9B" w:rsidRPr="003B297C" w:rsidRDefault="00BD6C9B" w:rsidP="00ED7FA3"/>
        </w:tc>
      </w:tr>
      <w:tr w:rsidR="00BD6C9B" w:rsidRPr="003B297C" w14:paraId="62135449" w14:textId="77777777" w:rsidTr="00ED7FA3">
        <w:trPr>
          <w:trHeight w:val="240"/>
          <w:jc w:val="center"/>
        </w:trPr>
        <w:tc>
          <w:tcPr>
            <w:tcW w:w="4876" w:type="dxa"/>
            <w:tcBorders>
              <w:top w:val="nil"/>
              <w:left w:val="nil"/>
              <w:bottom w:val="nil"/>
              <w:right w:val="nil"/>
            </w:tcBorders>
            <w:hideMark/>
          </w:tcPr>
          <w:p w14:paraId="240DAA94"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3B55B526" w14:textId="77777777" w:rsidR="00BD6C9B" w:rsidRPr="003B297C" w:rsidRDefault="00BD6C9B" w:rsidP="00ED7FA3">
            <w:pPr>
              <w:pStyle w:val="AmColumnHeading"/>
            </w:pPr>
            <w:r w:rsidRPr="003B297C">
              <w:t>Muudatusettepanek</w:t>
            </w:r>
          </w:p>
        </w:tc>
      </w:tr>
      <w:tr w:rsidR="00BD6C9B" w:rsidRPr="003B297C" w14:paraId="0CD59782" w14:textId="77777777" w:rsidTr="00ED7FA3">
        <w:trPr>
          <w:jc w:val="center"/>
        </w:trPr>
        <w:tc>
          <w:tcPr>
            <w:tcW w:w="4876" w:type="dxa"/>
            <w:tcBorders>
              <w:top w:val="nil"/>
              <w:left w:val="nil"/>
              <w:bottom w:val="nil"/>
              <w:right w:val="nil"/>
            </w:tcBorders>
          </w:tcPr>
          <w:p w14:paraId="1A955A6D" w14:textId="77777777" w:rsidR="00BD6C9B" w:rsidRPr="003B297C" w:rsidRDefault="00BD6C9B" w:rsidP="00ED7FA3">
            <w:pPr>
              <w:pStyle w:val="Normal6a"/>
            </w:pPr>
          </w:p>
        </w:tc>
        <w:tc>
          <w:tcPr>
            <w:tcW w:w="4876" w:type="dxa"/>
            <w:tcBorders>
              <w:top w:val="nil"/>
              <w:left w:val="nil"/>
              <w:bottom w:val="nil"/>
              <w:right w:val="nil"/>
            </w:tcBorders>
            <w:hideMark/>
          </w:tcPr>
          <w:p w14:paraId="6EBABC45" w14:textId="77777777" w:rsidR="00BD6C9B" w:rsidRPr="003B297C" w:rsidRDefault="00BD6C9B" w:rsidP="00ED7FA3">
            <w:pPr>
              <w:pStyle w:val="Normal6a"/>
            </w:pPr>
            <w:r w:rsidRPr="003B297C">
              <w:rPr>
                <w:b/>
                <w:i/>
              </w:rPr>
              <w:t>(1a)</w:t>
            </w:r>
            <w:r w:rsidRPr="003B297C">
              <w:tab/>
            </w:r>
            <w:r w:rsidRPr="003B297C">
              <w:rPr>
                <w:b/>
                <w:i/>
              </w:rPr>
              <w:t>Euroopa Ülemkogu 12. detsembri 2019. aasta järeldustes kinnitatakse eesmärk saavutada 2050. aastaks kliimaneutraalne liit kooskõlas Pariisi kokkuleppe eesmärkidega.</w:t>
            </w:r>
          </w:p>
        </w:tc>
      </w:tr>
    </w:tbl>
    <w:p w14:paraId="79221430" w14:textId="77777777" w:rsidR="00BD6C9B" w:rsidRPr="003B297C" w:rsidRDefault="00BD6C9B" w:rsidP="00BD6C9B"/>
    <w:p w14:paraId="2B6D7DF5" w14:textId="77777777" w:rsidR="00BD6C9B" w:rsidRPr="003B297C" w:rsidRDefault="00BD6C9B" w:rsidP="00BD6C9B">
      <w:pPr>
        <w:pStyle w:val="AmNumberTabs"/>
      </w:pPr>
      <w:r w:rsidRPr="003B297C">
        <w:t>Muudatusettepanek</w:t>
      </w:r>
      <w:r w:rsidRPr="003B297C">
        <w:tab/>
      </w:r>
      <w:r w:rsidRPr="003B297C">
        <w:tab/>
        <w:t>2</w:t>
      </w:r>
    </w:p>
    <w:p w14:paraId="2285F80C" w14:textId="77777777" w:rsidR="00BD6C9B" w:rsidRPr="003B297C" w:rsidRDefault="00BD6C9B" w:rsidP="00BD6C9B">
      <w:pPr>
        <w:pStyle w:val="NormalBold"/>
      </w:pPr>
      <w:r w:rsidRPr="003B297C">
        <w:t>Ettepanek võtta vastu otsus</w:t>
      </w:r>
    </w:p>
    <w:p w14:paraId="0889A840" w14:textId="77777777" w:rsidR="00BD6C9B" w:rsidRPr="003B297C" w:rsidRDefault="00BD6C9B" w:rsidP="00BD6C9B">
      <w:pPr>
        <w:pStyle w:val="NormalBold"/>
      </w:pPr>
      <w:r w:rsidRPr="003B297C">
        <w:t>Põhjendus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6BDC57F3" w14:textId="77777777" w:rsidTr="00ED7FA3">
        <w:trPr>
          <w:trHeight w:val="240"/>
          <w:jc w:val="center"/>
        </w:trPr>
        <w:tc>
          <w:tcPr>
            <w:tcW w:w="9752" w:type="dxa"/>
            <w:gridSpan w:val="2"/>
            <w:tcBorders>
              <w:top w:val="nil"/>
              <w:left w:val="nil"/>
              <w:bottom w:val="nil"/>
              <w:right w:val="nil"/>
            </w:tcBorders>
          </w:tcPr>
          <w:p w14:paraId="24084218" w14:textId="77777777" w:rsidR="00BD6C9B" w:rsidRPr="003B297C" w:rsidRDefault="00BD6C9B" w:rsidP="00ED7FA3"/>
        </w:tc>
      </w:tr>
      <w:tr w:rsidR="00BD6C9B" w:rsidRPr="003B297C" w14:paraId="4930CA94" w14:textId="77777777" w:rsidTr="00ED7FA3">
        <w:trPr>
          <w:trHeight w:val="240"/>
          <w:jc w:val="center"/>
        </w:trPr>
        <w:tc>
          <w:tcPr>
            <w:tcW w:w="4876" w:type="dxa"/>
            <w:tcBorders>
              <w:top w:val="nil"/>
              <w:left w:val="nil"/>
              <w:bottom w:val="nil"/>
              <w:right w:val="nil"/>
            </w:tcBorders>
            <w:hideMark/>
          </w:tcPr>
          <w:p w14:paraId="7F26FF2F"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16189C4C" w14:textId="77777777" w:rsidR="00BD6C9B" w:rsidRPr="003B297C" w:rsidRDefault="00BD6C9B" w:rsidP="00ED7FA3">
            <w:pPr>
              <w:pStyle w:val="AmColumnHeading"/>
            </w:pPr>
            <w:r w:rsidRPr="003B297C">
              <w:t>Muudatusettepanek</w:t>
            </w:r>
          </w:p>
        </w:tc>
      </w:tr>
      <w:tr w:rsidR="00BD6C9B" w:rsidRPr="003B297C" w14:paraId="797B8F61" w14:textId="77777777" w:rsidTr="00ED7FA3">
        <w:trPr>
          <w:jc w:val="center"/>
        </w:trPr>
        <w:tc>
          <w:tcPr>
            <w:tcW w:w="4876" w:type="dxa"/>
            <w:tcBorders>
              <w:top w:val="nil"/>
              <w:left w:val="nil"/>
              <w:bottom w:val="nil"/>
              <w:right w:val="nil"/>
            </w:tcBorders>
            <w:hideMark/>
          </w:tcPr>
          <w:p w14:paraId="6FD867BB" w14:textId="77777777" w:rsidR="00BD6C9B" w:rsidRPr="003B297C" w:rsidRDefault="00BD6C9B" w:rsidP="00ED7FA3">
            <w:pPr>
              <w:pStyle w:val="Normal6a"/>
            </w:pPr>
            <w:r w:rsidRPr="003B297C">
              <w:t>(3)</w:t>
            </w:r>
            <w:r w:rsidRPr="003B297C">
              <w:tab/>
              <w:t>Reservi eeldatava toimimise analüüs näitab hiljutist teavet arvesse võttes, et mõne parameetri sihipärased muudatused aitaksid parandada turu prognoositavust ja hinnamuutuse stabiilsust uue süsteemi kasutuselevõtu algusaastatel.</w:t>
            </w:r>
          </w:p>
        </w:tc>
        <w:tc>
          <w:tcPr>
            <w:tcW w:w="4876" w:type="dxa"/>
            <w:tcBorders>
              <w:top w:val="nil"/>
              <w:left w:val="nil"/>
              <w:bottom w:val="nil"/>
              <w:right w:val="nil"/>
            </w:tcBorders>
            <w:hideMark/>
          </w:tcPr>
          <w:p w14:paraId="5C105436" w14:textId="77777777" w:rsidR="00BD6C9B" w:rsidRPr="003B297C" w:rsidRDefault="00BD6C9B" w:rsidP="00ED7FA3">
            <w:pPr>
              <w:pStyle w:val="Normal6a"/>
            </w:pPr>
            <w:r w:rsidRPr="003B297C">
              <w:t>(3)</w:t>
            </w:r>
            <w:r w:rsidRPr="003B297C">
              <w:tab/>
              <w:t xml:space="preserve">Reservi eeldatava toimimise analüüs näitab hiljutist teavet arvesse võttes, et mõne parameetri sihipärased muudatused aitaksid parandada turu prognoositavust ja hinnamuutuse stabiilsust uue süsteemi kasutuselevõtu algusaastatel. </w:t>
            </w:r>
            <w:r w:rsidRPr="003B297C">
              <w:rPr>
                <w:b/>
                <w:i/>
              </w:rPr>
              <w:t>Selleks et need muudatused ei takistaks süsinikuheite vähendamiseks tehtavaid liidu jõupingutusi, on vaja liikmesriikide täiendavaid meetmeid. Euroopa Keskpanga andmetel jäävad rohelised investeeringud liidus allapoole tasemeid, mis on vajalikud 2030. aasta süsinikuheite vähendamise eesmärgi saavutamiseks. Seepärast peavad liikmesriigid püsima rohelise rahastamise puudujäägi ohu suhtes valvsad.</w:t>
            </w:r>
          </w:p>
        </w:tc>
      </w:tr>
    </w:tbl>
    <w:p w14:paraId="14386E6F" w14:textId="77777777" w:rsidR="00BD6C9B" w:rsidRPr="003B297C" w:rsidRDefault="00BD6C9B" w:rsidP="00BD6C9B"/>
    <w:p w14:paraId="53F144E8" w14:textId="77777777" w:rsidR="00BD6C9B" w:rsidRPr="003B297C" w:rsidRDefault="00BD6C9B" w:rsidP="00BD6C9B">
      <w:pPr>
        <w:pStyle w:val="AmNumberTabs"/>
      </w:pPr>
      <w:r w:rsidRPr="003B297C">
        <w:t>Muudatusettepanek</w:t>
      </w:r>
      <w:r w:rsidRPr="003B297C">
        <w:tab/>
      </w:r>
      <w:r w:rsidRPr="003B297C">
        <w:tab/>
        <w:t>3</w:t>
      </w:r>
    </w:p>
    <w:p w14:paraId="69ED550A" w14:textId="77777777" w:rsidR="00BD6C9B" w:rsidRPr="003B297C" w:rsidRDefault="00BD6C9B" w:rsidP="00BD6C9B">
      <w:pPr>
        <w:pStyle w:val="NormalBold"/>
      </w:pPr>
      <w:r w:rsidRPr="003B297C">
        <w:t>Ettepanek võtta vastu otsus</w:t>
      </w:r>
    </w:p>
    <w:p w14:paraId="50E45BE4" w14:textId="77777777" w:rsidR="00BD6C9B" w:rsidRPr="003B297C" w:rsidRDefault="00BD6C9B" w:rsidP="00BD6C9B">
      <w:pPr>
        <w:pStyle w:val="NormalBold"/>
      </w:pPr>
      <w:r w:rsidRPr="003B297C">
        <w:t>Põhjendus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7425461C" w14:textId="77777777" w:rsidTr="00ED7FA3">
        <w:trPr>
          <w:trHeight w:val="240"/>
          <w:jc w:val="center"/>
        </w:trPr>
        <w:tc>
          <w:tcPr>
            <w:tcW w:w="9752" w:type="dxa"/>
            <w:gridSpan w:val="2"/>
            <w:tcBorders>
              <w:top w:val="nil"/>
              <w:left w:val="nil"/>
              <w:bottom w:val="nil"/>
              <w:right w:val="nil"/>
            </w:tcBorders>
          </w:tcPr>
          <w:p w14:paraId="63A60BF3" w14:textId="77777777" w:rsidR="00BD6C9B" w:rsidRPr="003B297C" w:rsidRDefault="00BD6C9B" w:rsidP="00ED7FA3"/>
        </w:tc>
      </w:tr>
      <w:tr w:rsidR="00BD6C9B" w:rsidRPr="003B297C" w14:paraId="75034309" w14:textId="77777777" w:rsidTr="00ED7FA3">
        <w:trPr>
          <w:trHeight w:val="240"/>
          <w:jc w:val="center"/>
        </w:trPr>
        <w:tc>
          <w:tcPr>
            <w:tcW w:w="4876" w:type="dxa"/>
            <w:tcBorders>
              <w:top w:val="nil"/>
              <w:left w:val="nil"/>
              <w:bottom w:val="nil"/>
              <w:right w:val="nil"/>
            </w:tcBorders>
            <w:hideMark/>
          </w:tcPr>
          <w:p w14:paraId="54FFA265"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6E05F134" w14:textId="77777777" w:rsidR="00BD6C9B" w:rsidRPr="003B297C" w:rsidRDefault="00BD6C9B" w:rsidP="00ED7FA3">
            <w:pPr>
              <w:pStyle w:val="AmColumnHeading"/>
            </w:pPr>
            <w:r w:rsidRPr="003B297C">
              <w:t>Muudatusettepanek</w:t>
            </w:r>
          </w:p>
        </w:tc>
      </w:tr>
      <w:tr w:rsidR="00BD6C9B" w:rsidRPr="003B297C" w14:paraId="35A45EBF" w14:textId="77777777" w:rsidTr="00ED7FA3">
        <w:trPr>
          <w:jc w:val="center"/>
        </w:trPr>
        <w:tc>
          <w:tcPr>
            <w:tcW w:w="4876" w:type="dxa"/>
            <w:tcBorders>
              <w:top w:val="nil"/>
              <w:left w:val="nil"/>
              <w:bottom w:val="nil"/>
              <w:right w:val="nil"/>
            </w:tcBorders>
          </w:tcPr>
          <w:p w14:paraId="192FA6E2" w14:textId="77777777" w:rsidR="00BD6C9B" w:rsidRPr="003B297C" w:rsidRDefault="00BD6C9B" w:rsidP="00ED7FA3">
            <w:pPr>
              <w:pStyle w:val="Normal6a"/>
            </w:pPr>
          </w:p>
        </w:tc>
        <w:tc>
          <w:tcPr>
            <w:tcW w:w="4876" w:type="dxa"/>
            <w:tcBorders>
              <w:top w:val="nil"/>
              <w:left w:val="nil"/>
              <w:bottom w:val="nil"/>
              <w:right w:val="nil"/>
            </w:tcBorders>
            <w:hideMark/>
          </w:tcPr>
          <w:p w14:paraId="5421F442" w14:textId="77777777" w:rsidR="00BD6C9B" w:rsidRPr="003B297C" w:rsidRDefault="00BD6C9B" w:rsidP="00ED7FA3">
            <w:pPr>
              <w:pStyle w:val="Normal6a"/>
            </w:pPr>
            <w:r w:rsidRPr="003B297C">
              <w:rPr>
                <w:b/>
                <w:i/>
              </w:rPr>
              <w:t>(3a)</w:t>
            </w:r>
            <w:r w:rsidRPr="003B297C">
              <w:tab/>
            </w:r>
            <w:r w:rsidRPr="003B297C">
              <w:rPr>
                <w:b/>
                <w:i/>
              </w:rPr>
              <w:t xml:space="preserve">Hoonete, maanteetranspordi ja teatavate muude sektorite heitkogustega kauplemise süsteemi rakendamisega </w:t>
            </w:r>
            <w:r w:rsidRPr="003B297C">
              <w:rPr>
                <w:b/>
                <w:i/>
              </w:rPr>
              <w:lastRenderedPageBreak/>
              <w:t xml:space="preserve">peavad kaasnema täiendavad süsinikuheite vähendamise meetmed, mis moodustavad kõige tõhusama vahendi, millega aidata leibkondadel vähendada sõltuvust fossiilkütustest ja seega leevendada HKS2 mõju tarbijatele, arvestades et hoonete ja transpordi kütusenõudlus püsib lühikeses perspektiivis suuresti muutumatu. Liikmesriigid on kohustatud kasutama </w:t>
            </w:r>
            <w:proofErr w:type="spellStart"/>
            <w:r w:rsidRPr="003B297C">
              <w:rPr>
                <w:b/>
                <w:i/>
              </w:rPr>
              <w:t>LHÜde</w:t>
            </w:r>
            <w:proofErr w:type="spellEnd"/>
            <w:r w:rsidRPr="003B297C">
              <w:rPr>
                <w:b/>
                <w:i/>
              </w:rPr>
              <w:t xml:space="preserve"> enampakkumisest saadud tulu direktiivi 2003/87/EÜ artikli 30d lõike 6 kohastel eesmärkidel, eelistades tegevusalasid, mis võivad aidata kaasa heitkogustega kauplemise sotsiaalsete aspektide käsitlemisele HKS2 raames. Seepärast oleks asjakohane, et liikmesriigid kasutaksid reservist vabastatud </w:t>
            </w:r>
            <w:proofErr w:type="spellStart"/>
            <w:r w:rsidRPr="003B297C">
              <w:rPr>
                <w:b/>
                <w:i/>
              </w:rPr>
              <w:t>LHÜde</w:t>
            </w:r>
            <w:proofErr w:type="spellEnd"/>
            <w:r w:rsidRPr="003B297C">
              <w:rPr>
                <w:b/>
                <w:i/>
              </w:rPr>
              <w:t xml:space="preserve"> enampakkumisest saadud tulu oma kliimameetmete sotsiaalkavade täiendamiseks. Sama oluline on, et komisjon täiendaks lõplike ajakohastatud riiklike energia- ja kliimakavade analüüsi, tehes iga liikmesriigi puhul kindlaks sektoripõhised süsinikuheite vähendamise meetmed ja </w:t>
            </w:r>
            <w:proofErr w:type="spellStart"/>
            <w:r w:rsidRPr="003B297C">
              <w:rPr>
                <w:b/>
                <w:i/>
              </w:rPr>
              <w:t>HKSi</w:t>
            </w:r>
            <w:proofErr w:type="spellEnd"/>
            <w:r w:rsidRPr="003B297C">
              <w:rPr>
                <w:b/>
                <w:i/>
              </w:rPr>
              <w:t xml:space="preserve"> tulude parema kasutamise, mis võib aidata vähendada nõudlust HKS2 </w:t>
            </w:r>
            <w:proofErr w:type="spellStart"/>
            <w:r w:rsidRPr="003B297C">
              <w:rPr>
                <w:b/>
                <w:i/>
              </w:rPr>
              <w:t>LHÜde</w:t>
            </w:r>
            <w:proofErr w:type="spellEnd"/>
            <w:r w:rsidRPr="003B297C">
              <w:rPr>
                <w:b/>
                <w:i/>
              </w:rPr>
              <w:t xml:space="preserve"> järele. Samuti on tähtis tugevdada EIP eelrahastuse vahendit ja kaaluda lisameetmeid kliimameetmete sotsiaalfondi eelarve suurendamiseks, et tagada leibkondadele õigeaegse rahalise toetuse andmine tasemel, mis kajastab HKS2 hindade muutust. Komisjon peaks kaaluma kliimameetmete sotsiaalfondi kestuse pikendamist.</w:t>
            </w:r>
          </w:p>
        </w:tc>
      </w:tr>
    </w:tbl>
    <w:p w14:paraId="7DD385E6" w14:textId="77777777" w:rsidR="00BD6C9B" w:rsidRPr="003B297C" w:rsidRDefault="00BD6C9B" w:rsidP="00BD6C9B"/>
    <w:p w14:paraId="36C4B175" w14:textId="77777777" w:rsidR="00BD6C9B" w:rsidRPr="003B297C" w:rsidRDefault="00BD6C9B" w:rsidP="00BD6C9B">
      <w:pPr>
        <w:pStyle w:val="AmNumberTabs"/>
      </w:pPr>
      <w:r w:rsidRPr="003B297C">
        <w:t>Muudatusettepanek</w:t>
      </w:r>
      <w:r w:rsidRPr="003B297C">
        <w:tab/>
      </w:r>
      <w:r w:rsidRPr="003B297C">
        <w:tab/>
        <w:t>4</w:t>
      </w:r>
    </w:p>
    <w:p w14:paraId="32D8945F" w14:textId="77777777" w:rsidR="00BD6C9B" w:rsidRPr="003B297C" w:rsidRDefault="00BD6C9B" w:rsidP="00BD6C9B">
      <w:pPr>
        <w:pStyle w:val="NormalBold"/>
      </w:pPr>
      <w:r w:rsidRPr="003B297C">
        <w:t>Ettepanek võtta vastu otsus</w:t>
      </w:r>
    </w:p>
    <w:p w14:paraId="39C0C333" w14:textId="77777777" w:rsidR="00BD6C9B" w:rsidRPr="003B297C" w:rsidRDefault="00BD6C9B" w:rsidP="00BD6C9B">
      <w:pPr>
        <w:pStyle w:val="NormalBold"/>
      </w:pPr>
      <w:r w:rsidRPr="003B297C">
        <w:t>Põhjendus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1F9C9F53" w14:textId="77777777" w:rsidTr="00ED7FA3">
        <w:trPr>
          <w:trHeight w:val="240"/>
          <w:jc w:val="center"/>
        </w:trPr>
        <w:tc>
          <w:tcPr>
            <w:tcW w:w="9752" w:type="dxa"/>
            <w:gridSpan w:val="2"/>
            <w:tcBorders>
              <w:top w:val="nil"/>
              <w:left w:val="nil"/>
              <w:bottom w:val="nil"/>
              <w:right w:val="nil"/>
            </w:tcBorders>
          </w:tcPr>
          <w:p w14:paraId="330D4854" w14:textId="77777777" w:rsidR="00BD6C9B" w:rsidRPr="003B297C" w:rsidRDefault="00BD6C9B" w:rsidP="00ED7FA3"/>
        </w:tc>
      </w:tr>
      <w:tr w:rsidR="00BD6C9B" w:rsidRPr="003B297C" w14:paraId="54FD703C" w14:textId="77777777" w:rsidTr="00ED7FA3">
        <w:trPr>
          <w:trHeight w:val="240"/>
          <w:jc w:val="center"/>
        </w:trPr>
        <w:tc>
          <w:tcPr>
            <w:tcW w:w="4876" w:type="dxa"/>
            <w:tcBorders>
              <w:top w:val="nil"/>
              <w:left w:val="nil"/>
              <w:bottom w:val="nil"/>
              <w:right w:val="nil"/>
            </w:tcBorders>
            <w:hideMark/>
          </w:tcPr>
          <w:p w14:paraId="569900B4"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46BCD328" w14:textId="77777777" w:rsidR="00BD6C9B" w:rsidRPr="003B297C" w:rsidRDefault="00BD6C9B" w:rsidP="00ED7FA3">
            <w:pPr>
              <w:pStyle w:val="AmColumnHeading"/>
            </w:pPr>
            <w:r w:rsidRPr="003B297C">
              <w:t>Muudatusettepanek</w:t>
            </w:r>
          </w:p>
        </w:tc>
      </w:tr>
      <w:tr w:rsidR="00BD6C9B" w:rsidRPr="003B297C" w14:paraId="5FB8A77F" w14:textId="77777777" w:rsidTr="00ED7FA3">
        <w:trPr>
          <w:jc w:val="center"/>
        </w:trPr>
        <w:tc>
          <w:tcPr>
            <w:tcW w:w="4876" w:type="dxa"/>
            <w:tcBorders>
              <w:top w:val="nil"/>
              <w:left w:val="nil"/>
              <w:bottom w:val="nil"/>
              <w:right w:val="nil"/>
            </w:tcBorders>
            <w:hideMark/>
          </w:tcPr>
          <w:p w14:paraId="19C78B4F" w14:textId="77777777" w:rsidR="00BD6C9B" w:rsidRPr="003B297C" w:rsidRDefault="00BD6C9B" w:rsidP="00ED7FA3">
            <w:pPr>
              <w:pStyle w:val="Normal6a"/>
            </w:pPr>
            <w:r w:rsidRPr="003B297C">
              <w:t>(4)</w:t>
            </w:r>
            <w:r w:rsidRPr="003B297C">
              <w:tab/>
              <w:t xml:space="preserve">Turu pikaajalise </w:t>
            </w:r>
            <w:proofErr w:type="spellStart"/>
            <w:r w:rsidRPr="003B297C">
              <w:t>prognoositavuse</w:t>
            </w:r>
            <w:proofErr w:type="spellEnd"/>
            <w:r w:rsidRPr="003B297C">
              <w:t xml:space="preserve"> suurendamiseks peaksid hoonete, maanteetranspordi ja teatavate muude sektorite reservi lisatud </w:t>
            </w:r>
            <w:proofErr w:type="spellStart"/>
            <w:r w:rsidRPr="003B297C">
              <w:t>LHÜd</w:t>
            </w:r>
            <w:proofErr w:type="spellEnd"/>
            <w:r w:rsidRPr="003B297C">
              <w:t xml:space="preserve">, mida reservist ei vabastata, jääma kehtivaks </w:t>
            </w:r>
            <w:r w:rsidRPr="003B297C">
              <w:rPr>
                <w:b/>
                <w:i/>
              </w:rPr>
              <w:t>ka pärast</w:t>
            </w:r>
            <w:r w:rsidRPr="003B297C">
              <w:t xml:space="preserve"> 31. </w:t>
            </w:r>
            <w:r w:rsidRPr="003B297C">
              <w:rPr>
                <w:b/>
                <w:i/>
              </w:rPr>
              <w:t>detsembrit 2030</w:t>
            </w:r>
            <w:r w:rsidRPr="003B297C">
              <w:t>.</w:t>
            </w:r>
          </w:p>
        </w:tc>
        <w:tc>
          <w:tcPr>
            <w:tcW w:w="4876" w:type="dxa"/>
            <w:tcBorders>
              <w:top w:val="nil"/>
              <w:left w:val="nil"/>
              <w:bottom w:val="nil"/>
              <w:right w:val="nil"/>
            </w:tcBorders>
            <w:hideMark/>
          </w:tcPr>
          <w:p w14:paraId="1738238D" w14:textId="77777777" w:rsidR="00BD6C9B" w:rsidRPr="003B297C" w:rsidRDefault="00BD6C9B" w:rsidP="00ED7FA3">
            <w:pPr>
              <w:pStyle w:val="Normal6a"/>
            </w:pPr>
            <w:r w:rsidRPr="003B297C">
              <w:t>(4)</w:t>
            </w:r>
            <w:r w:rsidRPr="003B297C">
              <w:tab/>
              <w:t xml:space="preserve">Turu pikaajalise </w:t>
            </w:r>
            <w:proofErr w:type="spellStart"/>
            <w:r w:rsidRPr="003B297C">
              <w:t>prognoositavuse</w:t>
            </w:r>
            <w:proofErr w:type="spellEnd"/>
            <w:r w:rsidRPr="003B297C">
              <w:t xml:space="preserve"> suurendamiseks peaksid hoonete, maanteetranspordi ja teatavate muude sektorite reservi lisatud </w:t>
            </w:r>
            <w:proofErr w:type="spellStart"/>
            <w:r w:rsidRPr="003B297C">
              <w:t>LHÜd</w:t>
            </w:r>
            <w:proofErr w:type="spellEnd"/>
            <w:r w:rsidRPr="003B297C">
              <w:t xml:space="preserve">, mida reservist ei vabastata, jääma kehtivaks </w:t>
            </w:r>
            <w:r w:rsidRPr="003B297C">
              <w:rPr>
                <w:b/>
                <w:i/>
              </w:rPr>
              <w:t>kuni 31. detsembrini 2033 ja osaliselt kuni</w:t>
            </w:r>
            <w:r w:rsidRPr="003B297C">
              <w:t xml:space="preserve"> </w:t>
            </w:r>
            <w:r w:rsidRPr="003B297C">
              <w:lastRenderedPageBreak/>
              <w:t>31. </w:t>
            </w:r>
            <w:r w:rsidRPr="003B297C">
              <w:rPr>
                <w:b/>
                <w:i/>
              </w:rPr>
              <w:t>detsembrini 2035.</w:t>
            </w:r>
            <w:r w:rsidRPr="003B297C">
              <w:t xml:space="preserve"> </w:t>
            </w:r>
            <w:r w:rsidRPr="003B297C">
              <w:rPr>
                <w:b/>
                <w:i/>
              </w:rPr>
              <w:t xml:space="preserve">Nelja aasta jooksul alates HKS2 </w:t>
            </w:r>
            <w:proofErr w:type="spellStart"/>
            <w:r w:rsidRPr="003B297C">
              <w:rPr>
                <w:b/>
                <w:i/>
              </w:rPr>
              <w:t>toimimahakkamisest</w:t>
            </w:r>
            <w:proofErr w:type="spellEnd"/>
            <w:r w:rsidRPr="003B297C">
              <w:rPr>
                <w:b/>
                <w:i/>
              </w:rPr>
              <w:t xml:space="preserve"> peaks komisjon tegema mõjuhindamise, sealhulgas jaotusliku mõju hindamise, ning reservis olevate ülejäänud </w:t>
            </w:r>
            <w:proofErr w:type="spellStart"/>
            <w:r w:rsidRPr="003B297C">
              <w:rPr>
                <w:b/>
                <w:i/>
              </w:rPr>
              <w:t>LHÜde</w:t>
            </w:r>
            <w:proofErr w:type="spellEnd"/>
            <w:r w:rsidRPr="003B297C">
              <w:rPr>
                <w:b/>
                <w:i/>
              </w:rPr>
              <w:t xml:space="preserve"> keskkonna-, sotsiaalse ja majandusliku mõju hindamise.</w:t>
            </w:r>
          </w:p>
        </w:tc>
      </w:tr>
    </w:tbl>
    <w:p w14:paraId="49FE93B8" w14:textId="77777777" w:rsidR="00BD6C9B" w:rsidRPr="003B297C" w:rsidRDefault="00BD6C9B" w:rsidP="00BD6C9B"/>
    <w:p w14:paraId="4675D8DA" w14:textId="77777777" w:rsidR="00BD6C9B" w:rsidRPr="003B297C" w:rsidRDefault="00BD6C9B" w:rsidP="00BD6C9B">
      <w:pPr>
        <w:pStyle w:val="AmNumberTabs"/>
      </w:pPr>
      <w:r w:rsidRPr="003B297C">
        <w:t>Muudatusettepanek</w:t>
      </w:r>
      <w:r w:rsidRPr="003B297C">
        <w:tab/>
      </w:r>
      <w:r w:rsidRPr="003B297C">
        <w:tab/>
        <w:t>5</w:t>
      </w:r>
    </w:p>
    <w:p w14:paraId="320D0953" w14:textId="77777777" w:rsidR="00BD6C9B" w:rsidRPr="003B297C" w:rsidRDefault="00BD6C9B" w:rsidP="00BD6C9B">
      <w:pPr>
        <w:pStyle w:val="NormalBold"/>
      </w:pPr>
      <w:r w:rsidRPr="003B297C">
        <w:t>Ettepanek võtta vastu otsus</w:t>
      </w:r>
    </w:p>
    <w:p w14:paraId="392B7EBC" w14:textId="77777777" w:rsidR="00BD6C9B" w:rsidRPr="003B297C" w:rsidRDefault="00BD6C9B" w:rsidP="00BD6C9B">
      <w:pPr>
        <w:pStyle w:val="NormalBold"/>
      </w:pPr>
      <w:r w:rsidRPr="003B297C">
        <w:t>Põhjendus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0D6B9608" w14:textId="77777777" w:rsidTr="00ED7FA3">
        <w:trPr>
          <w:trHeight w:val="240"/>
          <w:jc w:val="center"/>
        </w:trPr>
        <w:tc>
          <w:tcPr>
            <w:tcW w:w="9752" w:type="dxa"/>
            <w:gridSpan w:val="2"/>
            <w:tcBorders>
              <w:top w:val="nil"/>
              <w:left w:val="nil"/>
              <w:bottom w:val="nil"/>
              <w:right w:val="nil"/>
            </w:tcBorders>
          </w:tcPr>
          <w:p w14:paraId="54A9B402" w14:textId="77777777" w:rsidR="00BD6C9B" w:rsidRPr="003B297C" w:rsidRDefault="00BD6C9B" w:rsidP="00ED7FA3"/>
        </w:tc>
      </w:tr>
      <w:tr w:rsidR="00BD6C9B" w:rsidRPr="003B297C" w14:paraId="17A7279C" w14:textId="77777777" w:rsidTr="00ED7FA3">
        <w:trPr>
          <w:trHeight w:val="240"/>
          <w:jc w:val="center"/>
        </w:trPr>
        <w:tc>
          <w:tcPr>
            <w:tcW w:w="4876" w:type="dxa"/>
            <w:tcBorders>
              <w:top w:val="nil"/>
              <w:left w:val="nil"/>
              <w:bottom w:val="nil"/>
              <w:right w:val="nil"/>
            </w:tcBorders>
            <w:hideMark/>
          </w:tcPr>
          <w:p w14:paraId="73677A8F"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63D5AEFE" w14:textId="77777777" w:rsidR="00BD6C9B" w:rsidRPr="003B297C" w:rsidRDefault="00BD6C9B" w:rsidP="00ED7FA3">
            <w:pPr>
              <w:pStyle w:val="AmColumnHeading"/>
            </w:pPr>
            <w:r w:rsidRPr="003B297C">
              <w:t>Muudatusettepanek</w:t>
            </w:r>
          </w:p>
        </w:tc>
      </w:tr>
      <w:tr w:rsidR="00BD6C9B" w:rsidRPr="003B297C" w14:paraId="7B3DD871" w14:textId="77777777" w:rsidTr="00ED7FA3">
        <w:trPr>
          <w:jc w:val="center"/>
        </w:trPr>
        <w:tc>
          <w:tcPr>
            <w:tcW w:w="4876" w:type="dxa"/>
            <w:tcBorders>
              <w:top w:val="nil"/>
              <w:left w:val="nil"/>
              <w:bottom w:val="nil"/>
              <w:right w:val="nil"/>
            </w:tcBorders>
            <w:hideMark/>
          </w:tcPr>
          <w:p w14:paraId="02A73D47" w14:textId="77777777" w:rsidR="00BD6C9B" w:rsidRPr="003B297C" w:rsidRDefault="00BD6C9B" w:rsidP="00ED7FA3">
            <w:pPr>
              <w:pStyle w:val="Normal6a"/>
            </w:pPr>
            <w:r w:rsidRPr="003B297C">
              <w:t>(6)</w:t>
            </w:r>
            <w:r w:rsidRPr="003B297C">
              <w:tab/>
              <w:t xml:space="preserve">Selleks et parandada asjaomase mehhanismi suutlikkust reageerida põhjendamatutele hinnakõikumistele ja suurendada turu prognoositavust, tuleks hoonete, maanteetranspordi ja teatavate muude sektorite heitkogustega kauplemise süsteemi esimesel kolmel rakendamisaastal läbimõeldult tugevdada hinnastabiilsuse suurendamise mehhanismi. See võiks hõlmata varasemast suurema hulga </w:t>
            </w:r>
            <w:proofErr w:type="spellStart"/>
            <w:r w:rsidRPr="003B297C">
              <w:t>LHÜde</w:t>
            </w:r>
            <w:proofErr w:type="spellEnd"/>
            <w:r w:rsidRPr="003B297C">
              <w:t xml:space="preserve"> vabastamist turul. Kui asjaomast meedet kohaldatakse sama 12-kuulise ajavahemiku jooksul kaks korda, peaks ka täiendav vabastamine toimuma kaks korda.</w:t>
            </w:r>
          </w:p>
        </w:tc>
        <w:tc>
          <w:tcPr>
            <w:tcW w:w="4876" w:type="dxa"/>
            <w:tcBorders>
              <w:top w:val="nil"/>
              <w:left w:val="nil"/>
              <w:bottom w:val="nil"/>
              <w:right w:val="nil"/>
            </w:tcBorders>
            <w:hideMark/>
          </w:tcPr>
          <w:p w14:paraId="64E689B5" w14:textId="77777777" w:rsidR="00BD6C9B" w:rsidRPr="003B297C" w:rsidRDefault="00BD6C9B" w:rsidP="00ED7FA3">
            <w:pPr>
              <w:pStyle w:val="Normal6a"/>
            </w:pPr>
            <w:r w:rsidRPr="003B297C">
              <w:t>(6)</w:t>
            </w:r>
            <w:r w:rsidRPr="003B297C">
              <w:tab/>
              <w:t xml:space="preserve">Selleks et parandada asjaomase mehhanismi suutlikkust reageerida põhjendamatutele hinnakõikumistele ja suurendada turu prognoositavust, tuleks hoonete, maanteetranspordi ja teatavate muude sektorite heitkogustega kauplemise süsteemi esimesel kolmel rakendamisaastal läbimõeldult tugevdada hinnastabiilsuse suurendamise mehhanismi. See võiks hõlmata varasemast suurema hulga </w:t>
            </w:r>
            <w:proofErr w:type="spellStart"/>
            <w:r w:rsidRPr="003B297C">
              <w:t>LHÜde</w:t>
            </w:r>
            <w:proofErr w:type="spellEnd"/>
            <w:r w:rsidRPr="003B297C">
              <w:t xml:space="preserve"> </w:t>
            </w:r>
            <w:r w:rsidRPr="003B297C">
              <w:rPr>
                <w:b/>
                <w:i/>
              </w:rPr>
              <w:t>viivitamatut</w:t>
            </w:r>
            <w:r w:rsidRPr="003B297C">
              <w:t xml:space="preserve"> vabastamist turul. Kui asjaomast meedet kohaldatakse sama 12-kuulise ajavahemiku jooksul kaks korda, peaks ka täiendav vabastamine toimuma kaks korda.</w:t>
            </w:r>
          </w:p>
        </w:tc>
      </w:tr>
    </w:tbl>
    <w:p w14:paraId="0EA56948" w14:textId="77777777" w:rsidR="00BD6C9B" w:rsidRPr="003B297C" w:rsidRDefault="00BD6C9B" w:rsidP="00BD6C9B"/>
    <w:p w14:paraId="7AC496F1" w14:textId="77777777" w:rsidR="00BD6C9B" w:rsidRPr="003B297C" w:rsidRDefault="00BD6C9B" w:rsidP="00BD6C9B">
      <w:pPr>
        <w:pStyle w:val="AmNumberTabs"/>
      </w:pPr>
      <w:r w:rsidRPr="003B297C">
        <w:t>Muudatusettepanek</w:t>
      </w:r>
      <w:r w:rsidRPr="003B297C">
        <w:tab/>
      </w:r>
      <w:r w:rsidRPr="003B297C">
        <w:tab/>
        <w:t>6</w:t>
      </w:r>
    </w:p>
    <w:p w14:paraId="62DF86B2" w14:textId="77777777" w:rsidR="00BD6C9B" w:rsidRPr="003B297C" w:rsidRDefault="00BD6C9B" w:rsidP="00BD6C9B">
      <w:pPr>
        <w:pStyle w:val="NormalBold"/>
      </w:pPr>
      <w:r w:rsidRPr="003B297C">
        <w:t>Ettepanek võtta vastu otsus</w:t>
      </w:r>
    </w:p>
    <w:p w14:paraId="343F5147" w14:textId="77777777" w:rsidR="00BD6C9B" w:rsidRPr="003B297C" w:rsidRDefault="00BD6C9B" w:rsidP="00BD6C9B">
      <w:pPr>
        <w:pStyle w:val="NormalBold"/>
      </w:pPr>
      <w:r w:rsidRPr="003B297C">
        <w:t>Põhjendus 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2015D92D" w14:textId="77777777" w:rsidTr="00ED7FA3">
        <w:trPr>
          <w:trHeight w:val="240"/>
          <w:jc w:val="center"/>
        </w:trPr>
        <w:tc>
          <w:tcPr>
            <w:tcW w:w="9752" w:type="dxa"/>
            <w:gridSpan w:val="2"/>
            <w:tcBorders>
              <w:top w:val="nil"/>
              <w:left w:val="nil"/>
              <w:bottom w:val="nil"/>
              <w:right w:val="nil"/>
            </w:tcBorders>
          </w:tcPr>
          <w:p w14:paraId="7C1DD8DF" w14:textId="77777777" w:rsidR="00BD6C9B" w:rsidRPr="003B297C" w:rsidRDefault="00BD6C9B" w:rsidP="00ED7FA3"/>
        </w:tc>
      </w:tr>
      <w:tr w:rsidR="00BD6C9B" w:rsidRPr="003B297C" w14:paraId="1EC71266" w14:textId="77777777" w:rsidTr="00ED7FA3">
        <w:trPr>
          <w:trHeight w:val="240"/>
          <w:jc w:val="center"/>
        </w:trPr>
        <w:tc>
          <w:tcPr>
            <w:tcW w:w="4876" w:type="dxa"/>
            <w:tcBorders>
              <w:top w:val="nil"/>
              <w:left w:val="nil"/>
              <w:bottom w:val="nil"/>
              <w:right w:val="nil"/>
            </w:tcBorders>
            <w:hideMark/>
          </w:tcPr>
          <w:p w14:paraId="01395810"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0FF40095" w14:textId="77777777" w:rsidR="00BD6C9B" w:rsidRPr="003B297C" w:rsidRDefault="00BD6C9B" w:rsidP="00ED7FA3">
            <w:pPr>
              <w:pStyle w:val="AmColumnHeading"/>
            </w:pPr>
            <w:r w:rsidRPr="003B297C">
              <w:t>Muudatusettepanek</w:t>
            </w:r>
          </w:p>
        </w:tc>
      </w:tr>
      <w:tr w:rsidR="00BD6C9B" w:rsidRPr="003B297C" w14:paraId="70E81514" w14:textId="77777777" w:rsidTr="00ED7FA3">
        <w:trPr>
          <w:jc w:val="center"/>
        </w:trPr>
        <w:tc>
          <w:tcPr>
            <w:tcW w:w="4876" w:type="dxa"/>
            <w:tcBorders>
              <w:top w:val="nil"/>
              <w:left w:val="nil"/>
              <w:bottom w:val="nil"/>
              <w:right w:val="nil"/>
            </w:tcBorders>
          </w:tcPr>
          <w:p w14:paraId="56198FDC" w14:textId="77777777" w:rsidR="00BD6C9B" w:rsidRPr="003B297C" w:rsidRDefault="00BD6C9B" w:rsidP="00ED7FA3">
            <w:pPr>
              <w:pStyle w:val="Normal6a"/>
            </w:pPr>
          </w:p>
        </w:tc>
        <w:tc>
          <w:tcPr>
            <w:tcW w:w="4876" w:type="dxa"/>
            <w:tcBorders>
              <w:top w:val="nil"/>
              <w:left w:val="nil"/>
              <w:bottom w:val="nil"/>
              <w:right w:val="nil"/>
            </w:tcBorders>
            <w:hideMark/>
          </w:tcPr>
          <w:p w14:paraId="2DB0C0FA" w14:textId="77777777" w:rsidR="00BD6C9B" w:rsidRPr="003B297C" w:rsidRDefault="00BD6C9B" w:rsidP="00ED7FA3">
            <w:pPr>
              <w:pStyle w:val="Normal6a"/>
            </w:pPr>
            <w:r w:rsidRPr="003B297C">
              <w:rPr>
                <w:b/>
                <w:i/>
              </w:rPr>
              <w:t>(6a)</w:t>
            </w:r>
            <w:r w:rsidRPr="003B297C">
              <w:tab/>
            </w:r>
            <w:proofErr w:type="spellStart"/>
            <w:r w:rsidRPr="003B297C">
              <w:rPr>
                <w:b/>
                <w:i/>
              </w:rPr>
              <w:t>LHÜde</w:t>
            </w:r>
            <w:proofErr w:type="spellEnd"/>
            <w:r w:rsidRPr="003B297C">
              <w:rPr>
                <w:b/>
                <w:i/>
              </w:rPr>
              <w:t xml:space="preserve"> ülemääraselt kõrgetel hinnatasemetel hoonete, maanteetranspordi ja teatavate muude sektorite heitkogustega kauplemise süsteemis võib endiselt olla ebaproportsionaalne mõju vähekaitstud leibkondadele, samal ajal kui ülemäärased hinnakõikumised ei pruugi esineda üksnes kaks korda aastas. Euroopa Parlamendi ja nõukogu direktiivi 2003/87/EÜ läbivaatamise kontekstis on oluline kaaluda täiendavaid sotsiaalkaitsemeetmeid ning võib olla </w:t>
            </w:r>
            <w:r w:rsidRPr="003B297C">
              <w:rPr>
                <w:b/>
                <w:i/>
              </w:rPr>
              <w:lastRenderedPageBreak/>
              <w:t xml:space="preserve">asjakohane, et komisjon kaaluks tugevamaid hinnapiiramise vahendeid, et tagada hinnastabiilsus pikas perspektiivis. Sellega seoses võiks komisjon kaaluda selliseid võimalusi nagu 2026. aasta hindades kehtestatud 45 euro suuruse ülemäärase hinnatõusu mehhanismi tugevdamine ja selle pikendamine ka ajani pärast 31. detsembrit 2029 ning turustabiilsusreservi vastav kohandamine, sealhulgas </w:t>
            </w:r>
            <w:proofErr w:type="spellStart"/>
            <w:r w:rsidRPr="003B297C">
              <w:rPr>
                <w:b/>
                <w:i/>
              </w:rPr>
              <w:t>LHÜde</w:t>
            </w:r>
            <w:proofErr w:type="spellEnd"/>
            <w:r w:rsidRPr="003B297C">
              <w:rPr>
                <w:b/>
                <w:i/>
              </w:rPr>
              <w:t xml:space="preserve"> vabastamise sagedus ja vabastatav hulk ning reservis olev hulk, kui see on vajalik, hinnates võimalust lubada liikmesriikidel erandkorras ajutiselt mitte kohaldada süsteemi eluhoonete suhtes, tingimusel et nad tõendavad, et nad suudavad saavutada jõupingutuste jagamise eesmärgid muude meetmete kehtestamisega, ning tingimusel, et nad on võtnud liikmesriigi õigusesse üle Euroopa Parlamendi ja nõukogu direktiivi (EL) 2024/1275, tagades võimaluse kasutada heitkogustega kauplemisest saadavat tulu otsetoetuseks, näiteks kliimadividendideks, ilma et nad peaksid tõendama positiivset keskkonnamõju või võtma muid meetmeid vähekaitstud leibkondadele </w:t>
            </w:r>
            <w:proofErr w:type="spellStart"/>
            <w:r w:rsidRPr="003B297C">
              <w:rPr>
                <w:b/>
                <w:i/>
              </w:rPr>
              <w:t>ülekanduvate</w:t>
            </w:r>
            <w:proofErr w:type="spellEnd"/>
            <w:r w:rsidRPr="003B297C">
              <w:rPr>
                <w:b/>
                <w:i/>
              </w:rPr>
              <w:t xml:space="preserve"> kulude minimeerimiseks. Komisjon peab neid võimalusi 1. märtsiks 2027 igakülgselt hindama nende sotsiaalse ja keskkonnamõju seisukohast, tagades samal ajal, et need ei kahjustaks Euroopa Parlamendi ja nõukogu määruses (EL) 2021/1119 sätestatud liidu kliimaeesmärkide saavutamist.</w:t>
            </w:r>
          </w:p>
        </w:tc>
      </w:tr>
    </w:tbl>
    <w:p w14:paraId="127D8D70" w14:textId="77777777" w:rsidR="00BD6C9B" w:rsidRPr="003B297C" w:rsidRDefault="00BD6C9B" w:rsidP="00BD6C9B"/>
    <w:p w14:paraId="75A7CE30" w14:textId="77777777" w:rsidR="00BD6C9B" w:rsidRPr="003B297C" w:rsidRDefault="00BD6C9B" w:rsidP="00BD6C9B">
      <w:pPr>
        <w:pStyle w:val="AmNumberTabs"/>
      </w:pPr>
      <w:r w:rsidRPr="003B297C">
        <w:t>Muudatusettepanek</w:t>
      </w:r>
      <w:r w:rsidRPr="003B297C">
        <w:tab/>
      </w:r>
      <w:r w:rsidRPr="003B297C">
        <w:tab/>
        <w:t>7</w:t>
      </w:r>
    </w:p>
    <w:p w14:paraId="419DF2BC" w14:textId="77777777" w:rsidR="00BD6C9B" w:rsidRPr="003B297C" w:rsidRDefault="00BD6C9B" w:rsidP="00BD6C9B">
      <w:pPr>
        <w:pStyle w:val="NormalBold"/>
      </w:pPr>
      <w:r w:rsidRPr="003B297C">
        <w:t>Ettepanek võtta vastu otsus</w:t>
      </w:r>
    </w:p>
    <w:p w14:paraId="6375F454" w14:textId="77777777" w:rsidR="00BD6C9B" w:rsidRPr="003B297C" w:rsidRDefault="00BD6C9B" w:rsidP="00BD6C9B">
      <w:pPr>
        <w:pStyle w:val="NormalBold"/>
      </w:pPr>
      <w:r w:rsidRPr="003B297C">
        <w:t>Põhjendus 6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783C193A" w14:textId="77777777" w:rsidTr="00ED7FA3">
        <w:trPr>
          <w:trHeight w:val="240"/>
          <w:jc w:val="center"/>
        </w:trPr>
        <w:tc>
          <w:tcPr>
            <w:tcW w:w="9752" w:type="dxa"/>
            <w:gridSpan w:val="2"/>
            <w:tcBorders>
              <w:top w:val="nil"/>
              <w:left w:val="nil"/>
              <w:bottom w:val="nil"/>
              <w:right w:val="nil"/>
            </w:tcBorders>
          </w:tcPr>
          <w:p w14:paraId="3F2B3925" w14:textId="77777777" w:rsidR="00BD6C9B" w:rsidRPr="003B297C" w:rsidRDefault="00BD6C9B" w:rsidP="00ED7FA3"/>
        </w:tc>
      </w:tr>
      <w:tr w:rsidR="00BD6C9B" w:rsidRPr="003B297C" w14:paraId="7F0D9C2A" w14:textId="77777777" w:rsidTr="00ED7FA3">
        <w:trPr>
          <w:trHeight w:val="240"/>
          <w:jc w:val="center"/>
        </w:trPr>
        <w:tc>
          <w:tcPr>
            <w:tcW w:w="4876" w:type="dxa"/>
            <w:tcBorders>
              <w:top w:val="nil"/>
              <w:left w:val="nil"/>
              <w:bottom w:val="nil"/>
              <w:right w:val="nil"/>
            </w:tcBorders>
            <w:hideMark/>
          </w:tcPr>
          <w:p w14:paraId="34A0CFA4"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184A8CF0" w14:textId="77777777" w:rsidR="00BD6C9B" w:rsidRPr="003B297C" w:rsidRDefault="00BD6C9B" w:rsidP="00ED7FA3">
            <w:pPr>
              <w:pStyle w:val="AmColumnHeading"/>
            </w:pPr>
            <w:r w:rsidRPr="003B297C">
              <w:t>Muudatusettepanek</w:t>
            </w:r>
          </w:p>
        </w:tc>
      </w:tr>
      <w:tr w:rsidR="00BD6C9B" w:rsidRPr="003B297C" w14:paraId="0B5476FD" w14:textId="77777777" w:rsidTr="00ED7FA3">
        <w:trPr>
          <w:jc w:val="center"/>
        </w:trPr>
        <w:tc>
          <w:tcPr>
            <w:tcW w:w="4876" w:type="dxa"/>
            <w:tcBorders>
              <w:top w:val="nil"/>
              <w:left w:val="nil"/>
              <w:bottom w:val="nil"/>
              <w:right w:val="nil"/>
            </w:tcBorders>
          </w:tcPr>
          <w:p w14:paraId="482CF450" w14:textId="77777777" w:rsidR="00BD6C9B" w:rsidRPr="003B297C" w:rsidRDefault="00BD6C9B" w:rsidP="00ED7FA3">
            <w:pPr>
              <w:pStyle w:val="Normal6a"/>
            </w:pPr>
          </w:p>
        </w:tc>
        <w:tc>
          <w:tcPr>
            <w:tcW w:w="4876" w:type="dxa"/>
            <w:tcBorders>
              <w:top w:val="nil"/>
              <w:left w:val="nil"/>
              <w:bottom w:val="nil"/>
              <w:right w:val="nil"/>
            </w:tcBorders>
            <w:hideMark/>
          </w:tcPr>
          <w:p w14:paraId="7FA5810B" w14:textId="1745F809" w:rsidR="00BD6C9B" w:rsidRPr="003B297C" w:rsidRDefault="00BD6C9B" w:rsidP="00ED7FA3">
            <w:pPr>
              <w:pStyle w:val="Normal6a"/>
            </w:pPr>
            <w:r w:rsidRPr="003B297C">
              <w:rPr>
                <w:b/>
                <w:i/>
              </w:rPr>
              <w:t>(6b)</w:t>
            </w:r>
            <w:r w:rsidRPr="003B297C">
              <w:tab/>
            </w:r>
            <w:r w:rsidRPr="003B297C">
              <w:rPr>
                <w:b/>
                <w:i/>
              </w:rPr>
              <w:t xml:space="preserve">Pärast turustabiilsusreservi läbivaatamist, nagu on ette nähtud käesolevas muutmisotsuses, oleks asjakohane, et komisjon teeb hoonete, maanteetranspordi ja teatavate muude sektorite heitkogustega kauplemise süsteemi mõjuhindamise, et hinnata selle </w:t>
            </w:r>
            <w:r w:rsidRPr="003B297C">
              <w:rPr>
                <w:b/>
                <w:i/>
              </w:rPr>
              <w:lastRenderedPageBreak/>
              <w:t xml:space="preserve">sotsiaalset mõju ja selle mõju kliimaeesmärkide saavutamisele, samuti jaotusliku hindamise nende vähekaitstud leibkondade arvu kohta, kellele on selleks kuupäevaks tehtud kättesaadavaks toetus kliimameetmete sotsiaalfondist ja </w:t>
            </w:r>
            <w:r w:rsidR="00D728BD" w:rsidRPr="003B297C">
              <w:rPr>
                <w:b/>
                <w:i/>
              </w:rPr>
              <w:t xml:space="preserve">EIP </w:t>
            </w:r>
            <w:r w:rsidRPr="003B297C">
              <w:rPr>
                <w:b/>
                <w:i/>
              </w:rPr>
              <w:t>eelrahastuse vahendist, muu hulgas võimaluse korral jaotus geograafilise piirkonna tüübi, tulujaotuse ja soo kaupa, mille puhul tuleb kaaluda ka lisameetmeid, et tagada HKS2 raames nii keskkonnaalane terviklikkus kui ka sotsiaalne õiglus.</w:t>
            </w:r>
          </w:p>
        </w:tc>
      </w:tr>
    </w:tbl>
    <w:p w14:paraId="42658248" w14:textId="77777777" w:rsidR="00BD6C9B" w:rsidRPr="003B297C" w:rsidRDefault="00BD6C9B" w:rsidP="00BD6C9B"/>
    <w:p w14:paraId="4B43CABD" w14:textId="77777777" w:rsidR="00BD6C9B" w:rsidRPr="003B297C" w:rsidRDefault="00BD6C9B" w:rsidP="00BD6C9B">
      <w:pPr>
        <w:pStyle w:val="AmNumberTabs"/>
      </w:pPr>
      <w:r w:rsidRPr="003B297C">
        <w:t>Muudatusettepanek</w:t>
      </w:r>
      <w:r w:rsidRPr="003B297C">
        <w:tab/>
      </w:r>
      <w:r w:rsidRPr="003B297C">
        <w:tab/>
        <w:t>8</w:t>
      </w:r>
    </w:p>
    <w:p w14:paraId="02C5928D" w14:textId="77777777" w:rsidR="00BD6C9B" w:rsidRPr="003B297C" w:rsidRDefault="00BD6C9B" w:rsidP="00BD6C9B">
      <w:pPr>
        <w:pStyle w:val="NormalBold"/>
      </w:pPr>
      <w:r w:rsidRPr="003B297C">
        <w:t>Ettepanek võtta vastu otsus</w:t>
      </w:r>
    </w:p>
    <w:p w14:paraId="7093CF30" w14:textId="77777777" w:rsidR="00BD6C9B" w:rsidRPr="003B297C" w:rsidRDefault="00BD6C9B" w:rsidP="00BD6C9B">
      <w:pPr>
        <w:pStyle w:val="NormalBold"/>
      </w:pPr>
      <w:r w:rsidRPr="003B297C">
        <w:t>Artikkel 1 – lõik 1 – punkt 1</w:t>
      </w:r>
    </w:p>
    <w:p w14:paraId="218CC8FA" w14:textId="1D78A583" w:rsidR="0035175A" w:rsidRPr="003B297C" w:rsidRDefault="00BD6C9B" w:rsidP="00BD6C9B">
      <w:r w:rsidRPr="003B297C">
        <w:t>Otsus (EL) 2015/1814</w:t>
      </w:r>
    </w:p>
    <w:p w14:paraId="71804578" w14:textId="38724F48" w:rsidR="00BD6C9B" w:rsidRPr="003B297C" w:rsidRDefault="0035175A" w:rsidP="00BD6C9B">
      <w:r w:rsidRPr="003B297C">
        <w:t>A</w:t>
      </w:r>
      <w:r w:rsidR="00BD6C9B" w:rsidRPr="003B297C">
        <w:t>rtikkel 1a</w:t>
      </w:r>
      <w:r w:rsidRPr="003B297C">
        <w:t xml:space="preserve"> – lõi</w:t>
      </w:r>
      <w:r w:rsidR="00B00A71" w:rsidRPr="003B297C">
        <w:t>ge</w:t>
      </w:r>
      <w:r w:rsidRPr="003B297C">
        <w:t xml:space="preserve">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59530B7F" w14:textId="77777777" w:rsidTr="003B297C">
        <w:trPr>
          <w:trHeight w:val="240"/>
          <w:jc w:val="center"/>
        </w:trPr>
        <w:tc>
          <w:tcPr>
            <w:tcW w:w="9752" w:type="dxa"/>
            <w:gridSpan w:val="2"/>
            <w:tcBorders>
              <w:top w:val="nil"/>
              <w:left w:val="nil"/>
              <w:bottom w:val="nil"/>
              <w:right w:val="nil"/>
            </w:tcBorders>
          </w:tcPr>
          <w:p w14:paraId="60F6060D" w14:textId="77777777" w:rsidR="00BD6C9B" w:rsidRPr="003B297C" w:rsidRDefault="00BD6C9B" w:rsidP="00ED7FA3"/>
        </w:tc>
      </w:tr>
      <w:tr w:rsidR="00BD6C9B" w:rsidRPr="003B297C" w14:paraId="169B6E3E" w14:textId="77777777" w:rsidTr="003B297C">
        <w:trPr>
          <w:trHeight w:val="240"/>
          <w:jc w:val="center"/>
        </w:trPr>
        <w:tc>
          <w:tcPr>
            <w:tcW w:w="4876" w:type="dxa"/>
            <w:tcBorders>
              <w:top w:val="nil"/>
              <w:left w:val="nil"/>
              <w:bottom w:val="nil"/>
              <w:right w:val="nil"/>
            </w:tcBorders>
            <w:hideMark/>
          </w:tcPr>
          <w:p w14:paraId="61ECDAC1"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5691133A" w14:textId="77777777" w:rsidR="00BD6C9B" w:rsidRPr="003B297C" w:rsidRDefault="00BD6C9B" w:rsidP="00ED7FA3">
            <w:pPr>
              <w:pStyle w:val="AmColumnHeading"/>
            </w:pPr>
            <w:r w:rsidRPr="003B297C">
              <w:t>Muudatusettepanek</w:t>
            </w:r>
          </w:p>
        </w:tc>
      </w:tr>
      <w:tr w:rsidR="00BD6C9B" w:rsidRPr="003B297C" w14:paraId="65A42337" w14:textId="77777777" w:rsidTr="003B297C">
        <w:trPr>
          <w:jc w:val="center"/>
        </w:trPr>
        <w:tc>
          <w:tcPr>
            <w:tcW w:w="4876" w:type="dxa"/>
            <w:tcBorders>
              <w:top w:val="nil"/>
              <w:left w:val="nil"/>
              <w:bottom w:val="nil"/>
              <w:right w:val="nil"/>
            </w:tcBorders>
            <w:hideMark/>
          </w:tcPr>
          <w:p w14:paraId="63E0EFA7" w14:textId="77777777" w:rsidR="00BD6C9B" w:rsidRPr="003B297C" w:rsidRDefault="00BD6C9B" w:rsidP="00ED7FA3">
            <w:pPr>
              <w:pStyle w:val="Normal6a"/>
            </w:pPr>
            <w:r w:rsidRPr="003B297C">
              <w:t>(1)</w:t>
            </w:r>
            <w:r w:rsidRPr="003B297C">
              <w:tab/>
              <w:t xml:space="preserve">Lõike 3 teine lause </w:t>
            </w:r>
            <w:r w:rsidRPr="003B297C">
              <w:rPr>
                <w:b/>
                <w:i/>
              </w:rPr>
              <w:t>jäetakse välja</w:t>
            </w:r>
            <w:r w:rsidRPr="003B297C">
              <w:t>.</w:t>
            </w:r>
          </w:p>
        </w:tc>
        <w:tc>
          <w:tcPr>
            <w:tcW w:w="4876" w:type="dxa"/>
            <w:tcBorders>
              <w:top w:val="nil"/>
              <w:left w:val="nil"/>
              <w:bottom w:val="nil"/>
              <w:right w:val="nil"/>
            </w:tcBorders>
            <w:hideMark/>
          </w:tcPr>
          <w:p w14:paraId="4756BD2C" w14:textId="14585BF2" w:rsidR="00BD6C9B" w:rsidRPr="003B297C" w:rsidRDefault="00BD6C9B" w:rsidP="00ED7FA3">
            <w:pPr>
              <w:pStyle w:val="Normal6a"/>
            </w:pPr>
            <w:r w:rsidRPr="003B297C">
              <w:t>(1)</w:t>
            </w:r>
            <w:r w:rsidRPr="003B297C">
              <w:tab/>
              <w:t xml:space="preserve">Lõike 3 teine lause </w:t>
            </w:r>
            <w:r w:rsidRPr="003B297C">
              <w:rPr>
                <w:b/>
                <w:i/>
              </w:rPr>
              <w:t>asendatakse järgmisega:</w:t>
            </w:r>
          </w:p>
        </w:tc>
      </w:tr>
      <w:tr w:rsidR="00923D63" w:rsidRPr="003B297C" w14:paraId="773729B5" w14:textId="77777777" w:rsidTr="003B297C">
        <w:trPr>
          <w:jc w:val="center"/>
        </w:trPr>
        <w:tc>
          <w:tcPr>
            <w:tcW w:w="4876" w:type="dxa"/>
            <w:tcBorders>
              <w:top w:val="nil"/>
              <w:left w:val="nil"/>
              <w:bottom w:val="nil"/>
              <w:right w:val="nil"/>
            </w:tcBorders>
          </w:tcPr>
          <w:p w14:paraId="2E1855F8" w14:textId="77777777" w:rsidR="00923D63" w:rsidRPr="003B297C" w:rsidRDefault="00923D63" w:rsidP="00ED7FA3">
            <w:pPr>
              <w:pStyle w:val="Normal6a"/>
            </w:pPr>
          </w:p>
        </w:tc>
        <w:tc>
          <w:tcPr>
            <w:tcW w:w="4876" w:type="dxa"/>
            <w:tcBorders>
              <w:top w:val="nil"/>
              <w:left w:val="nil"/>
              <w:bottom w:val="nil"/>
              <w:right w:val="nil"/>
            </w:tcBorders>
          </w:tcPr>
          <w:p w14:paraId="76A6C742" w14:textId="6C6F3E86" w:rsidR="00923D63" w:rsidRPr="003B297C" w:rsidRDefault="00923D63" w:rsidP="00ED7FA3">
            <w:pPr>
              <w:pStyle w:val="Normal6a"/>
            </w:pPr>
            <w:r w:rsidRPr="003B297C">
              <w:rPr>
                <w:b/>
                <w:i/>
              </w:rPr>
              <w:t xml:space="preserve">„50 % nimetatud lõigus osutatud </w:t>
            </w:r>
            <w:proofErr w:type="spellStart"/>
            <w:r w:rsidRPr="003B297C">
              <w:rPr>
                <w:b/>
                <w:i/>
              </w:rPr>
              <w:t>LHÜdest</w:t>
            </w:r>
            <w:proofErr w:type="spellEnd"/>
            <w:r w:rsidRPr="003B297C">
              <w:rPr>
                <w:b/>
                <w:i/>
              </w:rPr>
              <w:t xml:space="preserve">, mida reservist ei vabastata, kaotavad kehtivuse 1. jaanuarist 2034. Nimetatud lõigus osutatud ülejäänud </w:t>
            </w:r>
            <w:proofErr w:type="spellStart"/>
            <w:r w:rsidRPr="003B297C">
              <w:rPr>
                <w:b/>
                <w:i/>
              </w:rPr>
              <w:t>LHÜd</w:t>
            </w:r>
            <w:proofErr w:type="spellEnd"/>
            <w:r w:rsidRPr="003B297C">
              <w:rPr>
                <w:b/>
                <w:i/>
              </w:rPr>
              <w:t>, mida reservist ei vabastata, kaotavad kehtivuse 1. jaanuarist 2036.“;</w:t>
            </w:r>
          </w:p>
        </w:tc>
      </w:tr>
    </w:tbl>
    <w:p w14:paraId="64E7D3D6" w14:textId="77777777" w:rsidR="00BD6C9B" w:rsidRPr="003B297C" w:rsidRDefault="00BD6C9B" w:rsidP="00BD6C9B"/>
    <w:p w14:paraId="2CB6B74C" w14:textId="77777777" w:rsidR="00BD6C9B" w:rsidRPr="003B297C" w:rsidRDefault="00BD6C9B" w:rsidP="00BD6C9B">
      <w:pPr>
        <w:pStyle w:val="AmNumberTabs"/>
      </w:pPr>
      <w:r w:rsidRPr="003B297C">
        <w:t>Muudatusettepanek</w:t>
      </w:r>
      <w:r w:rsidRPr="003B297C">
        <w:tab/>
      </w:r>
      <w:r w:rsidRPr="003B297C">
        <w:tab/>
        <w:t>9</w:t>
      </w:r>
    </w:p>
    <w:p w14:paraId="78A2B06E" w14:textId="77777777" w:rsidR="00BD6C9B" w:rsidRPr="003B297C" w:rsidRDefault="00BD6C9B" w:rsidP="00BD6C9B">
      <w:pPr>
        <w:pStyle w:val="NormalBold"/>
      </w:pPr>
      <w:r w:rsidRPr="003B297C">
        <w:t>Ettepanek võtta vastu otsus</w:t>
      </w:r>
    </w:p>
    <w:p w14:paraId="1457534A" w14:textId="77777777" w:rsidR="00BD6C9B" w:rsidRPr="003B297C" w:rsidRDefault="00BD6C9B" w:rsidP="00BD6C9B">
      <w:pPr>
        <w:pStyle w:val="NormalBold"/>
      </w:pPr>
      <w:r w:rsidRPr="003B297C">
        <w:t>Artikkel 1 – lõik 1 – punkt 4 a (uus)</w:t>
      </w:r>
    </w:p>
    <w:p w14:paraId="01A0B890" w14:textId="1CCBFDC7" w:rsidR="00285DF6" w:rsidRPr="003B297C" w:rsidRDefault="00BD6C9B" w:rsidP="00BD6C9B">
      <w:r w:rsidRPr="003B297C">
        <w:t>Otsus (EL) 2015/1814</w:t>
      </w:r>
    </w:p>
    <w:p w14:paraId="752303F0" w14:textId="58D36ADF" w:rsidR="00BD6C9B" w:rsidRPr="003B297C" w:rsidRDefault="00285DF6" w:rsidP="00BD6C9B">
      <w:r w:rsidRPr="003B297C">
        <w:t>A</w:t>
      </w:r>
      <w:r w:rsidR="00BD6C9B" w:rsidRPr="003B297C">
        <w:t>rtikkel 1a</w:t>
      </w:r>
      <w:r w:rsidRPr="003B297C">
        <w:t xml:space="preserve"> – lõi</w:t>
      </w:r>
      <w:r w:rsidR="00B00A71" w:rsidRPr="003B297C">
        <w:t>ge</w:t>
      </w:r>
      <w:r w:rsidRPr="003B297C">
        <w:t xml:space="preserv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4E4F8F24" w14:textId="77777777" w:rsidTr="00ED7FA3">
        <w:trPr>
          <w:trHeight w:val="240"/>
          <w:jc w:val="center"/>
        </w:trPr>
        <w:tc>
          <w:tcPr>
            <w:tcW w:w="9752" w:type="dxa"/>
            <w:gridSpan w:val="2"/>
            <w:tcBorders>
              <w:top w:val="nil"/>
              <w:left w:val="nil"/>
              <w:bottom w:val="nil"/>
              <w:right w:val="nil"/>
            </w:tcBorders>
          </w:tcPr>
          <w:p w14:paraId="5B5B0805" w14:textId="77777777" w:rsidR="00BD6C9B" w:rsidRPr="003B297C" w:rsidRDefault="00BD6C9B" w:rsidP="00ED7FA3"/>
        </w:tc>
      </w:tr>
      <w:tr w:rsidR="00BD6C9B" w:rsidRPr="003B297C" w14:paraId="0A266862" w14:textId="77777777" w:rsidTr="00ED7FA3">
        <w:trPr>
          <w:trHeight w:val="240"/>
          <w:jc w:val="center"/>
        </w:trPr>
        <w:tc>
          <w:tcPr>
            <w:tcW w:w="4876" w:type="dxa"/>
            <w:tcBorders>
              <w:top w:val="nil"/>
              <w:left w:val="nil"/>
              <w:bottom w:val="nil"/>
              <w:right w:val="nil"/>
            </w:tcBorders>
            <w:hideMark/>
          </w:tcPr>
          <w:p w14:paraId="5D33446C" w14:textId="77777777" w:rsidR="00BD6C9B" w:rsidRPr="003B297C" w:rsidRDefault="00BD6C9B" w:rsidP="00ED7FA3">
            <w:pPr>
              <w:pStyle w:val="AmColumnHeading"/>
            </w:pPr>
            <w:r w:rsidRPr="003B297C">
              <w:t>Kehtiv tekst</w:t>
            </w:r>
          </w:p>
        </w:tc>
        <w:tc>
          <w:tcPr>
            <w:tcW w:w="4876" w:type="dxa"/>
            <w:tcBorders>
              <w:top w:val="nil"/>
              <w:left w:val="nil"/>
              <w:bottom w:val="nil"/>
              <w:right w:val="nil"/>
            </w:tcBorders>
            <w:hideMark/>
          </w:tcPr>
          <w:p w14:paraId="12D4D61A" w14:textId="77777777" w:rsidR="00BD6C9B" w:rsidRPr="003B297C" w:rsidRDefault="00BD6C9B" w:rsidP="00ED7FA3">
            <w:pPr>
              <w:pStyle w:val="AmColumnHeading"/>
            </w:pPr>
            <w:r w:rsidRPr="003B297C">
              <w:t>Muudatusettepanek</w:t>
            </w:r>
          </w:p>
        </w:tc>
      </w:tr>
      <w:tr w:rsidR="00BD6C9B" w:rsidRPr="003B297C" w14:paraId="31CE4D9B" w14:textId="77777777" w:rsidTr="00ED7FA3">
        <w:trPr>
          <w:jc w:val="center"/>
        </w:trPr>
        <w:tc>
          <w:tcPr>
            <w:tcW w:w="4876" w:type="dxa"/>
            <w:tcBorders>
              <w:top w:val="nil"/>
              <w:left w:val="nil"/>
              <w:bottom w:val="nil"/>
              <w:right w:val="nil"/>
            </w:tcBorders>
          </w:tcPr>
          <w:p w14:paraId="7E7F2F45" w14:textId="77777777" w:rsidR="00BD6C9B" w:rsidRPr="003B297C" w:rsidRDefault="00BD6C9B" w:rsidP="00ED7FA3">
            <w:pPr>
              <w:pStyle w:val="Normal6a"/>
            </w:pPr>
          </w:p>
        </w:tc>
        <w:tc>
          <w:tcPr>
            <w:tcW w:w="4876" w:type="dxa"/>
            <w:tcBorders>
              <w:top w:val="nil"/>
              <w:left w:val="nil"/>
              <w:bottom w:val="nil"/>
              <w:right w:val="nil"/>
            </w:tcBorders>
            <w:hideMark/>
          </w:tcPr>
          <w:p w14:paraId="704568B1" w14:textId="77777777" w:rsidR="00BD6C9B" w:rsidRPr="003B297C" w:rsidRDefault="00BD6C9B" w:rsidP="00ED7FA3">
            <w:pPr>
              <w:pStyle w:val="Normal6a"/>
            </w:pPr>
            <w:r w:rsidRPr="003B297C">
              <w:rPr>
                <w:b/>
                <w:i/>
              </w:rPr>
              <w:t>(4a)</w:t>
            </w:r>
            <w:r w:rsidRPr="003B297C">
              <w:tab/>
            </w:r>
            <w:r w:rsidRPr="003B297C">
              <w:rPr>
                <w:b/>
                <w:i/>
              </w:rPr>
              <w:t>Lõike 7 teine lause asendatakse järgmisega:</w:t>
            </w:r>
          </w:p>
        </w:tc>
      </w:tr>
      <w:tr w:rsidR="00BD6C9B" w:rsidRPr="003B297C" w14:paraId="038F3395" w14:textId="77777777" w:rsidTr="00ED7FA3">
        <w:trPr>
          <w:jc w:val="center"/>
        </w:trPr>
        <w:tc>
          <w:tcPr>
            <w:tcW w:w="4876" w:type="dxa"/>
            <w:tcBorders>
              <w:top w:val="nil"/>
              <w:left w:val="nil"/>
              <w:bottom w:val="nil"/>
              <w:right w:val="nil"/>
            </w:tcBorders>
            <w:hideMark/>
          </w:tcPr>
          <w:p w14:paraId="5283FE29" w14:textId="77777777" w:rsidR="00BD6C9B" w:rsidRPr="003B297C" w:rsidRDefault="00BD6C9B" w:rsidP="00ED7FA3">
            <w:pPr>
              <w:pStyle w:val="Normal6a"/>
            </w:pPr>
            <w:r w:rsidRPr="003B297C">
              <w:t xml:space="preserve">Reservist vabastatavad kogused jaotatakse võrdselt kolme kuu pikkuse ajavahemiku peale, mida hakatakse arvestama hiljemalt </w:t>
            </w:r>
            <w:r w:rsidRPr="003B297C">
              <w:rPr>
                <w:b/>
                <w:i/>
              </w:rPr>
              <w:t>kaks kuud</w:t>
            </w:r>
            <w:r w:rsidRPr="003B297C">
              <w:t xml:space="preserve"> pärast direktiivi 2003/87/EÜ artikli 30h lõikes 8 osutatud </w:t>
            </w:r>
            <w:r w:rsidRPr="003B297C">
              <w:rPr>
                <w:i/>
                <w:iCs/>
              </w:rPr>
              <w:t>Euroopa Liidu Teatajas</w:t>
            </w:r>
            <w:r w:rsidRPr="003B297C">
              <w:t xml:space="preserve"> avaldatud teate kohast tingimuste täitmise kuupäeva.</w:t>
            </w:r>
          </w:p>
        </w:tc>
        <w:tc>
          <w:tcPr>
            <w:tcW w:w="4876" w:type="dxa"/>
            <w:tcBorders>
              <w:top w:val="nil"/>
              <w:left w:val="nil"/>
              <w:bottom w:val="nil"/>
              <w:right w:val="nil"/>
            </w:tcBorders>
            <w:hideMark/>
          </w:tcPr>
          <w:p w14:paraId="2CBA5658" w14:textId="61D6BDA7" w:rsidR="00BD6C9B" w:rsidRPr="003B297C" w:rsidRDefault="00BD6C9B" w:rsidP="00ED7FA3">
            <w:pPr>
              <w:pStyle w:val="Normal6a"/>
            </w:pPr>
            <w:r w:rsidRPr="003B297C">
              <w:rPr>
                <w:b/>
                <w:i/>
              </w:rPr>
              <w:t>„</w:t>
            </w:r>
            <w:r w:rsidRPr="003B297C">
              <w:t xml:space="preserve">Reservist vabastatavad kogused jaotatakse võrdselt kolme kuu pikkuse ajavahemiku peale, mida hakatakse arvestama hiljemalt </w:t>
            </w:r>
            <w:r w:rsidRPr="003B297C">
              <w:rPr>
                <w:b/>
                <w:i/>
              </w:rPr>
              <w:t>30 päeva</w:t>
            </w:r>
            <w:r w:rsidRPr="003B297C">
              <w:t xml:space="preserve"> pärast direktiivi 2003/87/EÜ artikli 30h lõikes 8 osutatud </w:t>
            </w:r>
            <w:r w:rsidRPr="003B297C">
              <w:rPr>
                <w:i/>
                <w:iCs/>
              </w:rPr>
              <w:t>Euroopa Liidu Teatajas</w:t>
            </w:r>
            <w:r w:rsidRPr="003B297C">
              <w:t xml:space="preserve"> avaldatud teate kohast tingimuste täitmise kuupäeva.</w:t>
            </w:r>
            <w:r w:rsidRPr="003B297C">
              <w:rPr>
                <w:b/>
                <w:i/>
              </w:rPr>
              <w:t>“</w:t>
            </w:r>
            <w:r w:rsidR="00285DF6" w:rsidRPr="003B297C">
              <w:rPr>
                <w:b/>
                <w:i/>
              </w:rPr>
              <w:t>.</w:t>
            </w:r>
          </w:p>
        </w:tc>
      </w:tr>
    </w:tbl>
    <w:p w14:paraId="27BA84CA" w14:textId="7B468734" w:rsidR="00BD6C9B" w:rsidRPr="003B297C" w:rsidRDefault="00BD6C9B" w:rsidP="00BD6C9B">
      <w:pPr>
        <w:pStyle w:val="AmCrossRef"/>
        <w:rPr>
          <w:i w:val="0"/>
          <w:iCs/>
        </w:rPr>
      </w:pPr>
      <w:r w:rsidRPr="003B297C">
        <w:rPr>
          <w:i w:val="0"/>
          <w:iCs/>
        </w:rPr>
        <w:lastRenderedPageBreak/>
        <w:t>(32015D1814)</w:t>
      </w:r>
    </w:p>
    <w:p w14:paraId="398512EC" w14:textId="77777777" w:rsidR="00BD6C9B" w:rsidRPr="003B297C" w:rsidRDefault="00BD6C9B" w:rsidP="00BD6C9B"/>
    <w:p w14:paraId="4133C3E5" w14:textId="77777777" w:rsidR="00BD6C9B" w:rsidRPr="003B297C" w:rsidRDefault="00BD6C9B" w:rsidP="00BD6C9B">
      <w:pPr>
        <w:pStyle w:val="AmNumberTabs"/>
      </w:pPr>
      <w:r w:rsidRPr="003B297C">
        <w:t>Muudatusettepanek</w:t>
      </w:r>
      <w:r w:rsidRPr="003B297C">
        <w:tab/>
      </w:r>
      <w:r w:rsidRPr="003B297C">
        <w:tab/>
        <w:t>10</w:t>
      </w:r>
    </w:p>
    <w:p w14:paraId="79EF1210" w14:textId="77777777" w:rsidR="00BD6C9B" w:rsidRPr="003B297C" w:rsidRDefault="00BD6C9B" w:rsidP="00BD6C9B">
      <w:pPr>
        <w:pStyle w:val="NormalBold"/>
      </w:pPr>
      <w:r w:rsidRPr="003B297C">
        <w:t>Ettepanek võtta vastu otsus</w:t>
      </w:r>
    </w:p>
    <w:p w14:paraId="6394E2E7" w14:textId="77777777" w:rsidR="00BD6C9B" w:rsidRPr="003B297C" w:rsidRDefault="00BD6C9B" w:rsidP="00BD6C9B">
      <w:pPr>
        <w:pStyle w:val="NormalBold"/>
      </w:pPr>
      <w:r w:rsidRPr="003B297C">
        <w:t>Artikkel 1 a (uus)</w:t>
      </w:r>
    </w:p>
    <w:p w14:paraId="60C5A772" w14:textId="6B56BB2C" w:rsidR="00285DF6" w:rsidRPr="003B297C" w:rsidRDefault="00285DF6" w:rsidP="00BD6C9B">
      <w:pPr>
        <w:pStyle w:val="NormalBold"/>
        <w:rPr>
          <w:b w:val="0"/>
          <w:bCs/>
        </w:rPr>
      </w:pPr>
      <w:r w:rsidRPr="003B297C">
        <w:rPr>
          <w:b w:val="0"/>
          <w:bCs/>
        </w:rPr>
        <w:t>Otsus (EL) 2015/1814</w:t>
      </w:r>
    </w:p>
    <w:p w14:paraId="04DC2D01" w14:textId="6DDDCD19" w:rsidR="00285DF6" w:rsidRPr="003B297C" w:rsidRDefault="00285DF6" w:rsidP="00BD6C9B">
      <w:pPr>
        <w:pStyle w:val="NormalBold"/>
        <w:rPr>
          <w:b w:val="0"/>
          <w:bCs/>
        </w:rPr>
      </w:pPr>
      <w:r w:rsidRPr="003B297C">
        <w:rPr>
          <w:b w:val="0"/>
          <w:bCs/>
        </w:rPr>
        <w:t xml:space="preserve">Artikkel 3 </w:t>
      </w:r>
      <w:r w:rsidRPr="003B297C">
        <w:t>–</w:t>
      </w:r>
      <w:r w:rsidRPr="003B297C">
        <w:rPr>
          <w:b w:val="0"/>
          <w:bCs/>
        </w:rPr>
        <w:t xml:space="preserve"> lõik 1a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6C9B" w:rsidRPr="003B297C" w14:paraId="3FD19126" w14:textId="77777777" w:rsidTr="00ED7FA3">
        <w:trPr>
          <w:trHeight w:val="240"/>
          <w:jc w:val="center"/>
        </w:trPr>
        <w:tc>
          <w:tcPr>
            <w:tcW w:w="9752" w:type="dxa"/>
            <w:gridSpan w:val="2"/>
            <w:tcBorders>
              <w:top w:val="nil"/>
              <w:left w:val="nil"/>
              <w:bottom w:val="nil"/>
              <w:right w:val="nil"/>
            </w:tcBorders>
          </w:tcPr>
          <w:p w14:paraId="61D191C1" w14:textId="77777777" w:rsidR="00BD6C9B" w:rsidRPr="003B297C" w:rsidRDefault="00BD6C9B" w:rsidP="00ED7FA3"/>
        </w:tc>
      </w:tr>
      <w:tr w:rsidR="00BD6C9B" w:rsidRPr="003B297C" w14:paraId="17515C15" w14:textId="77777777" w:rsidTr="00ED7FA3">
        <w:trPr>
          <w:trHeight w:val="240"/>
          <w:jc w:val="center"/>
        </w:trPr>
        <w:tc>
          <w:tcPr>
            <w:tcW w:w="4876" w:type="dxa"/>
            <w:tcBorders>
              <w:top w:val="nil"/>
              <w:left w:val="nil"/>
              <w:bottom w:val="nil"/>
              <w:right w:val="nil"/>
            </w:tcBorders>
            <w:hideMark/>
          </w:tcPr>
          <w:p w14:paraId="65BA3831" w14:textId="77777777" w:rsidR="00BD6C9B" w:rsidRPr="003B297C" w:rsidRDefault="00BD6C9B" w:rsidP="00ED7FA3">
            <w:pPr>
              <w:pStyle w:val="AmColumnHeading"/>
            </w:pPr>
            <w:r w:rsidRPr="003B297C">
              <w:t>Komisjoni ettepanek</w:t>
            </w:r>
          </w:p>
        </w:tc>
        <w:tc>
          <w:tcPr>
            <w:tcW w:w="4876" w:type="dxa"/>
            <w:tcBorders>
              <w:top w:val="nil"/>
              <w:left w:val="nil"/>
              <w:bottom w:val="nil"/>
              <w:right w:val="nil"/>
            </w:tcBorders>
            <w:hideMark/>
          </w:tcPr>
          <w:p w14:paraId="340AA464" w14:textId="77777777" w:rsidR="00BD6C9B" w:rsidRPr="003B297C" w:rsidRDefault="00BD6C9B" w:rsidP="00ED7FA3">
            <w:pPr>
              <w:pStyle w:val="AmColumnHeading"/>
            </w:pPr>
            <w:r w:rsidRPr="003B297C">
              <w:t>Muudatusettepanek</w:t>
            </w:r>
          </w:p>
        </w:tc>
      </w:tr>
      <w:tr w:rsidR="00BD6C9B" w:rsidRPr="003B297C" w14:paraId="7F1C0051" w14:textId="77777777" w:rsidTr="00ED7FA3">
        <w:trPr>
          <w:jc w:val="center"/>
        </w:trPr>
        <w:tc>
          <w:tcPr>
            <w:tcW w:w="4876" w:type="dxa"/>
            <w:tcBorders>
              <w:top w:val="nil"/>
              <w:left w:val="nil"/>
              <w:bottom w:val="nil"/>
              <w:right w:val="nil"/>
            </w:tcBorders>
          </w:tcPr>
          <w:p w14:paraId="27465D9C" w14:textId="77777777" w:rsidR="00BD6C9B" w:rsidRPr="003B297C" w:rsidRDefault="00BD6C9B" w:rsidP="00ED7FA3">
            <w:pPr>
              <w:pStyle w:val="Normal6a"/>
            </w:pPr>
          </w:p>
        </w:tc>
        <w:tc>
          <w:tcPr>
            <w:tcW w:w="4876" w:type="dxa"/>
            <w:tcBorders>
              <w:top w:val="nil"/>
              <w:left w:val="nil"/>
              <w:bottom w:val="nil"/>
              <w:right w:val="nil"/>
            </w:tcBorders>
            <w:hideMark/>
          </w:tcPr>
          <w:p w14:paraId="5181E431" w14:textId="77777777" w:rsidR="00BD6C9B" w:rsidRPr="003B297C" w:rsidRDefault="00BD6C9B" w:rsidP="00ED7FA3">
            <w:pPr>
              <w:pStyle w:val="Normal6a"/>
              <w:jc w:val="center"/>
            </w:pPr>
            <w:r w:rsidRPr="003B297C">
              <w:rPr>
                <w:b/>
                <w:i/>
              </w:rPr>
              <w:t>Artikkel 1a</w:t>
            </w:r>
            <w:r w:rsidRPr="003B297C">
              <w:tab/>
            </w:r>
          </w:p>
        </w:tc>
      </w:tr>
      <w:tr w:rsidR="00BD6C9B" w:rsidRPr="003B297C" w14:paraId="2226195B" w14:textId="77777777" w:rsidTr="00ED7FA3">
        <w:trPr>
          <w:jc w:val="center"/>
        </w:trPr>
        <w:tc>
          <w:tcPr>
            <w:tcW w:w="4876" w:type="dxa"/>
            <w:tcBorders>
              <w:top w:val="nil"/>
              <w:left w:val="nil"/>
              <w:bottom w:val="nil"/>
              <w:right w:val="nil"/>
            </w:tcBorders>
          </w:tcPr>
          <w:p w14:paraId="70451F6E" w14:textId="77777777" w:rsidR="00BD6C9B" w:rsidRPr="003B297C" w:rsidRDefault="00BD6C9B" w:rsidP="00ED7FA3">
            <w:pPr>
              <w:pStyle w:val="Normal6a"/>
            </w:pPr>
          </w:p>
        </w:tc>
        <w:tc>
          <w:tcPr>
            <w:tcW w:w="4876" w:type="dxa"/>
            <w:tcBorders>
              <w:top w:val="nil"/>
              <w:left w:val="nil"/>
              <w:bottom w:val="nil"/>
              <w:right w:val="nil"/>
            </w:tcBorders>
            <w:hideMark/>
          </w:tcPr>
          <w:p w14:paraId="26D3B07B" w14:textId="41B7D3F7" w:rsidR="00BD6C9B" w:rsidRPr="003B297C" w:rsidRDefault="00285DF6" w:rsidP="00ED7FA3">
            <w:pPr>
              <w:pStyle w:val="Normal6a"/>
            </w:pPr>
            <w:r w:rsidRPr="003B297C">
              <w:rPr>
                <w:b/>
                <w:i/>
              </w:rPr>
              <w:t>Otsuse (EL) 2015/1814 a</w:t>
            </w:r>
            <w:r w:rsidR="00BD6C9B" w:rsidRPr="003B297C">
              <w:rPr>
                <w:b/>
                <w:i/>
              </w:rPr>
              <w:t>rtiklisse 3 lisatakse järgmine lõik:</w:t>
            </w:r>
          </w:p>
        </w:tc>
      </w:tr>
      <w:tr w:rsidR="00BD6C9B" w:rsidRPr="003B297C" w14:paraId="5F84B1DD" w14:textId="77777777" w:rsidTr="00ED7FA3">
        <w:trPr>
          <w:jc w:val="center"/>
        </w:trPr>
        <w:tc>
          <w:tcPr>
            <w:tcW w:w="4876" w:type="dxa"/>
            <w:tcBorders>
              <w:top w:val="nil"/>
              <w:left w:val="nil"/>
              <w:bottom w:val="nil"/>
              <w:right w:val="nil"/>
            </w:tcBorders>
          </w:tcPr>
          <w:p w14:paraId="2AA77427" w14:textId="77777777" w:rsidR="00BD6C9B" w:rsidRPr="003B297C" w:rsidRDefault="00BD6C9B" w:rsidP="00ED7FA3">
            <w:pPr>
              <w:pStyle w:val="Normal6a"/>
            </w:pPr>
          </w:p>
        </w:tc>
        <w:tc>
          <w:tcPr>
            <w:tcW w:w="4876" w:type="dxa"/>
            <w:tcBorders>
              <w:top w:val="nil"/>
              <w:left w:val="nil"/>
              <w:bottom w:val="nil"/>
              <w:right w:val="nil"/>
            </w:tcBorders>
            <w:hideMark/>
          </w:tcPr>
          <w:p w14:paraId="751FC991" w14:textId="5301F4D9" w:rsidR="00BD6C9B" w:rsidRPr="003B297C" w:rsidRDefault="00BD6C9B" w:rsidP="00ED7FA3">
            <w:pPr>
              <w:pStyle w:val="Normal6a"/>
            </w:pPr>
            <w:r w:rsidRPr="003B297C">
              <w:rPr>
                <w:b/>
                <w:i/>
              </w:rPr>
              <w:t xml:space="preserve">„Nelja aasta jooksul alates direktiivi 2003/87/EÜ </w:t>
            </w:r>
            <w:proofErr w:type="spellStart"/>
            <w:r w:rsidRPr="003B297C">
              <w:rPr>
                <w:b/>
                <w:i/>
              </w:rPr>
              <w:t>IVa</w:t>
            </w:r>
            <w:proofErr w:type="spellEnd"/>
            <w:r w:rsidRPr="003B297C">
              <w:rPr>
                <w:b/>
                <w:i/>
              </w:rPr>
              <w:t xml:space="preserve"> peatükis sätestatud hoonete, maanteetranspordi ja teatavate muude sektorite heitkogustega kauplemise süsteemi </w:t>
            </w:r>
            <w:proofErr w:type="spellStart"/>
            <w:r w:rsidRPr="003B297C">
              <w:rPr>
                <w:b/>
                <w:i/>
              </w:rPr>
              <w:t>toimimahakkamisest</w:t>
            </w:r>
            <w:proofErr w:type="spellEnd"/>
            <w:r w:rsidRPr="003B297C">
              <w:rPr>
                <w:b/>
                <w:i/>
              </w:rPr>
              <w:t xml:space="preserve"> teeb komisjon mõjuhindamise, sealhulgas jaotusliku mõju hindamise, ning</w:t>
            </w:r>
            <w:r w:rsidR="000C689F" w:rsidRPr="003B297C">
              <w:rPr>
                <w:b/>
                <w:i/>
              </w:rPr>
              <w:t xml:space="preserve"> käesoleva otsuse</w:t>
            </w:r>
            <w:r w:rsidRPr="003B297C">
              <w:rPr>
                <w:b/>
                <w:i/>
              </w:rPr>
              <w:t xml:space="preserve"> artikli 1a kohaselt reservis olevate ülejäänud </w:t>
            </w:r>
            <w:proofErr w:type="spellStart"/>
            <w:r w:rsidRPr="003B297C">
              <w:rPr>
                <w:b/>
                <w:i/>
              </w:rPr>
              <w:t>LHÜde</w:t>
            </w:r>
            <w:proofErr w:type="spellEnd"/>
            <w:r w:rsidRPr="003B297C">
              <w:rPr>
                <w:b/>
                <w:i/>
              </w:rPr>
              <w:t xml:space="preserve"> keskkonna-, sotsiaalse ja majandusliku mõju hindamise, ning teeb kindlaks, kas on asjakohane need </w:t>
            </w:r>
            <w:proofErr w:type="spellStart"/>
            <w:r w:rsidRPr="003B297C">
              <w:rPr>
                <w:b/>
                <w:i/>
              </w:rPr>
              <w:t>LHÜd</w:t>
            </w:r>
            <w:proofErr w:type="spellEnd"/>
            <w:r w:rsidRPr="003B297C">
              <w:rPr>
                <w:b/>
                <w:i/>
              </w:rPr>
              <w:t xml:space="preserve"> osaliselt või täielikult kehtetuks tunnistada. Asjakohasel juhul lisatakse hinnangule seadusandlik ettepanek.“</w:t>
            </w:r>
            <w:r w:rsidR="000C689F" w:rsidRPr="003B297C">
              <w:rPr>
                <w:b/>
                <w:i/>
              </w:rPr>
              <w:t>.</w:t>
            </w:r>
          </w:p>
        </w:tc>
      </w:tr>
    </w:tbl>
    <w:p w14:paraId="357C711A" w14:textId="46CD219C" w:rsidR="00E365E1" w:rsidRPr="003B297C" w:rsidRDefault="00E365E1" w:rsidP="001E3968"/>
    <w:sectPr w:rsidR="00E365E1" w:rsidRPr="003B297C" w:rsidSect="00405DE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059E6" w14:textId="77777777" w:rsidR="001E3968" w:rsidRPr="00405DE3" w:rsidRDefault="001E3968">
      <w:r w:rsidRPr="00405DE3">
        <w:separator/>
      </w:r>
    </w:p>
  </w:endnote>
  <w:endnote w:type="continuationSeparator" w:id="0">
    <w:p w14:paraId="783632EA" w14:textId="77777777" w:rsidR="001E3968" w:rsidRPr="00405DE3" w:rsidRDefault="001E3968">
      <w:r w:rsidRPr="00405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9342A" w14:textId="77777777" w:rsidR="001E3968" w:rsidRPr="00405DE3" w:rsidRDefault="001E3968">
      <w:r w:rsidRPr="00405DE3">
        <w:separator/>
      </w:r>
    </w:p>
  </w:footnote>
  <w:footnote w:type="continuationSeparator" w:id="0">
    <w:p w14:paraId="36D265D9" w14:textId="77777777" w:rsidR="001E3968" w:rsidRPr="00405DE3" w:rsidRDefault="001E3968">
      <w:r w:rsidRPr="00405DE3">
        <w:continuationSeparator/>
      </w:r>
    </w:p>
  </w:footnote>
  <w:footnote w:id="1">
    <w:p w14:paraId="0A47FF55" w14:textId="1C12BB7F" w:rsidR="007B0856" w:rsidRPr="003D541F" w:rsidRDefault="007B0856" w:rsidP="007B0856">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0098/2026</w:t>
      </w:r>
      <w:r w:rsidRPr="003D541F">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7300443">
    <w:abstractNumId w:val="9"/>
  </w:num>
  <w:num w:numId="2" w16cid:durableId="1399400160">
    <w:abstractNumId w:val="9"/>
  </w:num>
  <w:num w:numId="3" w16cid:durableId="519127973">
    <w:abstractNumId w:val="7"/>
  </w:num>
  <w:num w:numId="4" w16cid:durableId="1644386853">
    <w:abstractNumId w:val="7"/>
  </w:num>
  <w:num w:numId="5" w16cid:durableId="2140875630">
    <w:abstractNumId w:val="6"/>
  </w:num>
  <w:num w:numId="6" w16cid:durableId="1563171882">
    <w:abstractNumId w:val="6"/>
  </w:num>
  <w:num w:numId="7" w16cid:durableId="1530138893">
    <w:abstractNumId w:val="5"/>
  </w:num>
  <w:num w:numId="8" w16cid:durableId="1526090636">
    <w:abstractNumId w:val="5"/>
  </w:num>
  <w:num w:numId="9" w16cid:durableId="924605019">
    <w:abstractNumId w:val="4"/>
  </w:num>
  <w:num w:numId="10" w16cid:durableId="1161896020">
    <w:abstractNumId w:val="4"/>
  </w:num>
  <w:num w:numId="11" w16cid:durableId="822231942">
    <w:abstractNumId w:val="8"/>
  </w:num>
  <w:num w:numId="12" w16cid:durableId="1249853905">
    <w:abstractNumId w:val="8"/>
  </w:num>
  <w:num w:numId="13" w16cid:durableId="1623069122">
    <w:abstractNumId w:val="3"/>
  </w:num>
  <w:num w:numId="14" w16cid:durableId="1337807585">
    <w:abstractNumId w:val="3"/>
  </w:num>
  <w:num w:numId="15" w16cid:durableId="1254631367">
    <w:abstractNumId w:val="2"/>
  </w:num>
  <w:num w:numId="16" w16cid:durableId="962419688">
    <w:abstractNumId w:val="2"/>
  </w:num>
  <w:num w:numId="17" w16cid:durableId="1991060681">
    <w:abstractNumId w:val="1"/>
  </w:num>
  <w:num w:numId="18" w16cid:durableId="422844000">
    <w:abstractNumId w:val="1"/>
  </w:num>
  <w:num w:numId="19" w16cid:durableId="2069065728">
    <w:abstractNumId w:val="0"/>
  </w:num>
  <w:num w:numId="20" w16cid:durableId="137572955">
    <w:abstractNumId w:val="0"/>
  </w:num>
  <w:num w:numId="21" w16cid:durableId="85882869">
    <w:abstractNumId w:val="9"/>
  </w:num>
  <w:num w:numId="22" w16cid:durableId="1183083864">
    <w:abstractNumId w:val="7"/>
  </w:num>
  <w:num w:numId="23" w16cid:durableId="150877613">
    <w:abstractNumId w:val="6"/>
  </w:num>
  <w:num w:numId="24" w16cid:durableId="1582182855">
    <w:abstractNumId w:val="5"/>
  </w:num>
  <w:num w:numId="25" w16cid:durableId="39519911">
    <w:abstractNumId w:val="4"/>
  </w:num>
  <w:num w:numId="26" w16cid:durableId="1774933616">
    <w:abstractNumId w:val="8"/>
  </w:num>
  <w:num w:numId="27" w16cid:durableId="1723364254">
    <w:abstractNumId w:val="3"/>
  </w:num>
  <w:num w:numId="28" w16cid:durableId="149568057">
    <w:abstractNumId w:val="2"/>
  </w:num>
  <w:num w:numId="29" w16cid:durableId="235551622">
    <w:abstractNumId w:val="1"/>
  </w:num>
  <w:num w:numId="30" w16cid:durableId="1550218420">
    <w:abstractNumId w:val="0"/>
  </w:num>
  <w:num w:numId="31" w16cid:durableId="155460640">
    <w:abstractNumId w:val="9"/>
  </w:num>
  <w:num w:numId="32" w16cid:durableId="1424958242">
    <w:abstractNumId w:val="7"/>
  </w:num>
  <w:num w:numId="33" w16cid:durableId="1531529028">
    <w:abstractNumId w:val="6"/>
  </w:num>
  <w:num w:numId="34" w16cid:durableId="209654772">
    <w:abstractNumId w:val="5"/>
  </w:num>
  <w:num w:numId="35" w16cid:durableId="102263816">
    <w:abstractNumId w:val="4"/>
  </w:num>
  <w:num w:numId="36" w16cid:durableId="1278754872">
    <w:abstractNumId w:val="8"/>
  </w:num>
  <w:num w:numId="37" w16cid:durableId="1380592682">
    <w:abstractNumId w:val="3"/>
  </w:num>
  <w:num w:numId="38" w16cid:durableId="749811608">
    <w:abstractNumId w:val="2"/>
  </w:num>
  <w:num w:numId="39" w16cid:durableId="2001079743">
    <w:abstractNumId w:val="1"/>
  </w:num>
  <w:num w:numId="40" w16cid:durableId="1387753659">
    <w:abstractNumId w:val="0"/>
  </w:num>
  <w:num w:numId="41" w16cid:durableId="427042620">
    <w:abstractNumId w:val="10"/>
  </w:num>
  <w:num w:numId="42" w16cid:durableId="281308615">
    <w:abstractNumId w:val="10"/>
  </w:num>
  <w:num w:numId="43" w16cid:durableId="526214799">
    <w:abstractNumId w:val="10"/>
  </w:num>
  <w:num w:numId="44" w16cid:durableId="17579020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ET"/>
    <w:docVar w:name="dvnumam" w:val="0"/>
    <w:docVar w:name="dvpe" w:val="781.492"/>
    <w:docVar w:name="dvrapporteur" w:val="Raportöör: "/>
    <w:docVar w:name="dvstar" w:val="***I"/>
    <w:docVar w:name="dvtitre" w:val="Euroopa Parlamendi .... 2026. aasta seadusandlik resolutsioon ettepaneku kohta võtta vastu Euroopa Parlamendi ja nõukogu otsus, millega muudetakse otsust (EL) 2015/1814 hoonete, maanteetranspordi ja teatavate muude sektorite turustabiilsusreservi osas(COM(2025)0738 – C10-0320/2025 – 2025/0380(COD))"/>
  </w:docVars>
  <w:rsids>
    <w:rsidRoot w:val="001E3968"/>
    <w:rsid w:val="00002272"/>
    <w:rsid w:val="00064002"/>
    <w:rsid w:val="000677B9"/>
    <w:rsid w:val="000831BA"/>
    <w:rsid w:val="000A42CC"/>
    <w:rsid w:val="000A66E5"/>
    <w:rsid w:val="000B078F"/>
    <w:rsid w:val="000C689F"/>
    <w:rsid w:val="000E7DD9"/>
    <w:rsid w:val="0010095E"/>
    <w:rsid w:val="00125B37"/>
    <w:rsid w:val="00187494"/>
    <w:rsid w:val="001E3968"/>
    <w:rsid w:val="001F32AE"/>
    <w:rsid w:val="002767FF"/>
    <w:rsid w:val="00285DF6"/>
    <w:rsid w:val="002B18FE"/>
    <w:rsid w:val="002B5493"/>
    <w:rsid w:val="002C18FF"/>
    <w:rsid w:val="002F63DF"/>
    <w:rsid w:val="00343214"/>
    <w:rsid w:val="0035175A"/>
    <w:rsid w:val="00361C00"/>
    <w:rsid w:val="00395FA1"/>
    <w:rsid w:val="003B297C"/>
    <w:rsid w:val="003E15D4"/>
    <w:rsid w:val="00405DE3"/>
    <w:rsid w:val="00411CCE"/>
    <w:rsid w:val="0041666E"/>
    <w:rsid w:val="00421060"/>
    <w:rsid w:val="004650F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0856"/>
    <w:rsid w:val="007D1690"/>
    <w:rsid w:val="007E22AD"/>
    <w:rsid w:val="008034D6"/>
    <w:rsid w:val="00817416"/>
    <w:rsid w:val="00842779"/>
    <w:rsid w:val="00865F67"/>
    <w:rsid w:val="00881A7B"/>
    <w:rsid w:val="008840E5"/>
    <w:rsid w:val="00887B3E"/>
    <w:rsid w:val="008C2AC6"/>
    <w:rsid w:val="008D02E1"/>
    <w:rsid w:val="00923D63"/>
    <w:rsid w:val="00930C23"/>
    <w:rsid w:val="0093193B"/>
    <w:rsid w:val="009509D8"/>
    <w:rsid w:val="00950B64"/>
    <w:rsid w:val="00981893"/>
    <w:rsid w:val="00A1687D"/>
    <w:rsid w:val="00A43E52"/>
    <w:rsid w:val="00A4678D"/>
    <w:rsid w:val="00A778C7"/>
    <w:rsid w:val="00AB441E"/>
    <w:rsid w:val="00AB6293"/>
    <w:rsid w:val="00AD0950"/>
    <w:rsid w:val="00AE0928"/>
    <w:rsid w:val="00AF3B82"/>
    <w:rsid w:val="00B00A71"/>
    <w:rsid w:val="00B12E95"/>
    <w:rsid w:val="00B22876"/>
    <w:rsid w:val="00B558F0"/>
    <w:rsid w:val="00BD48FE"/>
    <w:rsid w:val="00BD6C9B"/>
    <w:rsid w:val="00BD7BD8"/>
    <w:rsid w:val="00BE6ADC"/>
    <w:rsid w:val="00C05BFE"/>
    <w:rsid w:val="00C23CD4"/>
    <w:rsid w:val="00C61C0C"/>
    <w:rsid w:val="00C941CB"/>
    <w:rsid w:val="00C96264"/>
    <w:rsid w:val="00CC2357"/>
    <w:rsid w:val="00CF071A"/>
    <w:rsid w:val="00D058B8"/>
    <w:rsid w:val="00D56C11"/>
    <w:rsid w:val="00D728BD"/>
    <w:rsid w:val="00D834A0"/>
    <w:rsid w:val="00D872DF"/>
    <w:rsid w:val="00D91E21"/>
    <w:rsid w:val="00D92414"/>
    <w:rsid w:val="00DA7FCD"/>
    <w:rsid w:val="00E365E1"/>
    <w:rsid w:val="00E65111"/>
    <w:rsid w:val="00E8093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58AC7"/>
  <w15:chartTrackingRefBased/>
  <w15:docId w15:val="{DBDC079D-41F1-4057-BAB3-B39C87CD3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D6C9B"/>
    <w:pPr>
      <w:spacing w:after="120"/>
    </w:pPr>
  </w:style>
  <w:style w:type="paragraph" w:customStyle="1" w:styleId="NormalBold">
    <w:name w:val="NormalBold"/>
    <w:basedOn w:val="Normal"/>
    <w:link w:val="NormalBoldChar"/>
    <w:rsid w:val="00BD6C9B"/>
    <w:rPr>
      <w:b/>
    </w:rPr>
  </w:style>
  <w:style w:type="paragraph" w:customStyle="1" w:styleId="NormalHanging12a">
    <w:name w:val="NormalHanging12a"/>
    <w:basedOn w:val="Normal"/>
    <w:rsid w:val="00BD6C9B"/>
    <w:pPr>
      <w:spacing w:after="240"/>
      <w:ind w:left="567" w:hanging="567"/>
    </w:pPr>
  </w:style>
  <w:style w:type="paragraph" w:customStyle="1" w:styleId="AmCrossRef">
    <w:name w:val="AmCrossRef"/>
    <w:basedOn w:val="Normal"/>
    <w:rsid w:val="00BD6C9B"/>
    <w:pPr>
      <w:spacing w:before="240" w:after="240"/>
      <w:jc w:val="center"/>
    </w:pPr>
    <w:rPr>
      <w:i/>
    </w:rPr>
  </w:style>
  <w:style w:type="paragraph" w:customStyle="1" w:styleId="AmColumnHeading">
    <w:name w:val="AmColumnHeading"/>
    <w:basedOn w:val="Normal"/>
    <w:rsid w:val="00BD6C9B"/>
    <w:pPr>
      <w:spacing w:after="240"/>
      <w:jc w:val="center"/>
    </w:pPr>
    <w:rPr>
      <w:i/>
    </w:rPr>
  </w:style>
  <w:style w:type="paragraph" w:customStyle="1" w:styleId="AmNumberTabs">
    <w:name w:val="AmNumberTabs"/>
    <w:basedOn w:val="Normal"/>
    <w:rsid w:val="00BD6C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D6C9B"/>
    <w:pPr>
      <w:spacing w:before="480" w:after="240"/>
    </w:pPr>
  </w:style>
  <w:style w:type="character" w:styleId="Hyperlink">
    <w:name w:val="Hyperlink"/>
    <w:basedOn w:val="DefaultParagraphFont"/>
    <w:rsid w:val="00BD6C9B"/>
    <w:rPr>
      <w:color w:val="0563C1" w:themeColor="hyperlink"/>
      <w:u w:val="single"/>
    </w:rPr>
  </w:style>
  <w:style w:type="character" w:customStyle="1" w:styleId="NormalBoldChar">
    <w:name w:val="NormalBold Char"/>
    <w:basedOn w:val="DefaultParagraphFont"/>
    <w:link w:val="NormalBold"/>
    <w:locked/>
    <w:rsid w:val="00BD6C9B"/>
    <w:rPr>
      <w:b/>
      <w:sz w:val="24"/>
      <w:lang w:val="et-EE"/>
    </w:rPr>
  </w:style>
  <w:style w:type="paragraph" w:styleId="Revision">
    <w:name w:val="Revision"/>
    <w:hidden/>
    <w:uiPriority w:val="99"/>
    <w:semiHidden/>
    <w:rsid w:val="002C18FF"/>
    <w:rPr>
      <w:sz w:val="24"/>
      <w:lang w:val="et-EE"/>
    </w:rPr>
  </w:style>
  <w:style w:type="character" w:styleId="CommentReference">
    <w:name w:val="annotation reference"/>
    <w:basedOn w:val="DefaultParagraphFont"/>
    <w:rsid w:val="002C18FF"/>
    <w:rPr>
      <w:sz w:val="16"/>
      <w:szCs w:val="16"/>
    </w:rPr>
  </w:style>
  <w:style w:type="paragraph" w:styleId="CommentText">
    <w:name w:val="annotation text"/>
    <w:basedOn w:val="Normal"/>
    <w:link w:val="CommentTextChar"/>
    <w:rsid w:val="002C18FF"/>
    <w:rPr>
      <w:sz w:val="20"/>
    </w:rPr>
  </w:style>
  <w:style w:type="character" w:customStyle="1" w:styleId="CommentTextChar">
    <w:name w:val="Comment Text Char"/>
    <w:basedOn w:val="DefaultParagraphFont"/>
    <w:link w:val="CommentText"/>
    <w:rsid w:val="002C18FF"/>
    <w:rPr>
      <w:lang w:val="et-EE"/>
    </w:rPr>
  </w:style>
  <w:style w:type="paragraph" w:styleId="CommentSubject">
    <w:name w:val="annotation subject"/>
    <w:basedOn w:val="CommentText"/>
    <w:next w:val="CommentText"/>
    <w:link w:val="CommentSubjectChar"/>
    <w:rsid w:val="002C18FF"/>
    <w:rPr>
      <w:b/>
      <w:bCs/>
    </w:rPr>
  </w:style>
  <w:style w:type="character" w:customStyle="1" w:styleId="CommentSubjectChar">
    <w:name w:val="Comment Subject Char"/>
    <w:basedOn w:val="CommentTextChar"/>
    <w:link w:val="CommentSubject"/>
    <w:rsid w:val="002C18FF"/>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1155</Words>
  <Characters>8997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2026-04-29T15:40:00Z</dcterms:created>
  <dcterms:modified xsi:type="dcterms:W3CDTF">2026-04-29T15:40:00Z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A10-0098/2026</vt:lpwstr>
  </property>
  <property fmtid="{D5CDD505-2E9C-101B-9397-08002B2CF9AE}" pid="4" name="&lt;Type&gt;">
    <vt:lpwstr>RR</vt:lpwstr>
  </property>
</Properties>
</file>