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18B1" w14:paraId="7CA93452" w14:textId="77777777" w:rsidTr="0010095E">
        <w:trPr>
          <w:trHeight w:hRule="exact" w:val="1418"/>
        </w:trPr>
        <w:tc>
          <w:tcPr>
            <w:tcW w:w="6804" w:type="dxa"/>
            <w:shd w:val="clear" w:color="auto" w:fill="auto"/>
            <w:vAlign w:val="center"/>
          </w:tcPr>
          <w:p w14:paraId="0B39E12F" w14:textId="77777777" w:rsidR="00751A4A" w:rsidRPr="00A718B1" w:rsidRDefault="003634F1" w:rsidP="0010095E">
            <w:pPr>
              <w:pStyle w:val="EPName"/>
            </w:pPr>
            <w:r w:rsidRPr="00A718B1">
              <w:t>Europski parlament</w:t>
            </w:r>
          </w:p>
          <w:p w14:paraId="46808CDC" w14:textId="77777777" w:rsidR="00751A4A" w:rsidRPr="00A718B1" w:rsidRDefault="005F1B17" w:rsidP="005F1B17">
            <w:pPr>
              <w:pStyle w:val="EPTerm"/>
              <w:rPr>
                <w:rStyle w:val="HideTWBExt"/>
                <w:noProof w:val="0"/>
                <w:vanish w:val="0"/>
                <w:color w:val="auto"/>
              </w:rPr>
            </w:pPr>
            <w:r w:rsidRPr="00A718B1">
              <w:t>2024</w:t>
            </w:r>
            <w:r w:rsidR="00817416" w:rsidRPr="00A718B1">
              <w:t>-202</w:t>
            </w:r>
            <w:r w:rsidRPr="00A718B1">
              <w:t>9</w:t>
            </w:r>
          </w:p>
        </w:tc>
        <w:tc>
          <w:tcPr>
            <w:tcW w:w="2268" w:type="dxa"/>
            <w:shd w:val="clear" w:color="auto" w:fill="auto"/>
          </w:tcPr>
          <w:p w14:paraId="4CA8A405" w14:textId="77777777" w:rsidR="00751A4A" w:rsidRPr="00A718B1" w:rsidRDefault="00187494" w:rsidP="0010095E">
            <w:pPr>
              <w:pStyle w:val="EPLogo"/>
            </w:pPr>
            <w:r w:rsidRPr="00A718B1">
              <w:rPr>
                <w:noProof/>
                <w:lang w:eastAsia="ja-JP"/>
              </w:rPr>
              <w:drawing>
                <wp:inline distT="0" distB="0" distL="0" distR="0" wp14:anchorId="6C7A09BE" wp14:editId="20D49D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492C32" w14:textId="77777777" w:rsidR="00D058B8" w:rsidRPr="00A718B1" w:rsidRDefault="00D058B8" w:rsidP="004C5D52">
      <w:pPr>
        <w:pStyle w:val="LineTop"/>
      </w:pPr>
    </w:p>
    <w:p w14:paraId="4C313E20" w14:textId="77777777" w:rsidR="00680577" w:rsidRPr="00A718B1" w:rsidRDefault="003634F1" w:rsidP="00680577">
      <w:pPr>
        <w:pStyle w:val="EPBodyTA1"/>
      </w:pPr>
      <w:r w:rsidRPr="00A718B1">
        <w:t>USVOJENI TEKSTOVI</w:t>
      </w:r>
    </w:p>
    <w:p w14:paraId="182921CE" w14:textId="77777777" w:rsidR="00D058B8" w:rsidRPr="00A718B1" w:rsidRDefault="00D058B8" w:rsidP="00D058B8">
      <w:pPr>
        <w:pStyle w:val="LineBottom"/>
      </w:pPr>
    </w:p>
    <w:p w14:paraId="7D028D96" w14:textId="24F21C78" w:rsidR="003634F1" w:rsidRPr="00A718B1" w:rsidRDefault="003634F1" w:rsidP="003634F1">
      <w:pPr>
        <w:pStyle w:val="ATHeading1"/>
      </w:pPr>
      <w:bookmarkStart w:id="0" w:name="TANumber"/>
      <w:r w:rsidRPr="00A718B1">
        <w:t>P10_TA(2026)0</w:t>
      </w:r>
      <w:r w:rsidR="00D87882">
        <w:t>139</w:t>
      </w:r>
      <w:bookmarkEnd w:id="0"/>
    </w:p>
    <w:p w14:paraId="65FEA4B5" w14:textId="77777777" w:rsidR="003634F1" w:rsidRPr="00A718B1" w:rsidRDefault="003634F1" w:rsidP="003634F1">
      <w:pPr>
        <w:pStyle w:val="ATHeading2"/>
      </w:pPr>
      <w:bookmarkStart w:id="1" w:name="title"/>
      <w:r w:rsidRPr="00A718B1">
        <w:t>Stabilnost tržišta za sektore zgrada i cestovnog prometa te dodatne sektore</w:t>
      </w:r>
      <w:bookmarkEnd w:id="1"/>
    </w:p>
    <w:p w14:paraId="75019F46" w14:textId="77777777" w:rsidR="003634F1" w:rsidRPr="00A718B1" w:rsidRDefault="003634F1" w:rsidP="003634F1">
      <w:pPr>
        <w:rPr>
          <w:i/>
          <w:vanish/>
        </w:rPr>
      </w:pPr>
      <w:r w:rsidRPr="00A718B1">
        <w:rPr>
          <w:i/>
        </w:rPr>
        <w:fldChar w:fldCharType="begin"/>
      </w:r>
      <w:r w:rsidRPr="00A718B1">
        <w:rPr>
          <w:i/>
        </w:rPr>
        <w:instrText xml:space="preserve"> TC"(</w:instrText>
      </w:r>
      <w:bookmarkStart w:id="2" w:name="DocNumber"/>
      <w:r w:rsidRPr="00A718B1">
        <w:rPr>
          <w:i/>
        </w:rPr>
        <w:instrText>A10-0098/2026</w:instrText>
      </w:r>
      <w:bookmarkEnd w:id="2"/>
      <w:r w:rsidRPr="00A718B1">
        <w:rPr>
          <w:i/>
        </w:rPr>
        <w:instrText xml:space="preserve"> - Izvjestiteljica: Danuše Nerudová)"\l3 \n&gt; \* MERGEFORMAT </w:instrText>
      </w:r>
      <w:r w:rsidRPr="00A718B1">
        <w:rPr>
          <w:i/>
        </w:rPr>
        <w:fldChar w:fldCharType="end"/>
      </w:r>
    </w:p>
    <w:p w14:paraId="5A48335E" w14:textId="77777777" w:rsidR="003634F1" w:rsidRPr="00A718B1" w:rsidRDefault="003634F1" w:rsidP="003634F1">
      <w:pPr>
        <w:rPr>
          <w:vanish/>
        </w:rPr>
      </w:pPr>
      <w:bookmarkStart w:id="3" w:name="Commission"/>
      <w:r w:rsidRPr="00A718B1">
        <w:rPr>
          <w:vanish/>
        </w:rPr>
        <w:t>Odbor za okoliš, klimu i sigurnost hrane</w:t>
      </w:r>
      <w:bookmarkEnd w:id="3"/>
    </w:p>
    <w:p w14:paraId="1EE78F91" w14:textId="241AA252" w:rsidR="003634F1" w:rsidRPr="00A718B1" w:rsidRDefault="003634F1" w:rsidP="003634F1">
      <w:pPr>
        <w:rPr>
          <w:vanish/>
        </w:rPr>
      </w:pPr>
      <w:bookmarkStart w:id="4" w:name="PE"/>
      <w:r w:rsidRPr="00A718B1">
        <w:rPr>
          <w:vanish/>
        </w:rPr>
        <w:t>PE78</w:t>
      </w:r>
      <w:r w:rsidR="001F0380">
        <w:rPr>
          <w:vanish/>
        </w:rPr>
        <w:t>3</w:t>
      </w:r>
      <w:r w:rsidRPr="00A718B1">
        <w:rPr>
          <w:vanish/>
        </w:rPr>
        <w:t>.</w:t>
      </w:r>
      <w:r w:rsidR="001F0380">
        <w:rPr>
          <w:vanish/>
        </w:rPr>
        <w:t>023</w:t>
      </w:r>
      <w:bookmarkEnd w:id="4"/>
    </w:p>
    <w:p w14:paraId="347B6F2A" w14:textId="7AC9E08A" w:rsidR="003634F1" w:rsidRPr="00A718B1" w:rsidRDefault="003F65D1" w:rsidP="003634F1">
      <w:pPr>
        <w:pStyle w:val="ATHeading3"/>
      </w:pPr>
      <w:bookmarkStart w:id="5" w:name="Sujet"/>
      <w:r>
        <w:t xml:space="preserve">Amandmani koje je donio </w:t>
      </w:r>
      <w:r w:rsidR="003634F1" w:rsidRPr="00A718B1">
        <w:t>Europsk</w:t>
      </w:r>
      <w:r>
        <w:t>i</w:t>
      </w:r>
      <w:r w:rsidR="003634F1" w:rsidRPr="00A718B1">
        <w:t xml:space="preserve"> parlament </w:t>
      </w:r>
      <w:r w:rsidR="00A718B1">
        <w:t>29</w:t>
      </w:r>
      <w:r w:rsidR="003634F1" w:rsidRPr="00A718B1">
        <w:t xml:space="preserve">. </w:t>
      </w:r>
      <w:r w:rsidR="00A718B1">
        <w:t xml:space="preserve">travnja </w:t>
      </w:r>
      <w:r w:rsidR="003634F1" w:rsidRPr="00A718B1">
        <w:t>2026. o Prijedlogu odluke Europskog parlamenta i Vijeća o izmjeni Odluke (EU) 2015/1814 u pogledu rezerve za stabilnost tržišta za sektore zgrada i cestovnog prometa te dodatne sektore</w:t>
      </w:r>
      <w:bookmarkEnd w:id="5"/>
      <w:r w:rsidR="003634F1" w:rsidRPr="00A718B1">
        <w:t xml:space="preserve"> </w:t>
      </w:r>
      <w:bookmarkStart w:id="6" w:name="References"/>
      <w:r w:rsidR="003634F1" w:rsidRPr="00A718B1">
        <w:t>(COM(2025)0738 – C10-0320/2025 – 2025/0380(COD))</w:t>
      </w:r>
      <w:bookmarkEnd w:id="6"/>
      <w:r>
        <w:rPr>
          <w:rStyle w:val="FootnoteReference"/>
        </w:rPr>
        <w:footnoteReference w:id="1"/>
      </w:r>
    </w:p>
    <w:p w14:paraId="3F2DC32E" w14:textId="77777777" w:rsidR="006B1CDC" w:rsidRPr="00A718B1" w:rsidRDefault="006B1CDC" w:rsidP="006B1CDC">
      <w:pPr>
        <w:pStyle w:val="NormalBold"/>
      </w:pPr>
      <w:r w:rsidRPr="00A718B1">
        <w:t>(Redovni zakonodavni postupak: prvo čitanje)</w:t>
      </w:r>
    </w:p>
    <w:p w14:paraId="21E99B65" w14:textId="103FCDE1" w:rsidR="006B1CDC" w:rsidRPr="00A718B1" w:rsidRDefault="006B1CDC" w:rsidP="006B1CDC">
      <w:pPr>
        <w:pStyle w:val="NormalHanging12a"/>
      </w:pPr>
      <w:r w:rsidRPr="00A718B1">
        <w:br w:type="page"/>
      </w:r>
    </w:p>
    <w:p w14:paraId="19FB26F8" w14:textId="77777777" w:rsidR="006B1CDC" w:rsidRPr="00A718B1" w:rsidRDefault="006B1CDC" w:rsidP="006B1CDC">
      <w:pPr>
        <w:pStyle w:val="NormalHanging12a"/>
      </w:pPr>
    </w:p>
    <w:p w14:paraId="5312B130" w14:textId="77777777" w:rsidR="006B1CDC" w:rsidRPr="00A718B1" w:rsidRDefault="006B1CDC" w:rsidP="006B1CDC"/>
    <w:p w14:paraId="0F246804" w14:textId="77777777" w:rsidR="006B1CDC" w:rsidRPr="00A718B1" w:rsidRDefault="006B1CDC" w:rsidP="006B1CDC">
      <w:pPr>
        <w:pStyle w:val="AmNumberTabs"/>
        <w:keepNext/>
      </w:pPr>
      <w:r w:rsidRPr="00A718B1">
        <w:t>Amandman</w:t>
      </w:r>
      <w:r w:rsidRPr="00A718B1">
        <w:tab/>
      </w:r>
      <w:r w:rsidRPr="00A718B1">
        <w:tab/>
        <w:t>1</w:t>
      </w:r>
    </w:p>
    <w:p w14:paraId="02B7124F" w14:textId="77777777" w:rsidR="006B1CDC" w:rsidRPr="00A718B1" w:rsidRDefault="006B1CDC" w:rsidP="006B1CDC">
      <w:pPr>
        <w:pStyle w:val="NormalBold"/>
      </w:pPr>
      <w:r w:rsidRPr="00A718B1">
        <w:t>Prijedlog odluke</w:t>
      </w:r>
    </w:p>
    <w:p w14:paraId="444624A9" w14:textId="77777777" w:rsidR="006B1CDC" w:rsidRPr="00A718B1" w:rsidRDefault="006B1CDC" w:rsidP="006B1CDC">
      <w:pPr>
        <w:pStyle w:val="NormalBold"/>
      </w:pPr>
      <w:r w:rsidRPr="00A718B1">
        <w:t>Uvodna izjava 1.a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60D5B427" w14:textId="77777777" w:rsidTr="00B47754">
        <w:trPr>
          <w:trHeight w:val="240"/>
          <w:jc w:val="center"/>
        </w:trPr>
        <w:tc>
          <w:tcPr>
            <w:tcW w:w="9752" w:type="dxa"/>
            <w:gridSpan w:val="2"/>
            <w:tcBorders>
              <w:top w:val="nil"/>
              <w:left w:val="nil"/>
              <w:bottom w:val="nil"/>
              <w:right w:val="nil"/>
            </w:tcBorders>
          </w:tcPr>
          <w:p w14:paraId="51F93792" w14:textId="77777777" w:rsidR="006B1CDC" w:rsidRPr="00A718B1" w:rsidRDefault="006B1CDC" w:rsidP="00B47754"/>
        </w:tc>
      </w:tr>
      <w:tr w:rsidR="006B1CDC" w:rsidRPr="00A718B1" w14:paraId="59095C55" w14:textId="77777777" w:rsidTr="00B47754">
        <w:trPr>
          <w:trHeight w:val="240"/>
          <w:jc w:val="center"/>
        </w:trPr>
        <w:tc>
          <w:tcPr>
            <w:tcW w:w="4876" w:type="dxa"/>
            <w:tcBorders>
              <w:top w:val="nil"/>
              <w:left w:val="nil"/>
              <w:bottom w:val="nil"/>
              <w:right w:val="nil"/>
            </w:tcBorders>
            <w:hideMark/>
          </w:tcPr>
          <w:p w14:paraId="016D2D64" w14:textId="77777777" w:rsidR="006B1CDC" w:rsidRPr="00A718B1" w:rsidRDefault="006B1CDC" w:rsidP="00B47754">
            <w:pPr>
              <w:pStyle w:val="AmColumnHeading"/>
            </w:pPr>
            <w:r w:rsidRPr="00A718B1">
              <w:t>Tekst koji je predložila Komisija</w:t>
            </w:r>
          </w:p>
        </w:tc>
        <w:tc>
          <w:tcPr>
            <w:tcW w:w="4876" w:type="dxa"/>
            <w:tcBorders>
              <w:top w:val="nil"/>
              <w:left w:val="nil"/>
              <w:bottom w:val="nil"/>
              <w:right w:val="nil"/>
            </w:tcBorders>
            <w:hideMark/>
          </w:tcPr>
          <w:p w14:paraId="5472F40C" w14:textId="77777777" w:rsidR="006B1CDC" w:rsidRPr="00A718B1" w:rsidRDefault="006B1CDC" w:rsidP="00B47754">
            <w:pPr>
              <w:pStyle w:val="AmColumnHeading"/>
            </w:pPr>
            <w:r w:rsidRPr="00A718B1">
              <w:t>Izmjena</w:t>
            </w:r>
          </w:p>
        </w:tc>
      </w:tr>
      <w:tr w:rsidR="006B1CDC" w:rsidRPr="00A718B1" w14:paraId="6795A0EF" w14:textId="77777777" w:rsidTr="00B47754">
        <w:trPr>
          <w:jc w:val="center"/>
        </w:trPr>
        <w:tc>
          <w:tcPr>
            <w:tcW w:w="4876" w:type="dxa"/>
            <w:tcBorders>
              <w:top w:val="nil"/>
              <w:left w:val="nil"/>
              <w:bottom w:val="nil"/>
              <w:right w:val="nil"/>
            </w:tcBorders>
          </w:tcPr>
          <w:p w14:paraId="5728045E" w14:textId="77777777" w:rsidR="006B1CDC" w:rsidRPr="00A718B1" w:rsidRDefault="006B1CDC" w:rsidP="00B47754">
            <w:pPr>
              <w:pStyle w:val="Normal6a"/>
            </w:pPr>
          </w:p>
        </w:tc>
        <w:tc>
          <w:tcPr>
            <w:tcW w:w="4876" w:type="dxa"/>
            <w:tcBorders>
              <w:top w:val="nil"/>
              <w:left w:val="nil"/>
              <w:bottom w:val="nil"/>
              <w:right w:val="nil"/>
            </w:tcBorders>
            <w:hideMark/>
          </w:tcPr>
          <w:p w14:paraId="353C5BAC" w14:textId="4D77B8C7" w:rsidR="006B1CDC" w:rsidRPr="00A718B1" w:rsidRDefault="006B1CDC" w:rsidP="00B47754">
            <w:pPr>
              <w:pStyle w:val="Normal6a"/>
            </w:pPr>
            <w:r w:rsidRPr="00A718B1">
              <w:rPr>
                <w:b/>
                <w:i/>
              </w:rPr>
              <w:t>(1a)</w:t>
            </w:r>
            <w:r w:rsidRPr="00A718B1">
              <w:tab/>
            </w:r>
            <w:r w:rsidRPr="00A718B1">
              <w:rPr>
                <w:b/>
                <w:i/>
              </w:rPr>
              <w:t>Zaključcima Europskog vijeća od 12. prosinca 2019. podržava se cilj postizanja klimatski neutralne Unije do 2050., u skladu s ciljevima Pariškog sporazuma.</w:t>
            </w:r>
          </w:p>
        </w:tc>
      </w:tr>
    </w:tbl>
    <w:p w14:paraId="724BEDA7" w14:textId="77777777" w:rsidR="006B1CDC" w:rsidRPr="00A718B1" w:rsidRDefault="006B1CDC" w:rsidP="006B1CDC"/>
    <w:p w14:paraId="65E91108" w14:textId="77777777" w:rsidR="006B1CDC" w:rsidRPr="00A718B1" w:rsidRDefault="006B1CDC" w:rsidP="006B1CDC">
      <w:pPr>
        <w:pStyle w:val="AmNumberTabs"/>
      </w:pPr>
      <w:r w:rsidRPr="00A718B1">
        <w:t>Amandman</w:t>
      </w:r>
      <w:r w:rsidRPr="00A718B1">
        <w:tab/>
      </w:r>
      <w:r w:rsidRPr="00A718B1">
        <w:tab/>
        <w:t>2</w:t>
      </w:r>
    </w:p>
    <w:p w14:paraId="393F595E" w14:textId="77777777" w:rsidR="006B1CDC" w:rsidRPr="00A718B1" w:rsidRDefault="006B1CDC" w:rsidP="006B1CDC">
      <w:pPr>
        <w:pStyle w:val="NormalBold"/>
      </w:pPr>
      <w:r w:rsidRPr="00A718B1">
        <w:t>Prijedlog odluke</w:t>
      </w:r>
    </w:p>
    <w:p w14:paraId="4E542F7C" w14:textId="77777777" w:rsidR="006B1CDC" w:rsidRPr="00A718B1" w:rsidRDefault="006B1CDC" w:rsidP="006B1CDC">
      <w:pPr>
        <w:pStyle w:val="NormalBold"/>
      </w:pPr>
      <w:r w:rsidRPr="00A718B1">
        <w:t>Uvodna izjava 3.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55BFC9E6" w14:textId="77777777" w:rsidTr="00B47754">
        <w:trPr>
          <w:trHeight w:val="240"/>
          <w:jc w:val="center"/>
        </w:trPr>
        <w:tc>
          <w:tcPr>
            <w:tcW w:w="9752" w:type="dxa"/>
            <w:gridSpan w:val="2"/>
            <w:tcBorders>
              <w:top w:val="nil"/>
              <w:left w:val="nil"/>
              <w:bottom w:val="nil"/>
              <w:right w:val="nil"/>
            </w:tcBorders>
          </w:tcPr>
          <w:p w14:paraId="0EAE74B4" w14:textId="77777777" w:rsidR="006B1CDC" w:rsidRPr="00A718B1" w:rsidRDefault="006B1CDC" w:rsidP="00B47754"/>
        </w:tc>
      </w:tr>
      <w:tr w:rsidR="006B1CDC" w:rsidRPr="00A718B1" w14:paraId="3A5A9D14" w14:textId="77777777" w:rsidTr="00B47754">
        <w:trPr>
          <w:trHeight w:val="240"/>
          <w:jc w:val="center"/>
        </w:trPr>
        <w:tc>
          <w:tcPr>
            <w:tcW w:w="4876" w:type="dxa"/>
            <w:tcBorders>
              <w:top w:val="nil"/>
              <w:left w:val="nil"/>
              <w:bottom w:val="nil"/>
              <w:right w:val="nil"/>
            </w:tcBorders>
            <w:hideMark/>
          </w:tcPr>
          <w:p w14:paraId="39B15259" w14:textId="77777777" w:rsidR="006B1CDC" w:rsidRPr="00A718B1" w:rsidRDefault="006B1CDC" w:rsidP="00B47754">
            <w:pPr>
              <w:pStyle w:val="AmColumnHeading"/>
            </w:pPr>
            <w:r w:rsidRPr="00A718B1">
              <w:t>Tekst koji je predložila Komisija</w:t>
            </w:r>
          </w:p>
        </w:tc>
        <w:tc>
          <w:tcPr>
            <w:tcW w:w="4876" w:type="dxa"/>
            <w:tcBorders>
              <w:top w:val="nil"/>
              <w:left w:val="nil"/>
              <w:bottom w:val="nil"/>
              <w:right w:val="nil"/>
            </w:tcBorders>
            <w:hideMark/>
          </w:tcPr>
          <w:p w14:paraId="62B0F958" w14:textId="77777777" w:rsidR="006B1CDC" w:rsidRPr="00A718B1" w:rsidRDefault="006B1CDC" w:rsidP="00B47754">
            <w:pPr>
              <w:pStyle w:val="AmColumnHeading"/>
            </w:pPr>
            <w:r w:rsidRPr="00A718B1">
              <w:t>Izmjena</w:t>
            </w:r>
          </w:p>
        </w:tc>
      </w:tr>
      <w:tr w:rsidR="006B1CDC" w:rsidRPr="00A718B1" w14:paraId="1A0EFF90" w14:textId="77777777" w:rsidTr="00B47754">
        <w:trPr>
          <w:jc w:val="center"/>
        </w:trPr>
        <w:tc>
          <w:tcPr>
            <w:tcW w:w="4876" w:type="dxa"/>
            <w:tcBorders>
              <w:top w:val="nil"/>
              <w:left w:val="nil"/>
              <w:bottom w:val="nil"/>
              <w:right w:val="nil"/>
            </w:tcBorders>
            <w:hideMark/>
          </w:tcPr>
          <w:p w14:paraId="4148E8A0" w14:textId="77777777" w:rsidR="006B1CDC" w:rsidRPr="00A718B1" w:rsidRDefault="006B1CDC" w:rsidP="00B47754">
            <w:pPr>
              <w:pStyle w:val="Normal6a"/>
            </w:pPr>
            <w:r w:rsidRPr="00A718B1">
              <w:t>(3)</w:t>
            </w:r>
            <w:r w:rsidRPr="00A718B1">
              <w:tab/>
              <w:t>Provedena analiza očekivanog funkcioniranja rezerve, uzimajući u obzir novije informacije, upućuje na to da bi ciljane izmjene nekih parametara doprinijele predvidljivosti tržišta i stabilnosti kretanja cijena u prvim godinama novog sustava.</w:t>
            </w:r>
          </w:p>
        </w:tc>
        <w:tc>
          <w:tcPr>
            <w:tcW w:w="4876" w:type="dxa"/>
            <w:tcBorders>
              <w:top w:val="nil"/>
              <w:left w:val="nil"/>
              <w:bottom w:val="nil"/>
              <w:right w:val="nil"/>
            </w:tcBorders>
            <w:hideMark/>
          </w:tcPr>
          <w:p w14:paraId="25110C3B" w14:textId="77777777" w:rsidR="006B1CDC" w:rsidRPr="00A718B1" w:rsidRDefault="006B1CDC" w:rsidP="00B47754">
            <w:pPr>
              <w:pStyle w:val="Normal6a"/>
            </w:pPr>
            <w:r w:rsidRPr="00A718B1">
              <w:t>(3)</w:t>
            </w:r>
            <w:r w:rsidRPr="00A718B1">
              <w:tab/>
              <w:t xml:space="preserve">Provedena analiza očekivanog funkcioniranja rezerve, uzimajući u obzir novije informacije, upućuje na to da bi ciljane izmjene nekih parametara doprinijele predvidljivosti tržišta i stabilnosti kretanja cijena u prvim godinama novog sustava. </w:t>
            </w:r>
            <w:r w:rsidRPr="00A718B1">
              <w:rPr>
                <w:b/>
                <w:i/>
              </w:rPr>
              <w:t>Kako te izmjene ne bi ometale napore Unije u pogledu dekarbonizacije, potrebno je daljnje djelovanje država članica. Prema Europskoj središnjoj banci, zelena ulaganja u Uniji i dalje su ispod razina potrebnih za postizanje cilja dekarbonizacije do 2030. Stoga države članice moraju i dalje biti na oprezu u pogledu rizika od manjka zelenih financijskih sredstava.</w:t>
            </w:r>
          </w:p>
        </w:tc>
      </w:tr>
    </w:tbl>
    <w:p w14:paraId="4C6EFFC5" w14:textId="77777777" w:rsidR="006B1CDC" w:rsidRPr="00A718B1" w:rsidRDefault="006B1CDC" w:rsidP="006B1CDC"/>
    <w:p w14:paraId="5956F4D8" w14:textId="77777777" w:rsidR="006B1CDC" w:rsidRPr="00A718B1" w:rsidRDefault="006B1CDC" w:rsidP="006B1CDC">
      <w:pPr>
        <w:pStyle w:val="AmNumberTabs"/>
      </w:pPr>
      <w:r w:rsidRPr="00A718B1">
        <w:t>Amandman</w:t>
      </w:r>
      <w:r w:rsidRPr="00A718B1">
        <w:tab/>
      </w:r>
      <w:r w:rsidRPr="00A718B1">
        <w:tab/>
        <w:t>3</w:t>
      </w:r>
    </w:p>
    <w:p w14:paraId="77FBD8DC" w14:textId="77777777" w:rsidR="006B1CDC" w:rsidRPr="00A718B1" w:rsidRDefault="006B1CDC" w:rsidP="006B1CDC">
      <w:pPr>
        <w:pStyle w:val="NormalBold"/>
      </w:pPr>
      <w:r w:rsidRPr="00A718B1">
        <w:t>Prijedlog odluke</w:t>
      </w:r>
    </w:p>
    <w:p w14:paraId="13BB5A53" w14:textId="77777777" w:rsidR="006B1CDC" w:rsidRPr="00A718B1" w:rsidRDefault="006B1CDC" w:rsidP="006B1CDC">
      <w:pPr>
        <w:pStyle w:val="NormalBold"/>
      </w:pPr>
      <w:r w:rsidRPr="00A718B1">
        <w:t>Uvodna izjava 3.a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239CD7D1" w14:textId="77777777" w:rsidTr="00B47754">
        <w:trPr>
          <w:trHeight w:val="240"/>
          <w:jc w:val="center"/>
        </w:trPr>
        <w:tc>
          <w:tcPr>
            <w:tcW w:w="9752" w:type="dxa"/>
            <w:gridSpan w:val="2"/>
            <w:tcBorders>
              <w:top w:val="nil"/>
              <w:left w:val="nil"/>
              <w:bottom w:val="nil"/>
              <w:right w:val="nil"/>
            </w:tcBorders>
          </w:tcPr>
          <w:p w14:paraId="1584D2EF" w14:textId="77777777" w:rsidR="006B1CDC" w:rsidRPr="00A718B1" w:rsidRDefault="006B1CDC" w:rsidP="00B47754"/>
        </w:tc>
      </w:tr>
      <w:tr w:rsidR="006B1CDC" w:rsidRPr="00A718B1" w14:paraId="51BC34DB" w14:textId="77777777" w:rsidTr="00B47754">
        <w:trPr>
          <w:trHeight w:val="240"/>
          <w:jc w:val="center"/>
        </w:trPr>
        <w:tc>
          <w:tcPr>
            <w:tcW w:w="4876" w:type="dxa"/>
            <w:tcBorders>
              <w:top w:val="nil"/>
              <w:left w:val="nil"/>
              <w:bottom w:val="nil"/>
              <w:right w:val="nil"/>
            </w:tcBorders>
            <w:hideMark/>
          </w:tcPr>
          <w:p w14:paraId="53104138" w14:textId="77777777" w:rsidR="006B1CDC" w:rsidRPr="00A718B1" w:rsidRDefault="006B1CDC" w:rsidP="00B47754">
            <w:pPr>
              <w:pStyle w:val="AmColumnHeading"/>
            </w:pPr>
            <w:r w:rsidRPr="00A718B1">
              <w:t>Tekst koji je predložila Komisija</w:t>
            </w:r>
          </w:p>
        </w:tc>
        <w:tc>
          <w:tcPr>
            <w:tcW w:w="4876" w:type="dxa"/>
            <w:tcBorders>
              <w:top w:val="nil"/>
              <w:left w:val="nil"/>
              <w:bottom w:val="nil"/>
              <w:right w:val="nil"/>
            </w:tcBorders>
            <w:hideMark/>
          </w:tcPr>
          <w:p w14:paraId="31A2E872" w14:textId="77777777" w:rsidR="006B1CDC" w:rsidRPr="00A718B1" w:rsidRDefault="006B1CDC" w:rsidP="00B47754">
            <w:pPr>
              <w:pStyle w:val="AmColumnHeading"/>
            </w:pPr>
            <w:r w:rsidRPr="00A718B1">
              <w:t>Izmjena</w:t>
            </w:r>
          </w:p>
        </w:tc>
      </w:tr>
      <w:tr w:rsidR="006B1CDC" w:rsidRPr="00A718B1" w14:paraId="270E1162" w14:textId="77777777" w:rsidTr="00B47754">
        <w:trPr>
          <w:jc w:val="center"/>
        </w:trPr>
        <w:tc>
          <w:tcPr>
            <w:tcW w:w="4876" w:type="dxa"/>
            <w:tcBorders>
              <w:top w:val="nil"/>
              <w:left w:val="nil"/>
              <w:bottom w:val="nil"/>
              <w:right w:val="nil"/>
            </w:tcBorders>
          </w:tcPr>
          <w:p w14:paraId="3C448E6D" w14:textId="77777777" w:rsidR="006B1CDC" w:rsidRPr="00A718B1" w:rsidRDefault="006B1CDC" w:rsidP="00B47754">
            <w:pPr>
              <w:pStyle w:val="Normal6a"/>
            </w:pPr>
          </w:p>
        </w:tc>
        <w:tc>
          <w:tcPr>
            <w:tcW w:w="4876" w:type="dxa"/>
            <w:tcBorders>
              <w:top w:val="nil"/>
              <w:left w:val="nil"/>
              <w:bottom w:val="nil"/>
              <w:right w:val="nil"/>
            </w:tcBorders>
            <w:hideMark/>
          </w:tcPr>
          <w:p w14:paraId="2D18AF69" w14:textId="04F88110" w:rsidR="006B1CDC" w:rsidRPr="00A718B1" w:rsidRDefault="006B1CDC" w:rsidP="00B47754">
            <w:pPr>
              <w:pStyle w:val="Normal6a"/>
            </w:pPr>
            <w:r w:rsidRPr="00A718B1">
              <w:rPr>
                <w:b/>
                <w:i/>
              </w:rPr>
              <w:t>(3a)</w:t>
            </w:r>
            <w:r w:rsidRPr="00A718B1">
              <w:tab/>
            </w:r>
            <w:r w:rsidRPr="00A718B1">
              <w:rPr>
                <w:b/>
                <w:i/>
              </w:rPr>
              <w:t xml:space="preserve">Provedba sustava trgovanja emisijama za sektore zgrada, cestovnog </w:t>
            </w:r>
            <w:r w:rsidRPr="00A718B1">
              <w:rPr>
                <w:b/>
                <w:i/>
              </w:rPr>
              <w:lastRenderedPageBreak/>
              <w:t>prometa i dodatne sektore treba biti popraćena komplementarnim mjerama dekarbonizacije koje su najučinkovitiji alat za pomoć kućanstvima u smanjenju ovisnosti o fosilnim gorivima, a time i ublažavanju učinka sustava ETS2 na potrošače, s obzirom na to da je potražnja za gorivom u zgradama i prometu u kratkoročnom razdoblju i dalje uglavnom neelastična. Države članice obvezne su prihode od dražbi emisijskih jedinica upotrebljavati za potrebe u skladu s člankom 30.d stavkom 6. Direktive 2003/87/EZ, dajući prednost djelatnostima koje mogu doprinijeti rješavanju socijalnih aspekata trgovanja emisijama u okviru sustava ETS2. Stoga bi bilo primjereno da države članice prihode od dražbovne prodaje emisijskih jedinica oslobođenih iz rezerve iskoriste za dopunu svojih socijalnih planova za klimatsku politiku. Jednako je važno da Komisija dopuni svoju analizu konačnih ažuriranih nacionalnih energetskih i klimatskih planova utvrđivanjem sektorskih mjera dekarbonizacije za svaku državu članicu i boljom upotrebom prihoda od ETS-a koji bi mogli pomoći u smanjenju potražnje za emisijskim jedinicama u okviru sustava ETS2. Također je važno ojačati EIB-ov instrument pojačanog financiranja na početku razdoblja i razmotriti dodatne mjere za povećanje proračuna Socijalnog fonda za klimatsku politiku kako bi se osiguralo da se financijska potpora kućanstvima pruža pravodobno i na razini koja odražava kretanje cijena u okviru sustava ETS2. Potrebno je da Komisija razmotri produljenje trajanja Socijalnog fonda za klimatsku politiku.</w:t>
            </w:r>
          </w:p>
        </w:tc>
      </w:tr>
    </w:tbl>
    <w:p w14:paraId="61BDA5F4" w14:textId="77777777" w:rsidR="006B1CDC" w:rsidRPr="00A718B1" w:rsidRDefault="006B1CDC" w:rsidP="006B1CDC"/>
    <w:p w14:paraId="43947B2D" w14:textId="77777777" w:rsidR="006B1CDC" w:rsidRPr="00A718B1" w:rsidRDefault="006B1CDC" w:rsidP="006B1CDC">
      <w:pPr>
        <w:pStyle w:val="AmNumberTabs"/>
      </w:pPr>
      <w:r w:rsidRPr="00A718B1">
        <w:t>Amandman</w:t>
      </w:r>
      <w:r w:rsidRPr="00A718B1">
        <w:tab/>
      </w:r>
      <w:r w:rsidRPr="00A718B1">
        <w:tab/>
        <w:t>4</w:t>
      </w:r>
    </w:p>
    <w:p w14:paraId="324638A7" w14:textId="77777777" w:rsidR="006B1CDC" w:rsidRPr="00A718B1" w:rsidRDefault="006B1CDC" w:rsidP="006B1CDC">
      <w:pPr>
        <w:pStyle w:val="NormalBold"/>
      </w:pPr>
      <w:r w:rsidRPr="00A718B1">
        <w:t>Prijedlog odluke</w:t>
      </w:r>
    </w:p>
    <w:p w14:paraId="4AF82733" w14:textId="77777777" w:rsidR="006B1CDC" w:rsidRPr="00A718B1" w:rsidRDefault="006B1CDC" w:rsidP="006B1CDC">
      <w:pPr>
        <w:pStyle w:val="NormalBold"/>
      </w:pPr>
      <w:r w:rsidRPr="00A718B1">
        <w:t>Uvodna izjava 4.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25E55834" w14:textId="77777777" w:rsidTr="00B47754">
        <w:trPr>
          <w:trHeight w:val="240"/>
          <w:jc w:val="center"/>
        </w:trPr>
        <w:tc>
          <w:tcPr>
            <w:tcW w:w="9752" w:type="dxa"/>
            <w:gridSpan w:val="2"/>
            <w:tcBorders>
              <w:top w:val="nil"/>
              <w:left w:val="nil"/>
              <w:bottom w:val="nil"/>
              <w:right w:val="nil"/>
            </w:tcBorders>
          </w:tcPr>
          <w:p w14:paraId="2D04A2C6" w14:textId="77777777" w:rsidR="006B1CDC" w:rsidRPr="00A718B1" w:rsidRDefault="006B1CDC" w:rsidP="00B47754"/>
        </w:tc>
      </w:tr>
      <w:tr w:rsidR="006B1CDC" w:rsidRPr="00A718B1" w14:paraId="24BD5DF8" w14:textId="77777777" w:rsidTr="00B47754">
        <w:trPr>
          <w:trHeight w:val="240"/>
          <w:jc w:val="center"/>
        </w:trPr>
        <w:tc>
          <w:tcPr>
            <w:tcW w:w="4876" w:type="dxa"/>
            <w:tcBorders>
              <w:top w:val="nil"/>
              <w:left w:val="nil"/>
              <w:bottom w:val="nil"/>
              <w:right w:val="nil"/>
            </w:tcBorders>
            <w:hideMark/>
          </w:tcPr>
          <w:p w14:paraId="6A75874C" w14:textId="77777777" w:rsidR="006B1CDC" w:rsidRPr="00A718B1" w:rsidRDefault="006B1CDC" w:rsidP="00B47754">
            <w:pPr>
              <w:pStyle w:val="AmColumnHeading"/>
            </w:pPr>
            <w:r w:rsidRPr="00A718B1">
              <w:t>Tekst koji je predložila Komisija</w:t>
            </w:r>
          </w:p>
        </w:tc>
        <w:tc>
          <w:tcPr>
            <w:tcW w:w="4876" w:type="dxa"/>
            <w:tcBorders>
              <w:top w:val="nil"/>
              <w:left w:val="nil"/>
              <w:bottom w:val="nil"/>
              <w:right w:val="nil"/>
            </w:tcBorders>
            <w:hideMark/>
          </w:tcPr>
          <w:p w14:paraId="39D46898" w14:textId="77777777" w:rsidR="006B1CDC" w:rsidRPr="00A718B1" w:rsidRDefault="006B1CDC" w:rsidP="00B47754">
            <w:pPr>
              <w:pStyle w:val="AmColumnHeading"/>
            </w:pPr>
            <w:r w:rsidRPr="00A718B1">
              <w:t>Izmjena</w:t>
            </w:r>
          </w:p>
        </w:tc>
      </w:tr>
      <w:tr w:rsidR="006B1CDC" w:rsidRPr="00A718B1" w14:paraId="6B32A2E2" w14:textId="77777777" w:rsidTr="00B47754">
        <w:trPr>
          <w:jc w:val="center"/>
        </w:trPr>
        <w:tc>
          <w:tcPr>
            <w:tcW w:w="4876" w:type="dxa"/>
            <w:tcBorders>
              <w:top w:val="nil"/>
              <w:left w:val="nil"/>
              <w:bottom w:val="nil"/>
              <w:right w:val="nil"/>
            </w:tcBorders>
            <w:hideMark/>
          </w:tcPr>
          <w:p w14:paraId="0FCAC944" w14:textId="77777777" w:rsidR="006B1CDC" w:rsidRPr="00A718B1" w:rsidRDefault="006B1CDC" w:rsidP="00B47754">
            <w:pPr>
              <w:pStyle w:val="Normal6a"/>
            </w:pPr>
            <w:r w:rsidRPr="00A718B1">
              <w:t>(4)</w:t>
            </w:r>
            <w:r w:rsidRPr="00A718B1">
              <w:tab/>
              <w:t xml:space="preserve">Kako bi se povećala dugoročna </w:t>
            </w:r>
            <w:r w:rsidRPr="00A718B1">
              <w:lastRenderedPageBreak/>
              <w:t xml:space="preserve">predvidljivost tržišta, emisijske jedinice stavljene u rezervu za sektore zgrada i cestovnog prometa te dodatne sektore koje ne budu oslobođene trebale bi ostati valjane i </w:t>
            </w:r>
            <w:r w:rsidRPr="00A718B1">
              <w:rPr>
                <w:b/>
                <w:i/>
              </w:rPr>
              <w:t>nakon</w:t>
            </w:r>
            <w:r w:rsidRPr="00A718B1">
              <w:t xml:space="preserve"> 31. prosinca </w:t>
            </w:r>
            <w:r w:rsidRPr="00A718B1">
              <w:rPr>
                <w:b/>
                <w:i/>
              </w:rPr>
              <w:t>2030</w:t>
            </w:r>
            <w:r w:rsidRPr="00A718B1">
              <w:t>.</w:t>
            </w:r>
          </w:p>
        </w:tc>
        <w:tc>
          <w:tcPr>
            <w:tcW w:w="4876" w:type="dxa"/>
            <w:tcBorders>
              <w:top w:val="nil"/>
              <w:left w:val="nil"/>
              <w:bottom w:val="nil"/>
              <w:right w:val="nil"/>
            </w:tcBorders>
            <w:hideMark/>
          </w:tcPr>
          <w:p w14:paraId="7197E4D5" w14:textId="77777777" w:rsidR="006B1CDC" w:rsidRPr="00A718B1" w:rsidRDefault="006B1CDC" w:rsidP="00B47754">
            <w:pPr>
              <w:pStyle w:val="Normal6a"/>
            </w:pPr>
            <w:r w:rsidRPr="00A718B1">
              <w:lastRenderedPageBreak/>
              <w:t>(4)</w:t>
            </w:r>
            <w:r w:rsidRPr="00A718B1">
              <w:tab/>
              <w:t xml:space="preserve">Kako bi se povećala dugoročna </w:t>
            </w:r>
            <w:r w:rsidRPr="00A718B1">
              <w:lastRenderedPageBreak/>
              <w:t xml:space="preserve">predvidljivost tržišta, emisijske jedinice stavljene u rezervu za sektore zgrada i cestovnog prometa te dodatne sektore koje ne budu oslobođene trebale bi ostati valjane </w:t>
            </w:r>
            <w:r w:rsidRPr="00A718B1">
              <w:rPr>
                <w:b/>
                <w:i/>
              </w:rPr>
              <w:t>do 31. prosinca 2033., a djelomično</w:t>
            </w:r>
            <w:r w:rsidRPr="00A718B1">
              <w:t xml:space="preserve"> i </w:t>
            </w:r>
            <w:r w:rsidRPr="00A718B1">
              <w:rPr>
                <w:b/>
                <w:i/>
              </w:rPr>
              <w:t>do</w:t>
            </w:r>
            <w:r w:rsidRPr="00A718B1">
              <w:t xml:space="preserve"> 31. prosinca </w:t>
            </w:r>
            <w:r w:rsidRPr="00A718B1">
              <w:rPr>
                <w:b/>
                <w:i/>
              </w:rPr>
              <w:t>2035.</w:t>
            </w:r>
            <w:r w:rsidRPr="00A718B1">
              <w:t xml:space="preserve"> </w:t>
            </w:r>
            <w:r w:rsidRPr="00A718B1">
              <w:rPr>
                <w:b/>
                <w:i/>
              </w:rPr>
              <w:t>U roku od četiri godine od početka rada sustava ETS2 Komisija bi trebala provesti procjenu učinka, uključujući procjenu distribucijskog učinka, te evaluaciju okolišnog, socijalnog i gospodarskog učinka preostalih emisijskih jedinica u rezervi.</w:t>
            </w:r>
          </w:p>
        </w:tc>
      </w:tr>
    </w:tbl>
    <w:p w14:paraId="109F9A56" w14:textId="77777777" w:rsidR="006B1CDC" w:rsidRPr="00A718B1" w:rsidRDefault="006B1CDC" w:rsidP="006B1CDC"/>
    <w:p w14:paraId="55F08DD0" w14:textId="77777777" w:rsidR="006B1CDC" w:rsidRPr="00A718B1" w:rsidRDefault="006B1CDC" w:rsidP="006B1CDC">
      <w:pPr>
        <w:pStyle w:val="AmNumberTabs"/>
      </w:pPr>
      <w:r w:rsidRPr="00A718B1">
        <w:t>Amandman</w:t>
      </w:r>
      <w:r w:rsidRPr="00A718B1">
        <w:tab/>
      </w:r>
      <w:r w:rsidRPr="00A718B1">
        <w:tab/>
        <w:t>5</w:t>
      </w:r>
    </w:p>
    <w:p w14:paraId="087D43BA" w14:textId="77777777" w:rsidR="006B1CDC" w:rsidRPr="00A718B1" w:rsidRDefault="006B1CDC" w:rsidP="006B1CDC">
      <w:pPr>
        <w:pStyle w:val="NormalBold"/>
      </w:pPr>
      <w:r w:rsidRPr="00A718B1">
        <w:t>Prijedlog odluke</w:t>
      </w:r>
    </w:p>
    <w:p w14:paraId="489BDDE8" w14:textId="77777777" w:rsidR="006B1CDC" w:rsidRPr="00A718B1" w:rsidRDefault="006B1CDC" w:rsidP="006B1CDC">
      <w:pPr>
        <w:pStyle w:val="NormalBold"/>
      </w:pPr>
      <w:r w:rsidRPr="00A718B1">
        <w:t>Uvodna izjava 6.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066F2A03" w14:textId="77777777" w:rsidTr="00B47754">
        <w:trPr>
          <w:trHeight w:val="240"/>
          <w:jc w:val="center"/>
        </w:trPr>
        <w:tc>
          <w:tcPr>
            <w:tcW w:w="9752" w:type="dxa"/>
            <w:gridSpan w:val="2"/>
            <w:tcBorders>
              <w:top w:val="nil"/>
              <w:left w:val="nil"/>
              <w:bottom w:val="nil"/>
              <w:right w:val="nil"/>
            </w:tcBorders>
          </w:tcPr>
          <w:p w14:paraId="1E9CF4FC" w14:textId="77777777" w:rsidR="006B1CDC" w:rsidRPr="00A718B1" w:rsidRDefault="006B1CDC" w:rsidP="00B47754"/>
        </w:tc>
      </w:tr>
      <w:tr w:rsidR="006B1CDC" w:rsidRPr="00A718B1" w14:paraId="65061B58" w14:textId="77777777" w:rsidTr="00B47754">
        <w:trPr>
          <w:trHeight w:val="240"/>
          <w:jc w:val="center"/>
        </w:trPr>
        <w:tc>
          <w:tcPr>
            <w:tcW w:w="4876" w:type="dxa"/>
            <w:tcBorders>
              <w:top w:val="nil"/>
              <w:left w:val="nil"/>
              <w:bottom w:val="nil"/>
              <w:right w:val="nil"/>
            </w:tcBorders>
            <w:hideMark/>
          </w:tcPr>
          <w:p w14:paraId="71AB6CFC" w14:textId="77777777" w:rsidR="006B1CDC" w:rsidRPr="00A718B1" w:rsidRDefault="006B1CDC" w:rsidP="00B47754">
            <w:pPr>
              <w:pStyle w:val="AmColumnHeading"/>
            </w:pPr>
            <w:r w:rsidRPr="00A718B1">
              <w:t>Tekst koji je predložila Komisija</w:t>
            </w:r>
          </w:p>
        </w:tc>
        <w:tc>
          <w:tcPr>
            <w:tcW w:w="4876" w:type="dxa"/>
            <w:tcBorders>
              <w:top w:val="nil"/>
              <w:left w:val="nil"/>
              <w:bottom w:val="nil"/>
              <w:right w:val="nil"/>
            </w:tcBorders>
            <w:hideMark/>
          </w:tcPr>
          <w:p w14:paraId="5880ECB7" w14:textId="77777777" w:rsidR="006B1CDC" w:rsidRPr="00A718B1" w:rsidRDefault="006B1CDC" w:rsidP="00B47754">
            <w:pPr>
              <w:pStyle w:val="AmColumnHeading"/>
            </w:pPr>
            <w:r w:rsidRPr="00A718B1">
              <w:t>Izmjena</w:t>
            </w:r>
          </w:p>
        </w:tc>
      </w:tr>
      <w:tr w:rsidR="006B1CDC" w:rsidRPr="00A718B1" w14:paraId="1041FAEE" w14:textId="77777777" w:rsidTr="00B47754">
        <w:trPr>
          <w:jc w:val="center"/>
        </w:trPr>
        <w:tc>
          <w:tcPr>
            <w:tcW w:w="4876" w:type="dxa"/>
            <w:tcBorders>
              <w:top w:val="nil"/>
              <w:left w:val="nil"/>
              <w:bottom w:val="nil"/>
              <w:right w:val="nil"/>
            </w:tcBorders>
            <w:hideMark/>
          </w:tcPr>
          <w:p w14:paraId="3653EA44" w14:textId="77777777" w:rsidR="006B1CDC" w:rsidRPr="00A718B1" w:rsidRDefault="006B1CDC" w:rsidP="00B47754">
            <w:pPr>
              <w:pStyle w:val="Normal6a"/>
            </w:pPr>
            <w:r w:rsidRPr="00A718B1">
              <w:t>(6)</w:t>
            </w:r>
            <w:r w:rsidRPr="00A718B1">
              <w:tab/>
              <w:t>Kako bi se dodatno poboljšala njegova reaktivnost na neopravdane fluktuacije cijena i povećala predvidljivost tržišta, trebalo bi oprezno ojačati mehanizam za povećanje stabilnosti cijena u prve tri godine sustava trgovanja emisijama za sektore zgrada i cestovnog prometa te dodatne sektore. To bi moglo uključivati oslobađanje veće količine emisijskih jedinica na tržištu. Ako se ta mjera primijeni dvaput u istom 12-mjesečnom razdoblju, dodatno oslobađanje trebalo bi se provesti dvaput.</w:t>
            </w:r>
          </w:p>
        </w:tc>
        <w:tc>
          <w:tcPr>
            <w:tcW w:w="4876" w:type="dxa"/>
            <w:tcBorders>
              <w:top w:val="nil"/>
              <w:left w:val="nil"/>
              <w:bottom w:val="nil"/>
              <w:right w:val="nil"/>
            </w:tcBorders>
            <w:hideMark/>
          </w:tcPr>
          <w:p w14:paraId="4C4F10BD" w14:textId="77777777" w:rsidR="006B1CDC" w:rsidRPr="00A718B1" w:rsidRDefault="006B1CDC" w:rsidP="00B47754">
            <w:pPr>
              <w:pStyle w:val="Normal6a"/>
            </w:pPr>
            <w:r w:rsidRPr="00A718B1">
              <w:t>(6)</w:t>
            </w:r>
            <w:r w:rsidRPr="00A718B1">
              <w:tab/>
              <w:t xml:space="preserve">Kako bi se dodatno poboljšala njegova reaktivnost na neopravdane fluktuacije cijena i povećala predvidljivost tržišta, trebalo bi oprezno ojačati mehanizam za povećanje stabilnosti cijena u prve tri godine sustava trgovanja emisijama za sektore zgrada i cestovnog prometa te dodatne sektore. To bi moglo uključivati oslobađanje veće količine emisijskih jedinica na tržištu </w:t>
            </w:r>
            <w:r w:rsidRPr="00A718B1">
              <w:rPr>
                <w:b/>
                <w:bCs/>
                <w:i/>
                <w:iCs/>
              </w:rPr>
              <w:t>bez odgode</w:t>
            </w:r>
            <w:r w:rsidRPr="00A718B1">
              <w:t>. Ako se ta mjera primijeni dvaput u istom 12-mjesečnom razdoblju, dodatno oslobađanje trebalo bi se provesti dvaput.</w:t>
            </w:r>
          </w:p>
        </w:tc>
      </w:tr>
    </w:tbl>
    <w:p w14:paraId="4E442EE3" w14:textId="77777777" w:rsidR="006B1CDC" w:rsidRPr="00A718B1" w:rsidRDefault="006B1CDC" w:rsidP="006B1CDC"/>
    <w:p w14:paraId="28C79DAC" w14:textId="77777777" w:rsidR="006B1CDC" w:rsidRPr="00A718B1" w:rsidRDefault="006B1CDC" w:rsidP="006B1CDC">
      <w:pPr>
        <w:pStyle w:val="AmNumberTabs"/>
      </w:pPr>
      <w:r w:rsidRPr="00A718B1">
        <w:t>Amandman</w:t>
      </w:r>
      <w:r w:rsidRPr="00A718B1">
        <w:tab/>
      </w:r>
      <w:r w:rsidRPr="00A718B1">
        <w:tab/>
        <w:t>6</w:t>
      </w:r>
    </w:p>
    <w:p w14:paraId="0CF895D8" w14:textId="77777777" w:rsidR="006B1CDC" w:rsidRPr="00A718B1" w:rsidRDefault="006B1CDC" w:rsidP="006B1CDC">
      <w:pPr>
        <w:pStyle w:val="NormalBold"/>
      </w:pPr>
      <w:r w:rsidRPr="00A718B1">
        <w:t>Prijedlog odluke</w:t>
      </w:r>
    </w:p>
    <w:p w14:paraId="37994873" w14:textId="77777777" w:rsidR="006B1CDC" w:rsidRPr="00A718B1" w:rsidRDefault="006B1CDC" w:rsidP="006B1CDC">
      <w:pPr>
        <w:pStyle w:val="NormalBold"/>
      </w:pPr>
      <w:r w:rsidRPr="00A718B1">
        <w:t>Uvodna izjava 6.a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7538ED80" w14:textId="77777777" w:rsidTr="00B47754">
        <w:trPr>
          <w:trHeight w:val="240"/>
          <w:jc w:val="center"/>
        </w:trPr>
        <w:tc>
          <w:tcPr>
            <w:tcW w:w="9752" w:type="dxa"/>
            <w:gridSpan w:val="2"/>
            <w:tcBorders>
              <w:top w:val="nil"/>
              <w:left w:val="nil"/>
              <w:bottom w:val="nil"/>
              <w:right w:val="nil"/>
            </w:tcBorders>
          </w:tcPr>
          <w:p w14:paraId="0E7D3A79" w14:textId="77777777" w:rsidR="006B1CDC" w:rsidRPr="00A718B1" w:rsidRDefault="006B1CDC" w:rsidP="00B47754"/>
        </w:tc>
      </w:tr>
      <w:tr w:rsidR="006B1CDC" w:rsidRPr="00A718B1" w14:paraId="14BDB911" w14:textId="77777777" w:rsidTr="00B47754">
        <w:trPr>
          <w:trHeight w:val="240"/>
          <w:jc w:val="center"/>
        </w:trPr>
        <w:tc>
          <w:tcPr>
            <w:tcW w:w="4876" w:type="dxa"/>
            <w:tcBorders>
              <w:top w:val="nil"/>
              <w:left w:val="nil"/>
              <w:bottom w:val="nil"/>
              <w:right w:val="nil"/>
            </w:tcBorders>
            <w:hideMark/>
          </w:tcPr>
          <w:p w14:paraId="23FC3486" w14:textId="77777777" w:rsidR="006B1CDC" w:rsidRPr="00A718B1" w:rsidRDefault="006B1CDC" w:rsidP="00B47754">
            <w:pPr>
              <w:pStyle w:val="AmColumnHeading"/>
            </w:pPr>
            <w:r w:rsidRPr="00A718B1">
              <w:t>Tekst koji je predložila Komisija</w:t>
            </w:r>
          </w:p>
        </w:tc>
        <w:tc>
          <w:tcPr>
            <w:tcW w:w="4876" w:type="dxa"/>
            <w:tcBorders>
              <w:top w:val="nil"/>
              <w:left w:val="nil"/>
              <w:bottom w:val="nil"/>
              <w:right w:val="nil"/>
            </w:tcBorders>
            <w:hideMark/>
          </w:tcPr>
          <w:p w14:paraId="1D77B73F" w14:textId="77777777" w:rsidR="006B1CDC" w:rsidRPr="00A718B1" w:rsidRDefault="006B1CDC" w:rsidP="00B47754">
            <w:pPr>
              <w:pStyle w:val="AmColumnHeading"/>
            </w:pPr>
            <w:r w:rsidRPr="00A718B1">
              <w:t>Izmjena</w:t>
            </w:r>
          </w:p>
        </w:tc>
      </w:tr>
      <w:tr w:rsidR="006B1CDC" w:rsidRPr="00A718B1" w14:paraId="034875F8" w14:textId="77777777" w:rsidTr="00B47754">
        <w:trPr>
          <w:jc w:val="center"/>
        </w:trPr>
        <w:tc>
          <w:tcPr>
            <w:tcW w:w="4876" w:type="dxa"/>
            <w:tcBorders>
              <w:top w:val="nil"/>
              <w:left w:val="nil"/>
              <w:bottom w:val="nil"/>
              <w:right w:val="nil"/>
            </w:tcBorders>
          </w:tcPr>
          <w:p w14:paraId="4D717819" w14:textId="77777777" w:rsidR="006B1CDC" w:rsidRPr="00A718B1" w:rsidRDefault="006B1CDC" w:rsidP="00B47754">
            <w:pPr>
              <w:pStyle w:val="Normal6a"/>
            </w:pPr>
          </w:p>
        </w:tc>
        <w:tc>
          <w:tcPr>
            <w:tcW w:w="4876" w:type="dxa"/>
            <w:tcBorders>
              <w:top w:val="nil"/>
              <w:left w:val="nil"/>
              <w:bottom w:val="nil"/>
              <w:right w:val="nil"/>
            </w:tcBorders>
            <w:hideMark/>
          </w:tcPr>
          <w:p w14:paraId="15193665" w14:textId="4C7C0353" w:rsidR="006B1CDC" w:rsidRPr="00A718B1" w:rsidRDefault="006B1CDC" w:rsidP="00B47754">
            <w:pPr>
              <w:pStyle w:val="Normal6a"/>
            </w:pPr>
            <w:r w:rsidRPr="00A718B1">
              <w:rPr>
                <w:b/>
                <w:i/>
              </w:rPr>
              <w:t>(6a)</w:t>
            </w:r>
            <w:r w:rsidRPr="00A718B1">
              <w:tab/>
            </w:r>
            <w:r w:rsidRPr="00A718B1">
              <w:rPr>
                <w:b/>
                <w:i/>
              </w:rPr>
              <w:t xml:space="preserve">Prekomjerne razine cijena emisijskih jedinica u okviru sustava trgovanja emisijama za sektore zgrada i cestovnog prometa te dodatne sektore i dalje bi mogle nerazmjerno utjecati na ranjiva kućanstva, a pretjerane fluktuacije cijena mogle bi se javljati češće nego dvaput godišnje. U kontekstu </w:t>
            </w:r>
            <w:r w:rsidRPr="00A718B1">
              <w:rPr>
                <w:b/>
                <w:i/>
              </w:rPr>
              <w:lastRenderedPageBreak/>
              <w:t>preispitivanja Direktive 2003/87/EZ Europskog parlamenta i Vijeća ključno je razmotriti daljnje mjere socijalne zaštite te bi moglo biti primjereno da Komisija razmotri snažnije instrumente za ograničavanje cijena kako bi se dugoročno zajamčila stabilnost cijena. U tom bi pogledu Komisija mogla razmotriti niz opcija poput jačanja i produljenja mehanizma za prekomjerni porast cijena od 45 EUR utvrđenog u cijenama iz 2026. nakon 31. prosinca 2029. te odgovarajuće prilagodbe rezerve za stabilnost tržišta, uključujući učestalost i količinu oslobađanja emisijskih jedinica i količinu u rezervi, ako je to potrebno, procjene izvedivosti mogućnosti da se državama članicama odstupanjem privremeno dopusti da ne primjenjuju sustav na stambene zgrade, pod uvjetom da dokažu da mogu postići ciljeve raspodjele tereta uvođenjem drugih mjera i pod uvjetom da su prenijele Direktivu (EU) 2024/1275 Europskog parlamenta i Vijeća u nacionalno pravo, osiguravajući mogućnost upotrebe prihoda od trgovanja emisijama za izravnu potporu, kao što su klimatske dividende, bez potrebe za dokazivanjem pozitivnog učinka na okoliš ili uvođenjem drugih mjera za smanjenje troškova koji se prenose na ranjiva kućanstva. Komisija do 1. ožujka 2027. mora na odgovarajući način procijeniti te mogućnosti s obzirom na njihove socijalne i okolišne učinke, osiguravajući pritom da ne budu na štetu ispunjavanja klimatskih ciljeva Unije kako su utvrđeni u Uredbi (EU) 2021/1119 Europskog parlamenta i Vijeća.</w:t>
            </w:r>
          </w:p>
        </w:tc>
      </w:tr>
    </w:tbl>
    <w:p w14:paraId="0DE26431" w14:textId="77777777" w:rsidR="006B1CDC" w:rsidRPr="00A718B1" w:rsidRDefault="006B1CDC" w:rsidP="006B1CDC"/>
    <w:p w14:paraId="412A6F04" w14:textId="77777777" w:rsidR="006B1CDC" w:rsidRPr="00A718B1" w:rsidRDefault="006B1CDC" w:rsidP="006B1CDC">
      <w:pPr>
        <w:pStyle w:val="AmNumberTabs"/>
      </w:pPr>
      <w:r w:rsidRPr="00A718B1">
        <w:t>Amandman</w:t>
      </w:r>
      <w:r w:rsidRPr="00A718B1">
        <w:tab/>
      </w:r>
      <w:r w:rsidRPr="00A718B1">
        <w:tab/>
        <w:t>7</w:t>
      </w:r>
    </w:p>
    <w:p w14:paraId="13F1B450" w14:textId="77777777" w:rsidR="006B1CDC" w:rsidRPr="00A718B1" w:rsidRDefault="006B1CDC" w:rsidP="006B1CDC">
      <w:pPr>
        <w:pStyle w:val="NormalBold"/>
      </w:pPr>
      <w:r w:rsidRPr="00A718B1">
        <w:t>Prijedlog odluke</w:t>
      </w:r>
    </w:p>
    <w:p w14:paraId="3A9F1BF5" w14:textId="77777777" w:rsidR="006B1CDC" w:rsidRPr="00A718B1" w:rsidRDefault="006B1CDC" w:rsidP="006B1CDC">
      <w:pPr>
        <w:pStyle w:val="NormalBold"/>
      </w:pPr>
      <w:r w:rsidRPr="00A718B1">
        <w:t>Uvodna izjava 6.b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79168266" w14:textId="77777777" w:rsidTr="00B47754">
        <w:trPr>
          <w:trHeight w:val="240"/>
          <w:jc w:val="center"/>
        </w:trPr>
        <w:tc>
          <w:tcPr>
            <w:tcW w:w="9752" w:type="dxa"/>
            <w:gridSpan w:val="2"/>
            <w:tcBorders>
              <w:top w:val="nil"/>
              <w:left w:val="nil"/>
              <w:bottom w:val="nil"/>
              <w:right w:val="nil"/>
            </w:tcBorders>
          </w:tcPr>
          <w:p w14:paraId="05005701" w14:textId="77777777" w:rsidR="006B1CDC" w:rsidRPr="00A718B1" w:rsidRDefault="006B1CDC" w:rsidP="00B47754"/>
        </w:tc>
      </w:tr>
      <w:tr w:rsidR="006B1CDC" w:rsidRPr="00A718B1" w14:paraId="75121071" w14:textId="77777777" w:rsidTr="00B47754">
        <w:trPr>
          <w:trHeight w:val="240"/>
          <w:jc w:val="center"/>
        </w:trPr>
        <w:tc>
          <w:tcPr>
            <w:tcW w:w="4876" w:type="dxa"/>
            <w:tcBorders>
              <w:top w:val="nil"/>
              <w:left w:val="nil"/>
              <w:bottom w:val="nil"/>
              <w:right w:val="nil"/>
            </w:tcBorders>
            <w:hideMark/>
          </w:tcPr>
          <w:p w14:paraId="6F95765E" w14:textId="77777777" w:rsidR="006B1CDC" w:rsidRPr="00A718B1" w:rsidRDefault="006B1CDC" w:rsidP="00B47754">
            <w:pPr>
              <w:pStyle w:val="AmColumnHeading"/>
            </w:pPr>
            <w:r w:rsidRPr="00A718B1">
              <w:t>Tekst koji je predložila Komisija</w:t>
            </w:r>
          </w:p>
        </w:tc>
        <w:tc>
          <w:tcPr>
            <w:tcW w:w="4876" w:type="dxa"/>
            <w:tcBorders>
              <w:top w:val="nil"/>
              <w:left w:val="nil"/>
              <w:bottom w:val="nil"/>
              <w:right w:val="nil"/>
            </w:tcBorders>
            <w:hideMark/>
          </w:tcPr>
          <w:p w14:paraId="53EAE2F7" w14:textId="77777777" w:rsidR="006B1CDC" w:rsidRPr="00A718B1" w:rsidRDefault="006B1CDC" w:rsidP="00B47754">
            <w:pPr>
              <w:pStyle w:val="AmColumnHeading"/>
            </w:pPr>
            <w:r w:rsidRPr="00A718B1">
              <w:t>Izmjena</w:t>
            </w:r>
          </w:p>
        </w:tc>
      </w:tr>
      <w:tr w:rsidR="006B1CDC" w:rsidRPr="00A718B1" w14:paraId="5544E483" w14:textId="77777777" w:rsidTr="00B47754">
        <w:trPr>
          <w:jc w:val="center"/>
        </w:trPr>
        <w:tc>
          <w:tcPr>
            <w:tcW w:w="4876" w:type="dxa"/>
            <w:tcBorders>
              <w:top w:val="nil"/>
              <w:left w:val="nil"/>
              <w:bottom w:val="nil"/>
              <w:right w:val="nil"/>
            </w:tcBorders>
          </w:tcPr>
          <w:p w14:paraId="510DC2C6" w14:textId="77777777" w:rsidR="006B1CDC" w:rsidRPr="00A718B1" w:rsidRDefault="006B1CDC" w:rsidP="00B47754">
            <w:pPr>
              <w:pStyle w:val="Normal6a"/>
            </w:pPr>
          </w:p>
        </w:tc>
        <w:tc>
          <w:tcPr>
            <w:tcW w:w="4876" w:type="dxa"/>
            <w:tcBorders>
              <w:top w:val="nil"/>
              <w:left w:val="nil"/>
              <w:bottom w:val="nil"/>
              <w:right w:val="nil"/>
            </w:tcBorders>
            <w:hideMark/>
          </w:tcPr>
          <w:p w14:paraId="17F60C5C" w14:textId="4C98700D" w:rsidR="006B1CDC" w:rsidRPr="00A718B1" w:rsidRDefault="006B1CDC" w:rsidP="00B47754">
            <w:pPr>
              <w:pStyle w:val="Normal6a"/>
            </w:pPr>
            <w:r w:rsidRPr="00A718B1">
              <w:rPr>
                <w:b/>
                <w:i/>
              </w:rPr>
              <w:t>(6b)</w:t>
            </w:r>
            <w:r w:rsidRPr="00A718B1">
              <w:tab/>
            </w:r>
            <w:r w:rsidRPr="00A718B1">
              <w:rPr>
                <w:b/>
                <w:i/>
              </w:rPr>
              <w:t xml:space="preserve">Nakon revizije rezerve za stabilnost tržišta predviđene ovom Odlukom o izmjeni bilo bi primjereno da </w:t>
            </w:r>
            <w:r w:rsidRPr="00A718B1">
              <w:rPr>
                <w:b/>
                <w:i/>
              </w:rPr>
              <w:lastRenderedPageBreak/>
              <w:t xml:space="preserve">Komisija provede procjenu učinka sustava trgovanja emisijama za sektore zgrada i cestovnog prometa te dodatne sektore kako bi se procijenio njegov socijalni učinak i učinak na postizanje klimatskih ciljeva, kao i distribucijsku procjenu broja ranjivih kućanstava za koje je do tog datuma stavljena na raspolaganje potpora iz Socijalnog fonda za klimatsku politiku i </w:t>
            </w:r>
            <w:r w:rsidR="001F0380">
              <w:rPr>
                <w:b/>
                <w:i/>
              </w:rPr>
              <w:t xml:space="preserve">EIB-ovog </w:t>
            </w:r>
            <w:r w:rsidRPr="00A718B1">
              <w:rPr>
                <w:b/>
                <w:i/>
              </w:rPr>
              <w:t>instrumenta za pojačano financiranje na početku razdoblja, uključujući, ako je to izvedivo, raščlambu prema vrsti zemljopisnog područja, raspodjeli dohotka i spolu, pri čemu je potrebno razmotriti i dodatne mjere za osiguravanje okolišnog integriteta i socijalne pravednosti u okviru sustava ETS2.</w:t>
            </w:r>
          </w:p>
        </w:tc>
      </w:tr>
    </w:tbl>
    <w:p w14:paraId="4EFF4D2E" w14:textId="77777777" w:rsidR="006B1CDC" w:rsidRPr="00A718B1" w:rsidRDefault="006B1CDC" w:rsidP="006B1CDC"/>
    <w:p w14:paraId="3340C483" w14:textId="77777777" w:rsidR="006B1CDC" w:rsidRPr="00A718B1" w:rsidRDefault="006B1CDC" w:rsidP="006B1CDC">
      <w:pPr>
        <w:pStyle w:val="AmNumberTabs"/>
      </w:pPr>
      <w:r w:rsidRPr="00A718B1">
        <w:t>Amandman</w:t>
      </w:r>
      <w:r w:rsidRPr="00A718B1">
        <w:tab/>
      </w:r>
      <w:r w:rsidRPr="00A718B1">
        <w:tab/>
        <w:t>8</w:t>
      </w:r>
    </w:p>
    <w:p w14:paraId="56BFB785" w14:textId="77777777" w:rsidR="006B1CDC" w:rsidRPr="00A718B1" w:rsidRDefault="006B1CDC" w:rsidP="006B1CDC">
      <w:pPr>
        <w:pStyle w:val="NormalBold"/>
      </w:pPr>
      <w:r w:rsidRPr="00A718B1">
        <w:t>Prijedlog odluke</w:t>
      </w:r>
    </w:p>
    <w:p w14:paraId="13F052AB" w14:textId="77777777" w:rsidR="006B1CDC" w:rsidRDefault="006B1CDC" w:rsidP="006B1CDC">
      <w:pPr>
        <w:pStyle w:val="NormalBold"/>
      </w:pPr>
      <w:r w:rsidRPr="00A718B1">
        <w:t>Članak 1. – stavak 1. – točka 1.</w:t>
      </w:r>
    </w:p>
    <w:p w14:paraId="27C5FC7B" w14:textId="3958A566" w:rsidR="001F0380" w:rsidRPr="00D87882" w:rsidRDefault="001F0380" w:rsidP="006B1CDC">
      <w:pPr>
        <w:pStyle w:val="NormalBold"/>
        <w:rPr>
          <w:b w:val="0"/>
          <w:bCs/>
        </w:rPr>
      </w:pPr>
      <w:r w:rsidRPr="00D87882">
        <w:rPr>
          <w:b w:val="0"/>
          <w:bCs/>
        </w:rPr>
        <w:t>Odluka (EU) 2015/1814</w:t>
      </w:r>
    </w:p>
    <w:p w14:paraId="05A02C70" w14:textId="61DF5E53" w:rsidR="006B1CDC" w:rsidRPr="00A718B1" w:rsidRDefault="006B1CDC" w:rsidP="006B1CDC">
      <w:r w:rsidRPr="00A718B1">
        <w:t>Članak 1.</w:t>
      </w:r>
      <w:r w:rsidRPr="001F0380">
        <w:t xml:space="preserve">a </w:t>
      </w:r>
      <w:r w:rsidR="001F0380" w:rsidRPr="001F0380">
        <w:t xml:space="preserve">– stavak </w:t>
      </w:r>
      <w:r w:rsidR="001F0380">
        <w:t>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5302A55A" w14:textId="77777777" w:rsidTr="00D87882">
        <w:trPr>
          <w:trHeight w:val="240"/>
          <w:jc w:val="center"/>
        </w:trPr>
        <w:tc>
          <w:tcPr>
            <w:tcW w:w="9752" w:type="dxa"/>
            <w:gridSpan w:val="2"/>
            <w:tcBorders>
              <w:top w:val="nil"/>
              <w:left w:val="nil"/>
              <w:bottom w:val="nil"/>
              <w:right w:val="nil"/>
            </w:tcBorders>
          </w:tcPr>
          <w:p w14:paraId="6CD56EA5" w14:textId="77777777" w:rsidR="006B1CDC" w:rsidRPr="00A718B1" w:rsidRDefault="006B1CDC" w:rsidP="00B47754"/>
        </w:tc>
      </w:tr>
      <w:tr w:rsidR="006B1CDC" w:rsidRPr="00A718B1" w14:paraId="0CAFE105" w14:textId="77777777" w:rsidTr="00D87882">
        <w:trPr>
          <w:trHeight w:val="240"/>
          <w:jc w:val="center"/>
        </w:trPr>
        <w:tc>
          <w:tcPr>
            <w:tcW w:w="4876" w:type="dxa"/>
            <w:tcBorders>
              <w:top w:val="nil"/>
              <w:left w:val="nil"/>
              <w:bottom w:val="nil"/>
              <w:right w:val="nil"/>
            </w:tcBorders>
            <w:hideMark/>
          </w:tcPr>
          <w:p w14:paraId="278E5FD0" w14:textId="77777777" w:rsidR="006B1CDC" w:rsidRPr="00A718B1" w:rsidRDefault="006B1CDC" w:rsidP="00B47754">
            <w:pPr>
              <w:pStyle w:val="AmColumnHeading"/>
            </w:pPr>
            <w:r w:rsidRPr="00A718B1">
              <w:t>Tekst koji je predložila Komisija</w:t>
            </w:r>
          </w:p>
        </w:tc>
        <w:tc>
          <w:tcPr>
            <w:tcW w:w="4876" w:type="dxa"/>
            <w:tcBorders>
              <w:top w:val="nil"/>
              <w:left w:val="nil"/>
              <w:bottom w:val="nil"/>
              <w:right w:val="nil"/>
            </w:tcBorders>
            <w:hideMark/>
          </w:tcPr>
          <w:p w14:paraId="1BFE7A8B" w14:textId="77777777" w:rsidR="006B1CDC" w:rsidRPr="00A718B1" w:rsidRDefault="006B1CDC" w:rsidP="00B47754">
            <w:pPr>
              <w:pStyle w:val="AmColumnHeading"/>
            </w:pPr>
            <w:r w:rsidRPr="00A718B1">
              <w:t>Izmjena</w:t>
            </w:r>
          </w:p>
        </w:tc>
      </w:tr>
      <w:tr w:rsidR="006B1CDC" w:rsidRPr="00A718B1" w14:paraId="02277887" w14:textId="77777777" w:rsidTr="00D87882">
        <w:trPr>
          <w:jc w:val="center"/>
        </w:trPr>
        <w:tc>
          <w:tcPr>
            <w:tcW w:w="4876" w:type="dxa"/>
            <w:tcBorders>
              <w:top w:val="nil"/>
              <w:left w:val="nil"/>
              <w:bottom w:val="nil"/>
              <w:right w:val="nil"/>
            </w:tcBorders>
            <w:hideMark/>
          </w:tcPr>
          <w:p w14:paraId="52582AF9" w14:textId="77777777" w:rsidR="006B1CDC" w:rsidRPr="00A718B1" w:rsidRDefault="006B1CDC" w:rsidP="00B47754">
            <w:pPr>
              <w:pStyle w:val="Normal6a"/>
            </w:pPr>
            <w:r w:rsidRPr="00A718B1">
              <w:t>(1)</w:t>
            </w:r>
            <w:r w:rsidRPr="00A718B1">
              <w:tab/>
              <w:t xml:space="preserve">U stavku 3. </w:t>
            </w:r>
            <w:r w:rsidRPr="00A718B1">
              <w:rPr>
                <w:b/>
                <w:bCs/>
                <w:i/>
                <w:iCs/>
              </w:rPr>
              <w:t>briše se</w:t>
            </w:r>
            <w:r w:rsidRPr="00A718B1">
              <w:t xml:space="preserve"> druga rečenica</w:t>
            </w:r>
            <w:r w:rsidRPr="00A718B1">
              <w:rPr>
                <w:b/>
                <w:bCs/>
                <w:i/>
                <w:iCs/>
              </w:rPr>
              <w:t>;</w:t>
            </w:r>
          </w:p>
        </w:tc>
        <w:tc>
          <w:tcPr>
            <w:tcW w:w="4876" w:type="dxa"/>
            <w:tcBorders>
              <w:top w:val="nil"/>
              <w:left w:val="nil"/>
              <w:bottom w:val="nil"/>
              <w:right w:val="nil"/>
            </w:tcBorders>
            <w:hideMark/>
          </w:tcPr>
          <w:p w14:paraId="1B75681A" w14:textId="51328951" w:rsidR="006B1CDC" w:rsidRPr="00A718B1" w:rsidRDefault="006B1CDC" w:rsidP="00B47754">
            <w:pPr>
              <w:pStyle w:val="Normal6a"/>
            </w:pPr>
            <w:r w:rsidRPr="00A718B1">
              <w:t>(1)</w:t>
            </w:r>
            <w:r w:rsidRPr="00A718B1">
              <w:tab/>
              <w:t xml:space="preserve">U stavku 3. druga rečenica </w:t>
            </w:r>
            <w:r w:rsidRPr="00A718B1">
              <w:rPr>
                <w:b/>
                <w:bCs/>
                <w:i/>
                <w:iCs/>
              </w:rPr>
              <w:t>zamjenjuje se sljedećim:</w:t>
            </w:r>
          </w:p>
        </w:tc>
      </w:tr>
      <w:tr w:rsidR="001F0380" w:rsidRPr="00A718B1" w14:paraId="2B1D5F7D" w14:textId="77777777" w:rsidTr="00D87882">
        <w:trPr>
          <w:jc w:val="center"/>
        </w:trPr>
        <w:tc>
          <w:tcPr>
            <w:tcW w:w="4876" w:type="dxa"/>
            <w:tcBorders>
              <w:top w:val="nil"/>
              <w:left w:val="nil"/>
              <w:bottom w:val="nil"/>
              <w:right w:val="nil"/>
            </w:tcBorders>
          </w:tcPr>
          <w:p w14:paraId="2B3060E3" w14:textId="77777777" w:rsidR="001F0380" w:rsidRPr="00A718B1" w:rsidRDefault="001F0380" w:rsidP="00B47754">
            <w:pPr>
              <w:pStyle w:val="Normal6a"/>
            </w:pPr>
          </w:p>
        </w:tc>
        <w:tc>
          <w:tcPr>
            <w:tcW w:w="4876" w:type="dxa"/>
            <w:tcBorders>
              <w:top w:val="nil"/>
              <w:left w:val="nil"/>
              <w:bottom w:val="nil"/>
              <w:right w:val="nil"/>
            </w:tcBorders>
          </w:tcPr>
          <w:p w14:paraId="7A019E28" w14:textId="3A0355E6" w:rsidR="001F0380" w:rsidRPr="00A718B1" w:rsidRDefault="001F0380" w:rsidP="00B47754">
            <w:pPr>
              <w:pStyle w:val="Normal6a"/>
            </w:pPr>
            <w:r w:rsidRPr="00A718B1">
              <w:rPr>
                <w:b/>
                <w:i/>
              </w:rPr>
              <w:t>„Od 1. siječnja 2034. 50% emisijskih jedinica iz tog podstavka koje nisu bile oslobođene iz rezerve prestaju biti valjane. Od 1. siječnja 2036. preostale emisijske jedinice iz tog podstavka koje nisu bile oslobođene iz rezerve prestaju biti valjane.”</w:t>
            </w:r>
            <w:r>
              <w:rPr>
                <w:b/>
                <w:i/>
              </w:rPr>
              <w:t>;</w:t>
            </w:r>
          </w:p>
        </w:tc>
      </w:tr>
    </w:tbl>
    <w:p w14:paraId="3F4786AB" w14:textId="77777777" w:rsidR="006B1CDC" w:rsidRPr="00A718B1" w:rsidRDefault="006B1CDC" w:rsidP="006B1CDC"/>
    <w:p w14:paraId="36062DBC" w14:textId="77777777" w:rsidR="006B1CDC" w:rsidRPr="00A718B1" w:rsidRDefault="006B1CDC" w:rsidP="006B1CDC">
      <w:pPr>
        <w:pStyle w:val="AmNumberTabs"/>
      </w:pPr>
      <w:r w:rsidRPr="00A718B1">
        <w:t>Amandman</w:t>
      </w:r>
      <w:r w:rsidRPr="00A718B1">
        <w:tab/>
      </w:r>
      <w:r w:rsidRPr="00A718B1">
        <w:tab/>
        <w:t>9</w:t>
      </w:r>
    </w:p>
    <w:p w14:paraId="26154716" w14:textId="77777777" w:rsidR="006B1CDC" w:rsidRPr="00A718B1" w:rsidRDefault="006B1CDC" w:rsidP="006B1CDC">
      <w:pPr>
        <w:pStyle w:val="NormalBold"/>
      </w:pPr>
      <w:r w:rsidRPr="00A718B1">
        <w:t>Prijedlog odluke</w:t>
      </w:r>
    </w:p>
    <w:p w14:paraId="1954DCE7" w14:textId="77777777" w:rsidR="006B1CDC" w:rsidRDefault="006B1CDC" w:rsidP="006B1CDC">
      <w:pPr>
        <w:pStyle w:val="NormalBold"/>
      </w:pPr>
      <w:r w:rsidRPr="00A718B1">
        <w:t>Članak 1. – stavak 1. – točka 4.a (nova)</w:t>
      </w:r>
    </w:p>
    <w:p w14:paraId="334AD9CF" w14:textId="0C0AE8B8" w:rsidR="001F0380" w:rsidRPr="00D87882" w:rsidRDefault="001F0380" w:rsidP="006B1CDC">
      <w:pPr>
        <w:pStyle w:val="NormalBold"/>
        <w:rPr>
          <w:b w:val="0"/>
          <w:bCs/>
        </w:rPr>
      </w:pPr>
      <w:r>
        <w:rPr>
          <w:b w:val="0"/>
          <w:bCs/>
        </w:rPr>
        <w:t>Odluka (EU) 2015/1814</w:t>
      </w:r>
    </w:p>
    <w:p w14:paraId="67AB4F73" w14:textId="1ACAC93C" w:rsidR="006B1CDC" w:rsidRPr="00A718B1" w:rsidRDefault="006B1CDC" w:rsidP="006B1CDC">
      <w:r w:rsidRPr="00A718B1">
        <w:t xml:space="preserve">Članak 1.a </w:t>
      </w:r>
      <w:r w:rsidR="001F0380" w:rsidRPr="001F0380">
        <w:t xml:space="preserve">– stavak </w:t>
      </w:r>
      <w:r w:rsidR="001F0380">
        <w:t>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3F4001D3" w14:textId="77777777" w:rsidTr="00B47754">
        <w:trPr>
          <w:trHeight w:val="240"/>
          <w:jc w:val="center"/>
        </w:trPr>
        <w:tc>
          <w:tcPr>
            <w:tcW w:w="9752" w:type="dxa"/>
            <w:gridSpan w:val="2"/>
            <w:tcBorders>
              <w:top w:val="nil"/>
              <w:left w:val="nil"/>
              <w:bottom w:val="nil"/>
              <w:right w:val="nil"/>
            </w:tcBorders>
          </w:tcPr>
          <w:p w14:paraId="3213DE32" w14:textId="77777777" w:rsidR="006B1CDC" w:rsidRPr="00A718B1" w:rsidRDefault="006B1CDC" w:rsidP="00B47754"/>
        </w:tc>
      </w:tr>
      <w:tr w:rsidR="006B1CDC" w:rsidRPr="00A718B1" w14:paraId="1FE4F3F7" w14:textId="77777777" w:rsidTr="00B47754">
        <w:trPr>
          <w:trHeight w:val="240"/>
          <w:jc w:val="center"/>
        </w:trPr>
        <w:tc>
          <w:tcPr>
            <w:tcW w:w="4876" w:type="dxa"/>
            <w:tcBorders>
              <w:top w:val="nil"/>
              <w:left w:val="nil"/>
              <w:bottom w:val="nil"/>
              <w:right w:val="nil"/>
            </w:tcBorders>
            <w:hideMark/>
          </w:tcPr>
          <w:p w14:paraId="1592D771" w14:textId="77777777" w:rsidR="006B1CDC" w:rsidRPr="00A718B1" w:rsidRDefault="006B1CDC" w:rsidP="00B47754">
            <w:pPr>
              <w:pStyle w:val="AmColumnHeading"/>
            </w:pPr>
            <w:r w:rsidRPr="00A718B1">
              <w:t>Tekst na snazi</w:t>
            </w:r>
          </w:p>
        </w:tc>
        <w:tc>
          <w:tcPr>
            <w:tcW w:w="4876" w:type="dxa"/>
            <w:tcBorders>
              <w:top w:val="nil"/>
              <w:left w:val="nil"/>
              <w:bottom w:val="nil"/>
              <w:right w:val="nil"/>
            </w:tcBorders>
            <w:hideMark/>
          </w:tcPr>
          <w:p w14:paraId="3D5FD115" w14:textId="77777777" w:rsidR="006B1CDC" w:rsidRPr="00A718B1" w:rsidRDefault="006B1CDC" w:rsidP="00B47754">
            <w:pPr>
              <w:pStyle w:val="AmColumnHeading"/>
            </w:pPr>
            <w:r w:rsidRPr="00A718B1">
              <w:t>Izmjena</w:t>
            </w:r>
          </w:p>
        </w:tc>
      </w:tr>
      <w:tr w:rsidR="006B1CDC" w:rsidRPr="00A718B1" w14:paraId="1F1AEE39" w14:textId="77777777" w:rsidTr="00B47754">
        <w:trPr>
          <w:jc w:val="center"/>
        </w:trPr>
        <w:tc>
          <w:tcPr>
            <w:tcW w:w="4876" w:type="dxa"/>
            <w:tcBorders>
              <w:top w:val="nil"/>
              <w:left w:val="nil"/>
              <w:bottom w:val="nil"/>
              <w:right w:val="nil"/>
            </w:tcBorders>
          </w:tcPr>
          <w:p w14:paraId="2D6FFC56" w14:textId="77777777" w:rsidR="006B1CDC" w:rsidRPr="00A718B1" w:rsidRDefault="006B1CDC" w:rsidP="00B47754">
            <w:pPr>
              <w:pStyle w:val="Normal6a"/>
            </w:pPr>
          </w:p>
        </w:tc>
        <w:tc>
          <w:tcPr>
            <w:tcW w:w="4876" w:type="dxa"/>
            <w:tcBorders>
              <w:top w:val="nil"/>
              <w:left w:val="nil"/>
              <w:bottom w:val="nil"/>
              <w:right w:val="nil"/>
            </w:tcBorders>
            <w:hideMark/>
          </w:tcPr>
          <w:p w14:paraId="3C302C29" w14:textId="7096D058" w:rsidR="006B1CDC" w:rsidRPr="00A718B1" w:rsidRDefault="006B1CDC" w:rsidP="00B47754">
            <w:pPr>
              <w:pStyle w:val="Normal6a"/>
            </w:pPr>
            <w:r w:rsidRPr="00A718B1">
              <w:rPr>
                <w:b/>
                <w:i/>
              </w:rPr>
              <w:t>(4a)</w:t>
            </w:r>
            <w:r w:rsidRPr="00A718B1">
              <w:tab/>
            </w:r>
            <w:r w:rsidRPr="00A718B1">
              <w:rPr>
                <w:b/>
                <w:i/>
              </w:rPr>
              <w:t>u stavku 7. druga rečenica zamjenjuje se sljedećim:</w:t>
            </w:r>
          </w:p>
        </w:tc>
      </w:tr>
      <w:tr w:rsidR="006B1CDC" w:rsidRPr="00A718B1" w14:paraId="57C2AF69" w14:textId="77777777" w:rsidTr="00B47754">
        <w:trPr>
          <w:jc w:val="center"/>
        </w:trPr>
        <w:tc>
          <w:tcPr>
            <w:tcW w:w="4876" w:type="dxa"/>
            <w:tcBorders>
              <w:top w:val="nil"/>
              <w:left w:val="nil"/>
              <w:bottom w:val="nil"/>
              <w:right w:val="nil"/>
            </w:tcBorders>
            <w:hideMark/>
          </w:tcPr>
          <w:p w14:paraId="6731C590" w14:textId="77777777" w:rsidR="006B1CDC" w:rsidRPr="00A718B1" w:rsidRDefault="006B1CDC" w:rsidP="00B47754">
            <w:pPr>
              <w:pStyle w:val="Normal6a"/>
            </w:pPr>
            <w:r w:rsidRPr="00A718B1">
              <w:lastRenderedPageBreak/>
              <w:t xml:space="preserve">Količine koje se oslobađaju iz rezerve ravnomjerno se raspodjeljuju tijekom razdoblja od tri mjeseca, koje počinje najkasnije </w:t>
            </w:r>
            <w:r w:rsidRPr="00A718B1">
              <w:rPr>
                <w:b/>
                <w:i/>
              </w:rPr>
              <w:t>dva mjeseca</w:t>
            </w:r>
            <w:r w:rsidRPr="00A718B1">
              <w:t xml:space="preserve"> nakon datuma na koji su uvjeti ispunjeni u skladu s objavom u tom pogledu u Službenom listu Europske unije u skladu s člankom 30.h stavkom 8. Direktive 2003/87/EZ.</w:t>
            </w:r>
          </w:p>
        </w:tc>
        <w:tc>
          <w:tcPr>
            <w:tcW w:w="4876" w:type="dxa"/>
            <w:tcBorders>
              <w:top w:val="nil"/>
              <w:left w:val="nil"/>
              <w:bottom w:val="nil"/>
              <w:right w:val="nil"/>
            </w:tcBorders>
            <w:hideMark/>
          </w:tcPr>
          <w:p w14:paraId="7B7522BD" w14:textId="21B2588F" w:rsidR="006B1CDC" w:rsidRPr="00A718B1" w:rsidRDefault="00B17DF1" w:rsidP="00B47754">
            <w:pPr>
              <w:pStyle w:val="Normal6a"/>
            </w:pPr>
            <w:r w:rsidRPr="00A718B1">
              <w:rPr>
                <w:b/>
                <w:i/>
              </w:rPr>
              <w:t>„</w:t>
            </w:r>
            <w:r w:rsidR="006B1CDC" w:rsidRPr="00A718B1">
              <w:t xml:space="preserve">Količine koje se oslobađaju iz rezerve ravnomjerno se raspodjeljuju tijekom razdoblja od tri mjeseca, koje počinje najkasnije </w:t>
            </w:r>
            <w:r w:rsidR="006B1CDC" w:rsidRPr="00A718B1">
              <w:rPr>
                <w:b/>
                <w:i/>
              </w:rPr>
              <w:t>30 dana</w:t>
            </w:r>
            <w:r w:rsidR="006B1CDC" w:rsidRPr="00A718B1">
              <w:t xml:space="preserve"> nakon datuma na koji su uvjeti ispunjeni u skladu s objavom u tom pogledu u Službenom listu Europske unije u skladu s člankom 30.h stavkom 8. Direktive 2003/87/EZ.</w:t>
            </w:r>
            <w:r w:rsidRPr="00A718B1">
              <w:rPr>
                <w:b/>
                <w:i/>
              </w:rPr>
              <w:t>”</w:t>
            </w:r>
            <w:r>
              <w:rPr>
                <w:b/>
                <w:i/>
              </w:rPr>
              <w:t>.</w:t>
            </w:r>
          </w:p>
        </w:tc>
      </w:tr>
    </w:tbl>
    <w:p w14:paraId="62D027A2" w14:textId="25FD22A2" w:rsidR="006B1CDC" w:rsidRPr="00A718B1" w:rsidRDefault="006B1CDC" w:rsidP="006B1CDC">
      <w:pPr>
        <w:pStyle w:val="AmCrossRef"/>
      </w:pPr>
      <w:r w:rsidRPr="00A718B1">
        <w:t>(32015D1814)</w:t>
      </w:r>
    </w:p>
    <w:p w14:paraId="668D5F8B" w14:textId="77777777" w:rsidR="006B1CDC" w:rsidRPr="00A718B1" w:rsidRDefault="006B1CDC" w:rsidP="006B1CDC"/>
    <w:p w14:paraId="589754B3" w14:textId="77777777" w:rsidR="006B1CDC" w:rsidRPr="00A718B1" w:rsidRDefault="006B1CDC" w:rsidP="006B1CDC">
      <w:pPr>
        <w:pStyle w:val="AmNumberTabs"/>
      </w:pPr>
      <w:r w:rsidRPr="00A718B1">
        <w:t>Amandman</w:t>
      </w:r>
      <w:r w:rsidRPr="00A718B1">
        <w:tab/>
      </w:r>
      <w:r w:rsidRPr="00A718B1">
        <w:tab/>
        <w:t>10</w:t>
      </w:r>
    </w:p>
    <w:p w14:paraId="409944DF" w14:textId="77777777" w:rsidR="006B1CDC" w:rsidRPr="00A718B1" w:rsidRDefault="006B1CDC" w:rsidP="006B1CDC">
      <w:pPr>
        <w:pStyle w:val="NormalBold"/>
      </w:pPr>
      <w:r w:rsidRPr="00A718B1">
        <w:t>Prijedlog odluke</w:t>
      </w:r>
    </w:p>
    <w:p w14:paraId="52F403CA" w14:textId="77777777" w:rsidR="006B1CDC" w:rsidRDefault="006B1CDC" w:rsidP="006B1CDC">
      <w:pPr>
        <w:pStyle w:val="NormalBold"/>
      </w:pPr>
      <w:r w:rsidRPr="00A718B1">
        <w:t>Članak 1.a (novi)</w:t>
      </w:r>
    </w:p>
    <w:p w14:paraId="365C8B57" w14:textId="77777777" w:rsidR="00B17DF1" w:rsidRPr="00B47754" w:rsidRDefault="00B17DF1" w:rsidP="00B17DF1">
      <w:pPr>
        <w:pStyle w:val="NormalBold"/>
        <w:rPr>
          <w:b w:val="0"/>
          <w:bCs/>
        </w:rPr>
      </w:pPr>
      <w:r>
        <w:rPr>
          <w:b w:val="0"/>
          <w:bCs/>
        </w:rPr>
        <w:t>Odluka (EU) 2015/1814</w:t>
      </w:r>
    </w:p>
    <w:p w14:paraId="5F17B822" w14:textId="4AD64EB5" w:rsidR="00B17DF1" w:rsidRPr="00D87882" w:rsidRDefault="00B17DF1" w:rsidP="00B17DF1">
      <w:pPr>
        <w:pStyle w:val="NormalBold"/>
        <w:rPr>
          <w:b w:val="0"/>
        </w:rPr>
      </w:pPr>
      <w:r w:rsidRPr="00D87882">
        <w:rPr>
          <w:b w:val="0"/>
          <w:bCs/>
        </w:rPr>
        <w:t>Članak </w:t>
      </w:r>
      <w:r>
        <w:rPr>
          <w:b w:val="0"/>
          <w:bCs/>
        </w:rPr>
        <w:t xml:space="preserve">3. </w:t>
      </w:r>
      <w:r w:rsidRPr="00B17DF1">
        <w:rPr>
          <w:b w:val="0"/>
          <w:bCs/>
        </w:rPr>
        <w:t>–</w:t>
      </w:r>
      <w:r w:rsidRPr="001F0380">
        <w:rPr>
          <w:b w:val="0"/>
        </w:rPr>
        <w:t xml:space="preserve"> </w:t>
      </w:r>
      <w:r w:rsidRPr="00B17DF1">
        <w:rPr>
          <w:b w:val="0"/>
        </w:rPr>
        <w:t xml:space="preserve">stavak </w:t>
      </w:r>
      <w:r>
        <w:rPr>
          <w:b w:val="0"/>
        </w:rPr>
        <w:t>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CDC" w:rsidRPr="00A718B1" w14:paraId="66EA4613" w14:textId="77777777" w:rsidTr="00B47754">
        <w:trPr>
          <w:trHeight w:val="240"/>
          <w:jc w:val="center"/>
        </w:trPr>
        <w:tc>
          <w:tcPr>
            <w:tcW w:w="9752" w:type="dxa"/>
            <w:gridSpan w:val="2"/>
            <w:tcBorders>
              <w:top w:val="nil"/>
              <w:left w:val="nil"/>
              <w:bottom w:val="nil"/>
              <w:right w:val="nil"/>
            </w:tcBorders>
          </w:tcPr>
          <w:p w14:paraId="764241FC" w14:textId="77777777" w:rsidR="006B1CDC" w:rsidRPr="00A718B1" w:rsidRDefault="006B1CDC" w:rsidP="00B47754"/>
        </w:tc>
      </w:tr>
      <w:tr w:rsidR="006B1CDC" w:rsidRPr="00A718B1" w14:paraId="0ABE010F" w14:textId="77777777" w:rsidTr="00B47754">
        <w:trPr>
          <w:trHeight w:val="240"/>
          <w:jc w:val="center"/>
        </w:trPr>
        <w:tc>
          <w:tcPr>
            <w:tcW w:w="4876" w:type="dxa"/>
            <w:tcBorders>
              <w:top w:val="nil"/>
              <w:left w:val="nil"/>
              <w:bottom w:val="nil"/>
              <w:right w:val="nil"/>
            </w:tcBorders>
            <w:hideMark/>
          </w:tcPr>
          <w:p w14:paraId="448F2589" w14:textId="77777777" w:rsidR="006B1CDC" w:rsidRPr="00A718B1" w:rsidRDefault="006B1CDC" w:rsidP="00B47754">
            <w:pPr>
              <w:pStyle w:val="AmColumnHeading"/>
            </w:pPr>
            <w:r w:rsidRPr="00A718B1">
              <w:t>Tekst koji je predložila Komisija</w:t>
            </w:r>
          </w:p>
        </w:tc>
        <w:tc>
          <w:tcPr>
            <w:tcW w:w="4876" w:type="dxa"/>
            <w:tcBorders>
              <w:top w:val="nil"/>
              <w:left w:val="nil"/>
              <w:bottom w:val="nil"/>
              <w:right w:val="nil"/>
            </w:tcBorders>
            <w:hideMark/>
          </w:tcPr>
          <w:p w14:paraId="429FE26B" w14:textId="77777777" w:rsidR="006B1CDC" w:rsidRPr="00A718B1" w:rsidRDefault="006B1CDC" w:rsidP="00B47754">
            <w:pPr>
              <w:pStyle w:val="AmColumnHeading"/>
            </w:pPr>
            <w:r w:rsidRPr="00A718B1">
              <w:t>Izmjena</w:t>
            </w:r>
          </w:p>
        </w:tc>
      </w:tr>
      <w:tr w:rsidR="006B1CDC" w:rsidRPr="00A718B1" w14:paraId="0A9D86EB" w14:textId="77777777" w:rsidTr="00B47754">
        <w:trPr>
          <w:jc w:val="center"/>
        </w:trPr>
        <w:tc>
          <w:tcPr>
            <w:tcW w:w="4876" w:type="dxa"/>
            <w:tcBorders>
              <w:top w:val="nil"/>
              <w:left w:val="nil"/>
              <w:bottom w:val="nil"/>
              <w:right w:val="nil"/>
            </w:tcBorders>
          </w:tcPr>
          <w:p w14:paraId="363B5C4A" w14:textId="77777777" w:rsidR="006B1CDC" w:rsidRPr="00A718B1" w:rsidRDefault="006B1CDC" w:rsidP="00B47754">
            <w:pPr>
              <w:pStyle w:val="Normal6a"/>
            </w:pPr>
          </w:p>
        </w:tc>
        <w:tc>
          <w:tcPr>
            <w:tcW w:w="4876" w:type="dxa"/>
            <w:tcBorders>
              <w:top w:val="nil"/>
              <w:left w:val="nil"/>
              <w:bottom w:val="nil"/>
              <w:right w:val="nil"/>
            </w:tcBorders>
            <w:hideMark/>
          </w:tcPr>
          <w:p w14:paraId="1E50536F" w14:textId="77777777" w:rsidR="006B1CDC" w:rsidRPr="00A718B1" w:rsidRDefault="006B1CDC" w:rsidP="00B47754">
            <w:pPr>
              <w:pStyle w:val="Normal6a"/>
              <w:jc w:val="center"/>
            </w:pPr>
            <w:r w:rsidRPr="00A718B1">
              <w:rPr>
                <w:b/>
                <w:i/>
              </w:rPr>
              <w:t>Članak 1.a</w:t>
            </w:r>
            <w:r w:rsidRPr="00A718B1">
              <w:tab/>
            </w:r>
          </w:p>
        </w:tc>
      </w:tr>
      <w:tr w:rsidR="006B1CDC" w:rsidRPr="00A718B1" w14:paraId="4AF61EFA" w14:textId="77777777" w:rsidTr="00B47754">
        <w:trPr>
          <w:jc w:val="center"/>
        </w:trPr>
        <w:tc>
          <w:tcPr>
            <w:tcW w:w="4876" w:type="dxa"/>
            <w:tcBorders>
              <w:top w:val="nil"/>
              <w:left w:val="nil"/>
              <w:bottom w:val="nil"/>
              <w:right w:val="nil"/>
            </w:tcBorders>
          </w:tcPr>
          <w:p w14:paraId="584DA4AF" w14:textId="77777777" w:rsidR="006B1CDC" w:rsidRPr="00A718B1" w:rsidRDefault="006B1CDC" w:rsidP="00B47754">
            <w:pPr>
              <w:pStyle w:val="Normal6a"/>
            </w:pPr>
          </w:p>
        </w:tc>
        <w:tc>
          <w:tcPr>
            <w:tcW w:w="4876" w:type="dxa"/>
            <w:tcBorders>
              <w:top w:val="nil"/>
              <w:left w:val="nil"/>
              <w:bottom w:val="nil"/>
              <w:right w:val="nil"/>
            </w:tcBorders>
            <w:hideMark/>
          </w:tcPr>
          <w:p w14:paraId="35B3BA12" w14:textId="64C3C018" w:rsidR="006B1CDC" w:rsidRPr="00A718B1" w:rsidRDefault="006B1CDC" w:rsidP="00B47754">
            <w:pPr>
              <w:pStyle w:val="Normal6a"/>
            </w:pPr>
            <w:r w:rsidRPr="00A718B1">
              <w:rPr>
                <w:b/>
                <w:i/>
              </w:rPr>
              <w:t xml:space="preserve">U članku 3. </w:t>
            </w:r>
            <w:r w:rsidR="00B17DF1">
              <w:rPr>
                <w:b/>
                <w:i/>
              </w:rPr>
              <w:t xml:space="preserve">Odluke (EU) 2015/1814 </w:t>
            </w:r>
            <w:r w:rsidRPr="00A718B1">
              <w:rPr>
                <w:b/>
                <w:i/>
              </w:rPr>
              <w:t>dodaje se sljedeći stavak:</w:t>
            </w:r>
          </w:p>
        </w:tc>
      </w:tr>
      <w:tr w:rsidR="006B1CDC" w:rsidRPr="00A718B1" w14:paraId="450D1D1E" w14:textId="77777777" w:rsidTr="00B47754">
        <w:trPr>
          <w:jc w:val="center"/>
        </w:trPr>
        <w:tc>
          <w:tcPr>
            <w:tcW w:w="4876" w:type="dxa"/>
            <w:tcBorders>
              <w:top w:val="nil"/>
              <w:left w:val="nil"/>
              <w:bottom w:val="nil"/>
              <w:right w:val="nil"/>
            </w:tcBorders>
          </w:tcPr>
          <w:p w14:paraId="5F0F3FE0" w14:textId="77777777" w:rsidR="006B1CDC" w:rsidRPr="00A718B1" w:rsidRDefault="006B1CDC" w:rsidP="00B47754">
            <w:pPr>
              <w:pStyle w:val="Normal6a"/>
            </w:pPr>
          </w:p>
        </w:tc>
        <w:tc>
          <w:tcPr>
            <w:tcW w:w="4876" w:type="dxa"/>
            <w:tcBorders>
              <w:top w:val="nil"/>
              <w:left w:val="nil"/>
              <w:bottom w:val="nil"/>
              <w:right w:val="nil"/>
            </w:tcBorders>
            <w:hideMark/>
          </w:tcPr>
          <w:p w14:paraId="67125328" w14:textId="61235A6A" w:rsidR="006B1CDC" w:rsidRPr="00A718B1" w:rsidRDefault="006B1CDC" w:rsidP="00B47754">
            <w:pPr>
              <w:pStyle w:val="Normal6a"/>
            </w:pPr>
            <w:r w:rsidRPr="00A718B1">
              <w:rPr>
                <w:b/>
                <w:i/>
              </w:rPr>
              <w:t xml:space="preserve">„U roku od četiri godine od početka rada sustava trgovanja emisijama za sektore zgrada, cestovnog prometa i dodatne sektore iz poglavlja IV.a Direktive 2003/87/EZ Komisija provodi procjenu učinka, uključujući procjenu distribucijskog učinka, i evaluaciju okolišnog, socijalnog i gospodarskog učinka preostalih emisijskih jedinica iz rezerve u skladu s člankom 1.a </w:t>
            </w:r>
            <w:r w:rsidR="00B17DF1">
              <w:rPr>
                <w:b/>
                <w:i/>
              </w:rPr>
              <w:t xml:space="preserve">ove Odluke </w:t>
            </w:r>
            <w:r w:rsidRPr="00A718B1">
              <w:rPr>
                <w:b/>
                <w:i/>
              </w:rPr>
              <w:t>te utvrđuje primjerenost djelomičnog ili potpunog poništenja tih emisijskih jedinica. Procjeni se, prema potrebi, prilaže zakonodavni prijedlog.”</w:t>
            </w:r>
            <w:r w:rsidR="00B17DF1">
              <w:rPr>
                <w:b/>
                <w:i/>
              </w:rPr>
              <w:t>.</w:t>
            </w:r>
          </w:p>
        </w:tc>
      </w:tr>
    </w:tbl>
    <w:p w14:paraId="10602F48" w14:textId="3B1B8060" w:rsidR="00E365E1" w:rsidRPr="00A718B1" w:rsidRDefault="00E365E1" w:rsidP="003634F1"/>
    <w:sectPr w:rsidR="00E365E1" w:rsidRPr="00A718B1" w:rsidSect="009E11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5382E" w14:textId="77777777" w:rsidR="003634F1" w:rsidRPr="009E1141" w:rsidRDefault="003634F1">
      <w:r w:rsidRPr="009E1141">
        <w:separator/>
      </w:r>
    </w:p>
  </w:endnote>
  <w:endnote w:type="continuationSeparator" w:id="0">
    <w:p w14:paraId="6379AF8B" w14:textId="77777777" w:rsidR="003634F1" w:rsidRPr="009E1141" w:rsidRDefault="003634F1">
      <w:r w:rsidRPr="009E11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E46FB" w14:textId="77777777" w:rsidR="00064002" w:rsidRPr="009E11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7197" w14:textId="77777777" w:rsidR="00064002" w:rsidRPr="009E11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1008" w14:textId="77777777" w:rsidR="00064002" w:rsidRPr="009E11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5246A" w14:textId="77777777" w:rsidR="003634F1" w:rsidRPr="009E1141" w:rsidRDefault="003634F1">
      <w:r w:rsidRPr="009E1141">
        <w:separator/>
      </w:r>
    </w:p>
  </w:footnote>
  <w:footnote w:type="continuationSeparator" w:id="0">
    <w:p w14:paraId="7CFB9F0F" w14:textId="77777777" w:rsidR="003634F1" w:rsidRPr="009E1141" w:rsidRDefault="003634F1">
      <w:r w:rsidRPr="009E1141">
        <w:continuationSeparator/>
      </w:r>
    </w:p>
  </w:footnote>
  <w:footnote w:id="1">
    <w:p w14:paraId="2DB809FE" w14:textId="25515459" w:rsidR="003F65D1" w:rsidRPr="003F65D1" w:rsidRDefault="003F65D1" w:rsidP="003F65D1">
      <w:pPr>
        <w:pStyle w:val="FootnoteText"/>
        <w:ind w:left="567" w:hanging="567"/>
        <w:rPr>
          <w:sz w:val="24"/>
          <w:szCs w:val="24"/>
          <w:lang w:val="hr-HR"/>
        </w:rPr>
      </w:pPr>
      <w:r w:rsidRPr="003F65D1">
        <w:rPr>
          <w:rStyle w:val="FootnoteReference"/>
          <w:sz w:val="24"/>
          <w:szCs w:val="24"/>
        </w:rPr>
        <w:footnoteRef/>
      </w:r>
      <w:r w:rsidRPr="003F65D1">
        <w:rPr>
          <w:sz w:val="24"/>
          <w:szCs w:val="24"/>
        </w:rPr>
        <w:t xml:space="preserve"> </w:t>
      </w:r>
      <w:r w:rsidRPr="003F65D1">
        <w:rPr>
          <w:sz w:val="24"/>
          <w:szCs w:val="24"/>
          <w:lang w:val="hr-HR"/>
        </w:rPr>
        <w:tab/>
      </w:r>
      <w:r w:rsidRPr="003F65D1">
        <w:rPr>
          <w:sz w:val="24"/>
          <w:szCs w:val="24"/>
          <w:lang w:val="hr-HR"/>
        </w:rPr>
        <w:t>Predmet se vraća nadležnom odboru na međuinstitucijske pregovore u skladu s člankom 60. stavkom 4., četvrtim podstavkom (A10-00</w:t>
      </w:r>
      <w:r>
        <w:rPr>
          <w:sz w:val="24"/>
          <w:szCs w:val="24"/>
          <w:lang w:val="hr-HR"/>
        </w:rPr>
        <w:t>98</w:t>
      </w:r>
      <w:r w:rsidRPr="003F65D1">
        <w:rPr>
          <w:sz w:val="24"/>
          <w:szCs w:val="24"/>
          <w:lang w:val="hr-HR"/>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944C" w14:textId="77777777" w:rsidR="00064002" w:rsidRPr="009E11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70DC" w14:textId="77777777" w:rsidR="00064002" w:rsidRPr="009E11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B4D9" w14:textId="77777777" w:rsidR="00064002" w:rsidRPr="009E11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808223">
    <w:abstractNumId w:val="9"/>
  </w:num>
  <w:num w:numId="2" w16cid:durableId="1550721755">
    <w:abstractNumId w:val="9"/>
  </w:num>
  <w:num w:numId="3" w16cid:durableId="43452581">
    <w:abstractNumId w:val="7"/>
  </w:num>
  <w:num w:numId="4" w16cid:durableId="1887595294">
    <w:abstractNumId w:val="7"/>
  </w:num>
  <w:num w:numId="5" w16cid:durableId="680936389">
    <w:abstractNumId w:val="6"/>
  </w:num>
  <w:num w:numId="6" w16cid:durableId="33191430">
    <w:abstractNumId w:val="6"/>
  </w:num>
  <w:num w:numId="7" w16cid:durableId="887685608">
    <w:abstractNumId w:val="5"/>
  </w:num>
  <w:num w:numId="8" w16cid:durableId="1911305494">
    <w:abstractNumId w:val="5"/>
  </w:num>
  <w:num w:numId="9" w16cid:durableId="1606423662">
    <w:abstractNumId w:val="4"/>
  </w:num>
  <w:num w:numId="10" w16cid:durableId="2014069896">
    <w:abstractNumId w:val="4"/>
  </w:num>
  <w:num w:numId="11" w16cid:durableId="1866824979">
    <w:abstractNumId w:val="8"/>
  </w:num>
  <w:num w:numId="12" w16cid:durableId="1250699033">
    <w:abstractNumId w:val="8"/>
  </w:num>
  <w:num w:numId="13" w16cid:durableId="1512909187">
    <w:abstractNumId w:val="3"/>
  </w:num>
  <w:num w:numId="14" w16cid:durableId="440147327">
    <w:abstractNumId w:val="3"/>
  </w:num>
  <w:num w:numId="15" w16cid:durableId="1509323591">
    <w:abstractNumId w:val="2"/>
  </w:num>
  <w:num w:numId="16" w16cid:durableId="773482095">
    <w:abstractNumId w:val="2"/>
  </w:num>
  <w:num w:numId="17" w16cid:durableId="26608789">
    <w:abstractNumId w:val="1"/>
  </w:num>
  <w:num w:numId="18" w16cid:durableId="176240304">
    <w:abstractNumId w:val="1"/>
  </w:num>
  <w:num w:numId="19" w16cid:durableId="1130981328">
    <w:abstractNumId w:val="0"/>
  </w:num>
  <w:num w:numId="20" w16cid:durableId="1298534230">
    <w:abstractNumId w:val="0"/>
  </w:num>
  <w:num w:numId="21" w16cid:durableId="1235698441">
    <w:abstractNumId w:val="9"/>
  </w:num>
  <w:num w:numId="22" w16cid:durableId="887037031">
    <w:abstractNumId w:val="7"/>
  </w:num>
  <w:num w:numId="23" w16cid:durableId="38017952">
    <w:abstractNumId w:val="6"/>
  </w:num>
  <w:num w:numId="24" w16cid:durableId="1118449628">
    <w:abstractNumId w:val="5"/>
  </w:num>
  <w:num w:numId="25" w16cid:durableId="1589579324">
    <w:abstractNumId w:val="4"/>
  </w:num>
  <w:num w:numId="26" w16cid:durableId="939877078">
    <w:abstractNumId w:val="8"/>
  </w:num>
  <w:num w:numId="27" w16cid:durableId="1768425128">
    <w:abstractNumId w:val="3"/>
  </w:num>
  <w:num w:numId="28" w16cid:durableId="1768039736">
    <w:abstractNumId w:val="2"/>
  </w:num>
  <w:num w:numId="29" w16cid:durableId="1870869259">
    <w:abstractNumId w:val="1"/>
  </w:num>
  <w:num w:numId="30" w16cid:durableId="1543328193">
    <w:abstractNumId w:val="0"/>
  </w:num>
  <w:num w:numId="31" w16cid:durableId="650867294">
    <w:abstractNumId w:val="9"/>
  </w:num>
  <w:num w:numId="32" w16cid:durableId="796728429">
    <w:abstractNumId w:val="7"/>
  </w:num>
  <w:num w:numId="33" w16cid:durableId="37169166">
    <w:abstractNumId w:val="6"/>
  </w:num>
  <w:num w:numId="34" w16cid:durableId="496308613">
    <w:abstractNumId w:val="5"/>
  </w:num>
  <w:num w:numId="35" w16cid:durableId="168909962">
    <w:abstractNumId w:val="4"/>
  </w:num>
  <w:num w:numId="36" w16cid:durableId="1421294471">
    <w:abstractNumId w:val="8"/>
  </w:num>
  <w:num w:numId="37" w16cid:durableId="1521090892">
    <w:abstractNumId w:val="3"/>
  </w:num>
  <w:num w:numId="38" w16cid:durableId="2006130783">
    <w:abstractNumId w:val="2"/>
  </w:num>
  <w:num w:numId="39" w16cid:durableId="2146652601">
    <w:abstractNumId w:val="1"/>
  </w:num>
  <w:num w:numId="40" w16cid:durableId="596596725">
    <w:abstractNumId w:val="0"/>
  </w:num>
  <w:num w:numId="41" w16cid:durableId="526873536">
    <w:abstractNumId w:val="10"/>
  </w:num>
  <w:num w:numId="42" w16cid:durableId="934093624">
    <w:abstractNumId w:val="10"/>
  </w:num>
  <w:num w:numId="43" w16cid:durableId="1631781146">
    <w:abstractNumId w:val="10"/>
  </w:num>
  <w:num w:numId="44" w16cid:durableId="1831364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HR"/>
    <w:docVar w:name="dvnumam" w:val="10"/>
    <w:docVar w:name="dvpe" w:val="781.492"/>
    <w:docVar w:name="dvrapporteur" w:val="Izvjestiteljica: "/>
    <w:docVar w:name="dvstar" w:val="***I"/>
    <w:docVar w:name="dvtitre" w:val="Zakonodavna rezolucija Europskog parlamenta od .... 2026. o Prijedlogu odluke Europskog parlamenta i Vijeća o izmjeni Odluke (EU) 2015/1814 u pogledu rezerve za stabilnost tržišta za sektore zgrada i cestovnog prometa te dodatne sektore(COM(2025)0738 – C10-0320/2025 – 2025/0380(COD))"/>
  </w:docVars>
  <w:rsids>
    <w:rsidRoot w:val="003634F1"/>
    <w:rsid w:val="00002272"/>
    <w:rsid w:val="00064002"/>
    <w:rsid w:val="000677B9"/>
    <w:rsid w:val="000831BA"/>
    <w:rsid w:val="000A42CC"/>
    <w:rsid w:val="000C3AC1"/>
    <w:rsid w:val="000E7DD9"/>
    <w:rsid w:val="0010095E"/>
    <w:rsid w:val="00125B37"/>
    <w:rsid w:val="00187494"/>
    <w:rsid w:val="001F0380"/>
    <w:rsid w:val="001F32AE"/>
    <w:rsid w:val="002767FF"/>
    <w:rsid w:val="002B18FE"/>
    <w:rsid w:val="002B5493"/>
    <w:rsid w:val="00343214"/>
    <w:rsid w:val="00361C00"/>
    <w:rsid w:val="003634F1"/>
    <w:rsid w:val="00395FA1"/>
    <w:rsid w:val="003E15D4"/>
    <w:rsid w:val="003F65D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1CD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141"/>
    <w:rsid w:val="00A1687D"/>
    <w:rsid w:val="00A43E52"/>
    <w:rsid w:val="00A4678D"/>
    <w:rsid w:val="00A718B1"/>
    <w:rsid w:val="00A778C7"/>
    <w:rsid w:val="00AB441E"/>
    <w:rsid w:val="00AB6293"/>
    <w:rsid w:val="00AE0928"/>
    <w:rsid w:val="00AF3B82"/>
    <w:rsid w:val="00B12E95"/>
    <w:rsid w:val="00B17DF1"/>
    <w:rsid w:val="00B22876"/>
    <w:rsid w:val="00B558F0"/>
    <w:rsid w:val="00BD48FE"/>
    <w:rsid w:val="00BD7BD8"/>
    <w:rsid w:val="00BE63AA"/>
    <w:rsid w:val="00BE6ADC"/>
    <w:rsid w:val="00C05BFE"/>
    <w:rsid w:val="00C23CD4"/>
    <w:rsid w:val="00C61C0C"/>
    <w:rsid w:val="00C941CB"/>
    <w:rsid w:val="00CC2357"/>
    <w:rsid w:val="00CF071A"/>
    <w:rsid w:val="00D058B8"/>
    <w:rsid w:val="00D56C11"/>
    <w:rsid w:val="00D834A0"/>
    <w:rsid w:val="00D872DF"/>
    <w:rsid w:val="00D87882"/>
    <w:rsid w:val="00D91E21"/>
    <w:rsid w:val="00DA7FCD"/>
    <w:rsid w:val="00E365E1"/>
    <w:rsid w:val="00E820A4"/>
    <w:rsid w:val="00EB006A"/>
    <w:rsid w:val="00EB4772"/>
    <w:rsid w:val="00EB73C2"/>
    <w:rsid w:val="00ED169E"/>
    <w:rsid w:val="00ED4235"/>
    <w:rsid w:val="00EF2CA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AD140"/>
  <w15:chartTrackingRefBased/>
  <w15:docId w15:val="{7BB7F124-998A-42EC-842F-EA48F672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6B1CDC"/>
    <w:pPr>
      <w:spacing w:after="120"/>
    </w:pPr>
  </w:style>
  <w:style w:type="paragraph" w:customStyle="1" w:styleId="NormalBold">
    <w:name w:val="NormalBold"/>
    <w:basedOn w:val="Normal"/>
    <w:link w:val="NormalBoldChar"/>
    <w:rsid w:val="006B1CDC"/>
    <w:rPr>
      <w:b/>
    </w:rPr>
  </w:style>
  <w:style w:type="paragraph" w:customStyle="1" w:styleId="NormalHanging12a">
    <w:name w:val="NormalHanging12a"/>
    <w:basedOn w:val="Normal"/>
    <w:rsid w:val="006B1CDC"/>
    <w:pPr>
      <w:spacing w:after="240"/>
      <w:ind w:left="567" w:hanging="567"/>
    </w:pPr>
  </w:style>
  <w:style w:type="paragraph" w:customStyle="1" w:styleId="AmCrossRef">
    <w:name w:val="AmCrossRef"/>
    <w:basedOn w:val="Normal"/>
    <w:rsid w:val="006B1CDC"/>
    <w:pPr>
      <w:spacing w:before="240" w:after="240"/>
      <w:jc w:val="center"/>
    </w:pPr>
    <w:rPr>
      <w:i/>
    </w:rPr>
  </w:style>
  <w:style w:type="paragraph" w:customStyle="1" w:styleId="AmColumnHeading">
    <w:name w:val="AmColumnHeading"/>
    <w:basedOn w:val="Normal"/>
    <w:rsid w:val="006B1CDC"/>
    <w:pPr>
      <w:spacing w:after="240"/>
      <w:jc w:val="center"/>
    </w:pPr>
    <w:rPr>
      <w:i/>
    </w:rPr>
  </w:style>
  <w:style w:type="paragraph" w:customStyle="1" w:styleId="AmNumberTabs">
    <w:name w:val="AmNumberTabs"/>
    <w:basedOn w:val="Normal"/>
    <w:rsid w:val="006B1C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6B1CDC"/>
    <w:pPr>
      <w:spacing w:before="480" w:after="240"/>
    </w:pPr>
  </w:style>
  <w:style w:type="character" w:customStyle="1" w:styleId="NormalBoldChar">
    <w:name w:val="NormalBold Char"/>
    <w:basedOn w:val="DefaultParagraphFont"/>
    <w:link w:val="NormalBold"/>
    <w:locked/>
    <w:rsid w:val="006B1CDC"/>
    <w:rPr>
      <w:b/>
      <w:sz w:val="24"/>
      <w:lang w:val="hr-HR"/>
    </w:rPr>
  </w:style>
  <w:style w:type="character" w:styleId="Hyperlink">
    <w:name w:val="Hyperlink"/>
    <w:basedOn w:val="DefaultParagraphFont"/>
    <w:rsid w:val="006B1CDC"/>
    <w:rPr>
      <w:color w:val="0563C1" w:themeColor="hyperlink"/>
      <w:u w:val="single"/>
    </w:rPr>
  </w:style>
  <w:style w:type="paragraph" w:styleId="Revision">
    <w:name w:val="Revision"/>
    <w:hidden/>
    <w:uiPriority w:val="99"/>
    <w:semiHidden/>
    <w:rsid w:val="001F0380"/>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1438</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4</cp:revision>
  <cp:lastPrinted>2004-11-19T15:42:00Z</cp:lastPrinted>
  <dcterms:created xsi:type="dcterms:W3CDTF">2026-04-24T13:40:00Z</dcterms:created>
  <dcterms:modified xsi:type="dcterms:W3CDTF">2026-04-29T14:07:00Z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A10-0098/2026</vt:lpwstr>
  </property>
  <property fmtid="{D5CDD505-2E9C-101B-9397-08002B2CF9AE}" pid="4" name="&lt;Type&gt;">
    <vt:lpwstr>RR</vt:lpwstr>
  </property>
</Properties>
</file>