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0199" w14:paraId="07528C70" w14:textId="77777777" w:rsidTr="0010095E">
        <w:trPr>
          <w:trHeight w:hRule="exact" w:val="1418"/>
        </w:trPr>
        <w:tc>
          <w:tcPr>
            <w:tcW w:w="6804" w:type="dxa"/>
            <w:shd w:val="clear" w:color="auto" w:fill="auto"/>
            <w:vAlign w:val="center"/>
          </w:tcPr>
          <w:p w14:paraId="0B06AF84" w14:textId="77777777" w:rsidR="00751A4A" w:rsidRPr="00830199" w:rsidRDefault="000E1E7E" w:rsidP="0010095E">
            <w:pPr>
              <w:pStyle w:val="EPName"/>
            </w:pPr>
            <w:r w:rsidRPr="00830199">
              <w:t>Parlamento europeo</w:t>
            </w:r>
          </w:p>
          <w:p w14:paraId="1A8806DD" w14:textId="77777777" w:rsidR="00751A4A" w:rsidRPr="00830199" w:rsidRDefault="005F1B17" w:rsidP="005F1B17">
            <w:pPr>
              <w:pStyle w:val="EPTerm"/>
              <w:rPr>
                <w:rStyle w:val="HideTWBExt"/>
                <w:noProof w:val="0"/>
                <w:vanish w:val="0"/>
                <w:color w:val="auto"/>
              </w:rPr>
            </w:pPr>
            <w:r w:rsidRPr="00830199">
              <w:t>2024</w:t>
            </w:r>
            <w:r w:rsidR="00817416" w:rsidRPr="00830199">
              <w:t>-202</w:t>
            </w:r>
            <w:r w:rsidRPr="00830199">
              <w:t>9</w:t>
            </w:r>
          </w:p>
        </w:tc>
        <w:tc>
          <w:tcPr>
            <w:tcW w:w="2268" w:type="dxa"/>
            <w:shd w:val="clear" w:color="auto" w:fill="auto"/>
          </w:tcPr>
          <w:p w14:paraId="6F7C1C32" w14:textId="77777777" w:rsidR="00751A4A" w:rsidRPr="00830199" w:rsidRDefault="00187494" w:rsidP="0010095E">
            <w:pPr>
              <w:pStyle w:val="EPLogo"/>
            </w:pPr>
            <w:r w:rsidRPr="00830199">
              <w:rPr>
                <w:noProof/>
                <w:lang w:eastAsia="ja-JP"/>
              </w:rPr>
              <w:drawing>
                <wp:inline distT="0" distB="0" distL="0" distR="0" wp14:anchorId="7B9013CD" wp14:editId="61548F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E24D87" w14:textId="77777777" w:rsidR="00D058B8" w:rsidRPr="00830199" w:rsidRDefault="00D058B8" w:rsidP="004C5D52">
      <w:pPr>
        <w:pStyle w:val="LineTop"/>
      </w:pPr>
    </w:p>
    <w:p w14:paraId="78C4E74A" w14:textId="77777777" w:rsidR="00680577" w:rsidRPr="00830199" w:rsidRDefault="000E1E7E" w:rsidP="00680577">
      <w:pPr>
        <w:pStyle w:val="EPBodyTA1"/>
      </w:pPr>
      <w:r w:rsidRPr="00830199">
        <w:t>TESTI APPROVATI</w:t>
      </w:r>
    </w:p>
    <w:p w14:paraId="34EA0B61" w14:textId="77777777" w:rsidR="00D058B8" w:rsidRPr="00830199" w:rsidRDefault="00D058B8" w:rsidP="00D058B8">
      <w:pPr>
        <w:pStyle w:val="LineBottom"/>
      </w:pPr>
    </w:p>
    <w:p w14:paraId="11C347B5" w14:textId="79FDA81E" w:rsidR="000E1E7E" w:rsidRPr="00830199" w:rsidRDefault="000E1E7E" w:rsidP="000E1E7E">
      <w:pPr>
        <w:pStyle w:val="ATHeading1"/>
      </w:pPr>
      <w:bookmarkStart w:id="0" w:name="TANumber"/>
      <w:r w:rsidRPr="00830199">
        <w:t>P10_TA(2026)0</w:t>
      </w:r>
      <w:bookmarkEnd w:id="0"/>
      <w:r w:rsidR="00830199" w:rsidRPr="00830199">
        <w:t>139</w:t>
      </w:r>
    </w:p>
    <w:p w14:paraId="0BA29877" w14:textId="77777777" w:rsidR="000E1E7E" w:rsidRPr="00830199" w:rsidRDefault="000E1E7E" w:rsidP="000E1E7E">
      <w:pPr>
        <w:pStyle w:val="ATHeading2"/>
      </w:pPr>
      <w:bookmarkStart w:id="1" w:name="title"/>
      <w:r w:rsidRPr="00830199">
        <w:t>Riserva stabilizzatrice del mercato per i settori dell'edilizia, del trasporto stradale e ulteriori settori</w:t>
      </w:r>
      <w:bookmarkEnd w:id="1"/>
    </w:p>
    <w:p w14:paraId="77BFB90F" w14:textId="77777777" w:rsidR="000E1E7E" w:rsidRPr="00830199" w:rsidRDefault="000E1E7E" w:rsidP="000E1E7E">
      <w:pPr>
        <w:rPr>
          <w:i/>
          <w:vanish/>
        </w:rPr>
      </w:pPr>
      <w:r w:rsidRPr="00830199">
        <w:rPr>
          <w:i/>
        </w:rPr>
        <w:fldChar w:fldCharType="begin"/>
      </w:r>
      <w:r w:rsidRPr="00830199">
        <w:rPr>
          <w:i/>
        </w:rPr>
        <w:instrText xml:space="preserve"> TC"(</w:instrText>
      </w:r>
      <w:bookmarkStart w:id="2" w:name="DocNumber"/>
      <w:r w:rsidRPr="00830199">
        <w:rPr>
          <w:i/>
        </w:rPr>
        <w:instrText>A10-0098/2026</w:instrText>
      </w:r>
      <w:bookmarkEnd w:id="2"/>
      <w:r w:rsidRPr="00830199">
        <w:rPr>
          <w:i/>
        </w:rPr>
        <w:instrText xml:space="preserve"> - Relatrice: </w:instrText>
      </w:r>
      <w:proofErr w:type="spellStart"/>
      <w:r w:rsidRPr="00830199">
        <w:rPr>
          <w:i/>
        </w:rPr>
        <w:instrText>Danuše</w:instrText>
      </w:r>
      <w:proofErr w:type="spellEnd"/>
      <w:r w:rsidRPr="00830199">
        <w:rPr>
          <w:i/>
        </w:rPr>
        <w:instrText xml:space="preserve"> </w:instrText>
      </w:r>
      <w:proofErr w:type="spellStart"/>
      <w:r w:rsidRPr="00830199">
        <w:rPr>
          <w:i/>
        </w:rPr>
        <w:instrText>Nerudová</w:instrText>
      </w:r>
      <w:proofErr w:type="spellEnd"/>
      <w:r w:rsidRPr="00830199">
        <w:rPr>
          <w:i/>
        </w:rPr>
        <w:instrText xml:space="preserve">)"\l3 \n&gt; \* MERGEFORMAT </w:instrText>
      </w:r>
      <w:r w:rsidRPr="00830199">
        <w:rPr>
          <w:i/>
        </w:rPr>
        <w:fldChar w:fldCharType="end"/>
      </w:r>
    </w:p>
    <w:p w14:paraId="112B7E9F" w14:textId="77777777" w:rsidR="000E1E7E" w:rsidRPr="00830199" w:rsidRDefault="000E1E7E" w:rsidP="000E1E7E">
      <w:pPr>
        <w:rPr>
          <w:vanish/>
        </w:rPr>
      </w:pPr>
      <w:bookmarkStart w:id="3" w:name="Commission"/>
      <w:r w:rsidRPr="00830199">
        <w:rPr>
          <w:vanish/>
        </w:rPr>
        <w:t>Commissione per l'ambiente, il clima e la sicurezza alimentare</w:t>
      </w:r>
      <w:bookmarkEnd w:id="3"/>
    </w:p>
    <w:p w14:paraId="4CA54B24" w14:textId="6BAB0278" w:rsidR="000E1E7E" w:rsidRPr="00830199" w:rsidRDefault="000E1E7E" w:rsidP="000E1E7E">
      <w:pPr>
        <w:rPr>
          <w:vanish/>
        </w:rPr>
      </w:pPr>
      <w:bookmarkStart w:id="4" w:name="PE"/>
      <w:r w:rsidRPr="00830199">
        <w:rPr>
          <w:vanish/>
        </w:rPr>
        <w:t>PE78</w:t>
      </w:r>
      <w:r w:rsidR="00364975" w:rsidRPr="00830199">
        <w:rPr>
          <w:vanish/>
        </w:rPr>
        <w:t>3</w:t>
      </w:r>
      <w:r w:rsidRPr="00830199">
        <w:rPr>
          <w:vanish/>
        </w:rPr>
        <w:t>.</w:t>
      </w:r>
      <w:r w:rsidR="00364975" w:rsidRPr="00830199">
        <w:rPr>
          <w:vanish/>
        </w:rPr>
        <w:t>023</w:t>
      </w:r>
      <w:bookmarkEnd w:id="4"/>
    </w:p>
    <w:p w14:paraId="7C407273" w14:textId="35C51DEC" w:rsidR="000E1E7E" w:rsidRPr="00830199" w:rsidRDefault="00830199" w:rsidP="000E1E7E">
      <w:pPr>
        <w:pStyle w:val="ATHeading3"/>
      </w:pPr>
      <w:bookmarkStart w:id="5" w:name="Sujet"/>
      <w:r w:rsidRPr="00830199">
        <w:t>Emendamenti</w:t>
      </w:r>
      <w:r w:rsidR="000E1E7E" w:rsidRPr="00830199">
        <w:t xml:space="preserve"> del Parlamento europeo</w:t>
      </w:r>
      <w:r w:rsidRPr="00830199">
        <w:t>, approvati</w:t>
      </w:r>
      <w:r w:rsidR="000E1E7E" w:rsidRPr="00830199">
        <w:t xml:space="preserve"> </w:t>
      </w:r>
      <w:r w:rsidRPr="00830199">
        <w:t>i</w:t>
      </w:r>
      <w:r w:rsidR="000E1E7E" w:rsidRPr="00830199">
        <w:t xml:space="preserve">l </w:t>
      </w:r>
      <w:r w:rsidR="00364975" w:rsidRPr="00830199">
        <w:t>29</w:t>
      </w:r>
      <w:r w:rsidR="000E1E7E" w:rsidRPr="00830199">
        <w:t xml:space="preserve"> aprile 2026</w:t>
      </w:r>
      <w:r w:rsidRPr="00830199">
        <w:t>,</w:t>
      </w:r>
      <w:r w:rsidR="000E1E7E" w:rsidRPr="00830199">
        <w:t xml:space="preserve"> </w:t>
      </w:r>
      <w:r w:rsidRPr="00830199">
        <w:t>a</w:t>
      </w:r>
      <w:r w:rsidR="000E1E7E" w:rsidRPr="00830199">
        <w:t>lla proposta di decisione del Parlamento europeo e del Consiglio che modifica la decisione (UE) 2015/1814 per quanto riguarda la riserva stabilizzatrice del mercato per i settori dell'edilizia e del trasporto stradale e ulteriori settori</w:t>
      </w:r>
      <w:bookmarkEnd w:id="5"/>
      <w:r w:rsidR="000E1E7E" w:rsidRPr="00830199">
        <w:t xml:space="preserve"> </w:t>
      </w:r>
      <w:bookmarkStart w:id="6" w:name="References"/>
      <w:r w:rsidR="000E1E7E" w:rsidRPr="00830199">
        <w:t>(COM(2025)0738 – C10-0320/2025 – 2025/0380(COD))</w:t>
      </w:r>
      <w:bookmarkEnd w:id="6"/>
      <w:r w:rsidRPr="00830199">
        <w:rPr>
          <w:rStyle w:val="FootnoteReference"/>
          <w:b w:val="0"/>
        </w:rPr>
        <w:footnoteReference w:id="1"/>
      </w:r>
    </w:p>
    <w:p w14:paraId="4F73A5D4" w14:textId="77777777" w:rsidR="00E96079" w:rsidRPr="00830199" w:rsidRDefault="00E96079" w:rsidP="00E96079">
      <w:pPr>
        <w:pStyle w:val="NormalBold"/>
      </w:pPr>
      <w:r w:rsidRPr="00830199">
        <w:t>(Procedura legislativa ordinaria: prima lettura)</w:t>
      </w:r>
    </w:p>
    <w:p w14:paraId="721C8FEE" w14:textId="098DF549" w:rsidR="00364975" w:rsidRPr="00830199" w:rsidRDefault="00364975" w:rsidP="00E96079">
      <w:pPr>
        <w:pStyle w:val="NormalHanging12a"/>
        <w:sectPr w:rsidR="00364975" w:rsidRPr="00830199" w:rsidSect="000034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4E1DEB" w14:textId="77777777" w:rsidR="00E96079" w:rsidRPr="00830199" w:rsidRDefault="00E96079" w:rsidP="00E96079">
      <w:pPr>
        <w:pStyle w:val="AmNumberTabs"/>
        <w:keepNext/>
      </w:pPr>
      <w:r w:rsidRPr="00830199">
        <w:lastRenderedPageBreak/>
        <w:t>Emendamento</w:t>
      </w:r>
      <w:r w:rsidRPr="00830199">
        <w:tab/>
      </w:r>
      <w:r w:rsidRPr="00830199">
        <w:tab/>
        <w:t>1</w:t>
      </w:r>
    </w:p>
    <w:p w14:paraId="05DE998A" w14:textId="77777777" w:rsidR="00E96079" w:rsidRPr="00830199" w:rsidRDefault="00E96079" w:rsidP="00E96079">
      <w:pPr>
        <w:pStyle w:val="NormalBold"/>
      </w:pPr>
      <w:r w:rsidRPr="00830199">
        <w:t>Proposta di decisione</w:t>
      </w:r>
    </w:p>
    <w:p w14:paraId="47B4FC74" w14:textId="77777777" w:rsidR="00E96079" w:rsidRPr="00830199" w:rsidRDefault="00E96079" w:rsidP="00E96079">
      <w:pPr>
        <w:pStyle w:val="NormalBold"/>
      </w:pPr>
      <w:r w:rsidRPr="00830199">
        <w:t>Considerando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6079" w:rsidRPr="00830199" w14:paraId="60D39CD4" w14:textId="77777777" w:rsidTr="001B3822">
        <w:trPr>
          <w:trHeight w:val="240"/>
          <w:jc w:val="center"/>
        </w:trPr>
        <w:tc>
          <w:tcPr>
            <w:tcW w:w="9752" w:type="dxa"/>
            <w:gridSpan w:val="2"/>
            <w:tcBorders>
              <w:top w:val="nil"/>
              <w:left w:val="nil"/>
              <w:bottom w:val="nil"/>
              <w:right w:val="nil"/>
            </w:tcBorders>
          </w:tcPr>
          <w:p w14:paraId="0545C643" w14:textId="77777777" w:rsidR="00E96079" w:rsidRPr="00830199" w:rsidRDefault="00E96079" w:rsidP="001B3822"/>
        </w:tc>
      </w:tr>
      <w:tr w:rsidR="00E96079" w:rsidRPr="00830199" w14:paraId="6E2F3620" w14:textId="77777777" w:rsidTr="001B3822">
        <w:trPr>
          <w:trHeight w:val="240"/>
          <w:jc w:val="center"/>
        </w:trPr>
        <w:tc>
          <w:tcPr>
            <w:tcW w:w="4876" w:type="dxa"/>
            <w:tcBorders>
              <w:top w:val="nil"/>
              <w:left w:val="nil"/>
              <w:bottom w:val="nil"/>
              <w:right w:val="nil"/>
            </w:tcBorders>
            <w:hideMark/>
          </w:tcPr>
          <w:p w14:paraId="31345C77" w14:textId="77777777" w:rsidR="00E96079" w:rsidRPr="00830199" w:rsidRDefault="00E96079" w:rsidP="001B3822">
            <w:pPr>
              <w:pStyle w:val="AmColumnHeading"/>
            </w:pPr>
            <w:r w:rsidRPr="00830199">
              <w:t>Testo della Commissione</w:t>
            </w:r>
          </w:p>
        </w:tc>
        <w:tc>
          <w:tcPr>
            <w:tcW w:w="4876" w:type="dxa"/>
            <w:tcBorders>
              <w:top w:val="nil"/>
              <w:left w:val="nil"/>
              <w:bottom w:val="nil"/>
              <w:right w:val="nil"/>
            </w:tcBorders>
            <w:hideMark/>
          </w:tcPr>
          <w:p w14:paraId="40CC06D7" w14:textId="77777777" w:rsidR="00E96079" w:rsidRPr="00830199" w:rsidRDefault="00E96079" w:rsidP="001B3822">
            <w:pPr>
              <w:pStyle w:val="AmColumnHeading"/>
            </w:pPr>
            <w:r w:rsidRPr="00830199">
              <w:t>Emendamento</w:t>
            </w:r>
          </w:p>
        </w:tc>
      </w:tr>
      <w:tr w:rsidR="00E96079" w:rsidRPr="00830199" w14:paraId="437A60A3" w14:textId="77777777" w:rsidTr="001B3822">
        <w:trPr>
          <w:jc w:val="center"/>
        </w:trPr>
        <w:tc>
          <w:tcPr>
            <w:tcW w:w="4876" w:type="dxa"/>
            <w:tcBorders>
              <w:top w:val="nil"/>
              <w:left w:val="nil"/>
              <w:bottom w:val="nil"/>
              <w:right w:val="nil"/>
            </w:tcBorders>
          </w:tcPr>
          <w:p w14:paraId="243C6988" w14:textId="77777777" w:rsidR="00E96079" w:rsidRPr="00830199" w:rsidRDefault="00E96079" w:rsidP="001B3822">
            <w:pPr>
              <w:pStyle w:val="Normal6a"/>
            </w:pPr>
          </w:p>
        </w:tc>
        <w:tc>
          <w:tcPr>
            <w:tcW w:w="4876" w:type="dxa"/>
            <w:tcBorders>
              <w:top w:val="nil"/>
              <w:left w:val="nil"/>
              <w:bottom w:val="nil"/>
              <w:right w:val="nil"/>
            </w:tcBorders>
            <w:hideMark/>
          </w:tcPr>
          <w:p w14:paraId="3CA93C48" w14:textId="77777777" w:rsidR="00E96079" w:rsidRPr="00830199" w:rsidRDefault="00E96079" w:rsidP="001B3822">
            <w:pPr>
              <w:pStyle w:val="Normal6a"/>
            </w:pPr>
            <w:r w:rsidRPr="00830199">
              <w:rPr>
                <w:b/>
                <w:i/>
              </w:rPr>
              <w:t>(1 bis)</w:t>
            </w:r>
            <w:r w:rsidRPr="00830199">
              <w:tab/>
            </w:r>
            <w:r w:rsidRPr="00830199">
              <w:rPr>
                <w:b/>
                <w:i/>
              </w:rPr>
              <w:t>Le conclusioni del Consiglio europeo del 12 dicembre 2019 approvano l'obiettivo di realizzare un'Unione a impatto climatico zero entro il 2050, in linea con gli obiettivi dell'accordo di Parigi.</w:t>
            </w:r>
          </w:p>
        </w:tc>
      </w:tr>
    </w:tbl>
    <w:p w14:paraId="48DA15D2" w14:textId="77777777" w:rsidR="00E96079" w:rsidRPr="00830199" w:rsidRDefault="00E96079" w:rsidP="00E96079"/>
    <w:p w14:paraId="7183F380" w14:textId="77777777" w:rsidR="00E96079" w:rsidRPr="00830199" w:rsidRDefault="00E96079" w:rsidP="00E96079">
      <w:pPr>
        <w:pStyle w:val="AmNumberTabs"/>
      </w:pPr>
      <w:r w:rsidRPr="00830199">
        <w:t>Emendamento</w:t>
      </w:r>
      <w:r w:rsidRPr="00830199">
        <w:tab/>
      </w:r>
      <w:r w:rsidRPr="00830199">
        <w:tab/>
        <w:t>2</w:t>
      </w:r>
    </w:p>
    <w:p w14:paraId="6E216A03" w14:textId="77777777" w:rsidR="00E96079" w:rsidRPr="00830199" w:rsidRDefault="00E96079" w:rsidP="00E96079">
      <w:pPr>
        <w:pStyle w:val="NormalBold"/>
      </w:pPr>
      <w:r w:rsidRPr="00830199">
        <w:t>Proposta di decisione</w:t>
      </w:r>
    </w:p>
    <w:p w14:paraId="12ECE051" w14:textId="77777777" w:rsidR="00E96079" w:rsidRPr="00830199" w:rsidRDefault="00E96079" w:rsidP="00E96079">
      <w:pPr>
        <w:pStyle w:val="NormalBold"/>
      </w:pPr>
      <w:r w:rsidRPr="00830199">
        <w:t>Considerando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6079" w:rsidRPr="00830199" w14:paraId="7FED923E" w14:textId="77777777" w:rsidTr="001B3822">
        <w:trPr>
          <w:trHeight w:val="240"/>
          <w:jc w:val="center"/>
        </w:trPr>
        <w:tc>
          <w:tcPr>
            <w:tcW w:w="9752" w:type="dxa"/>
            <w:gridSpan w:val="2"/>
            <w:tcBorders>
              <w:top w:val="nil"/>
              <w:left w:val="nil"/>
              <w:bottom w:val="nil"/>
              <w:right w:val="nil"/>
            </w:tcBorders>
          </w:tcPr>
          <w:p w14:paraId="24663435" w14:textId="77777777" w:rsidR="00E96079" w:rsidRPr="00830199" w:rsidRDefault="00E96079" w:rsidP="001B3822"/>
        </w:tc>
      </w:tr>
      <w:tr w:rsidR="00E96079" w:rsidRPr="00830199" w14:paraId="01A2A8E1" w14:textId="77777777" w:rsidTr="001B3822">
        <w:trPr>
          <w:trHeight w:val="240"/>
          <w:jc w:val="center"/>
        </w:trPr>
        <w:tc>
          <w:tcPr>
            <w:tcW w:w="4876" w:type="dxa"/>
            <w:tcBorders>
              <w:top w:val="nil"/>
              <w:left w:val="nil"/>
              <w:bottom w:val="nil"/>
              <w:right w:val="nil"/>
            </w:tcBorders>
            <w:hideMark/>
          </w:tcPr>
          <w:p w14:paraId="58104F2E" w14:textId="77777777" w:rsidR="00E96079" w:rsidRPr="00830199" w:rsidRDefault="00E96079" w:rsidP="001B3822">
            <w:pPr>
              <w:pStyle w:val="AmColumnHeading"/>
            </w:pPr>
            <w:r w:rsidRPr="00830199">
              <w:t>Testo della Commissione</w:t>
            </w:r>
          </w:p>
        </w:tc>
        <w:tc>
          <w:tcPr>
            <w:tcW w:w="4876" w:type="dxa"/>
            <w:tcBorders>
              <w:top w:val="nil"/>
              <w:left w:val="nil"/>
              <w:bottom w:val="nil"/>
              <w:right w:val="nil"/>
            </w:tcBorders>
            <w:hideMark/>
          </w:tcPr>
          <w:p w14:paraId="04BA7EE4" w14:textId="77777777" w:rsidR="00E96079" w:rsidRPr="00830199" w:rsidRDefault="00E96079" w:rsidP="001B3822">
            <w:pPr>
              <w:pStyle w:val="AmColumnHeading"/>
            </w:pPr>
            <w:r w:rsidRPr="00830199">
              <w:t>Emendamento</w:t>
            </w:r>
          </w:p>
        </w:tc>
      </w:tr>
      <w:tr w:rsidR="00E96079" w:rsidRPr="00830199" w14:paraId="4C3088F5" w14:textId="77777777" w:rsidTr="001B3822">
        <w:trPr>
          <w:jc w:val="center"/>
        </w:trPr>
        <w:tc>
          <w:tcPr>
            <w:tcW w:w="4876" w:type="dxa"/>
            <w:tcBorders>
              <w:top w:val="nil"/>
              <w:left w:val="nil"/>
              <w:bottom w:val="nil"/>
              <w:right w:val="nil"/>
            </w:tcBorders>
            <w:hideMark/>
          </w:tcPr>
          <w:p w14:paraId="58356E1E" w14:textId="77777777" w:rsidR="00E96079" w:rsidRPr="00830199" w:rsidRDefault="00E96079" w:rsidP="001B3822">
            <w:pPr>
              <w:pStyle w:val="Normal6a"/>
            </w:pPr>
            <w:r w:rsidRPr="00830199">
              <w:t>(3)</w:t>
            </w:r>
            <w:r w:rsidRPr="00830199">
              <w:tab/>
              <w:t>L'analisi effettuata sul funzionamento previsto della riserva, che tiene conto di informazioni recenti, indica che modifiche mirate di alcuni parametri contribuirebbero a migliorare la prevedibilità del mercato e la stabilità delle variazioni dei prezzi nei primi anni del nuovo sistema.</w:t>
            </w:r>
          </w:p>
        </w:tc>
        <w:tc>
          <w:tcPr>
            <w:tcW w:w="4876" w:type="dxa"/>
            <w:tcBorders>
              <w:top w:val="nil"/>
              <w:left w:val="nil"/>
              <w:bottom w:val="nil"/>
              <w:right w:val="nil"/>
            </w:tcBorders>
            <w:hideMark/>
          </w:tcPr>
          <w:p w14:paraId="14CE5F73" w14:textId="77777777" w:rsidR="00E96079" w:rsidRPr="00830199" w:rsidRDefault="00E96079" w:rsidP="001B3822">
            <w:pPr>
              <w:pStyle w:val="Normal6a"/>
            </w:pPr>
            <w:r w:rsidRPr="00830199">
              <w:t>(3)</w:t>
            </w:r>
            <w:r w:rsidRPr="00830199">
              <w:tab/>
              <w:t xml:space="preserve">L'analisi effettuata sul funzionamento previsto della riserva, che tiene conto di informazioni recenti, indica che modifiche mirate di alcuni parametri contribuirebbero a migliorare la prevedibilità del mercato e la stabilità delle variazioni dei prezzi nei primi anni del nuovo sistema. </w:t>
            </w:r>
            <w:r w:rsidRPr="00830199">
              <w:rPr>
                <w:b/>
                <w:i/>
              </w:rPr>
              <w:t>Affinché tali modifiche non ostacolino gli sforzi di decarbonizzazione dell'Unione, è necessaria un'ulteriore azione da parte degli Stati membri. Secondo la Banca centrale europea, gli investimenti verdi nell'Unione rimangono al di sotto dei livelli necessari per conseguire l'obiettivo di decarbonizzazione per il 2030. Gli Stati membri devono pertanto rimanere vigili contro il rischio di carenze di finanziamenti verdi.</w:t>
            </w:r>
          </w:p>
        </w:tc>
      </w:tr>
    </w:tbl>
    <w:p w14:paraId="7D02F219" w14:textId="77777777" w:rsidR="00E96079" w:rsidRPr="00830199" w:rsidRDefault="00E96079" w:rsidP="00E96079"/>
    <w:p w14:paraId="750E93C7" w14:textId="77777777" w:rsidR="00E96079" w:rsidRPr="00830199" w:rsidRDefault="00E96079" w:rsidP="00E96079">
      <w:pPr>
        <w:pStyle w:val="AmNumberTabs"/>
      </w:pPr>
      <w:r w:rsidRPr="00830199">
        <w:t>Emendamento</w:t>
      </w:r>
      <w:r w:rsidRPr="00830199">
        <w:tab/>
      </w:r>
      <w:r w:rsidRPr="00830199">
        <w:tab/>
        <w:t>3</w:t>
      </w:r>
    </w:p>
    <w:p w14:paraId="4B482C4F" w14:textId="77777777" w:rsidR="00E96079" w:rsidRPr="00830199" w:rsidRDefault="00E96079" w:rsidP="00E96079">
      <w:pPr>
        <w:pStyle w:val="NormalBold"/>
      </w:pPr>
      <w:r w:rsidRPr="00830199">
        <w:t>Proposta di decisione</w:t>
      </w:r>
    </w:p>
    <w:p w14:paraId="2AD8A5A5" w14:textId="77777777" w:rsidR="00E96079" w:rsidRPr="00830199" w:rsidRDefault="00E96079" w:rsidP="00E96079">
      <w:pPr>
        <w:pStyle w:val="NormalBold"/>
      </w:pPr>
      <w:r w:rsidRPr="00830199">
        <w:t>Considerando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6079" w:rsidRPr="00830199" w14:paraId="3CFDD949" w14:textId="77777777" w:rsidTr="001B3822">
        <w:trPr>
          <w:trHeight w:val="240"/>
          <w:jc w:val="center"/>
        </w:trPr>
        <w:tc>
          <w:tcPr>
            <w:tcW w:w="9752" w:type="dxa"/>
            <w:gridSpan w:val="2"/>
            <w:tcBorders>
              <w:top w:val="nil"/>
              <w:left w:val="nil"/>
              <w:bottom w:val="nil"/>
              <w:right w:val="nil"/>
            </w:tcBorders>
          </w:tcPr>
          <w:p w14:paraId="545787B4" w14:textId="77777777" w:rsidR="00E96079" w:rsidRPr="00830199" w:rsidRDefault="00E96079" w:rsidP="001B3822"/>
        </w:tc>
      </w:tr>
      <w:tr w:rsidR="00E96079" w:rsidRPr="00830199" w14:paraId="71B4FD71" w14:textId="77777777" w:rsidTr="001B3822">
        <w:trPr>
          <w:trHeight w:val="240"/>
          <w:jc w:val="center"/>
        </w:trPr>
        <w:tc>
          <w:tcPr>
            <w:tcW w:w="4876" w:type="dxa"/>
            <w:tcBorders>
              <w:top w:val="nil"/>
              <w:left w:val="nil"/>
              <w:bottom w:val="nil"/>
              <w:right w:val="nil"/>
            </w:tcBorders>
            <w:hideMark/>
          </w:tcPr>
          <w:p w14:paraId="718597A3" w14:textId="77777777" w:rsidR="00E96079" w:rsidRPr="00830199" w:rsidRDefault="00E96079" w:rsidP="001B3822">
            <w:pPr>
              <w:pStyle w:val="AmColumnHeading"/>
            </w:pPr>
            <w:r w:rsidRPr="00830199">
              <w:t>Testo della Commissione</w:t>
            </w:r>
          </w:p>
        </w:tc>
        <w:tc>
          <w:tcPr>
            <w:tcW w:w="4876" w:type="dxa"/>
            <w:tcBorders>
              <w:top w:val="nil"/>
              <w:left w:val="nil"/>
              <w:bottom w:val="nil"/>
              <w:right w:val="nil"/>
            </w:tcBorders>
            <w:hideMark/>
          </w:tcPr>
          <w:p w14:paraId="2D174B6A" w14:textId="77777777" w:rsidR="00E96079" w:rsidRPr="00830199" w:rsidRDefault="00E96079" w:rsidP="001B3822">
            <w:pPr>
              <w:pStyle w:val="AmColumnHeading"/>
            </w:pPr>
            <w:r w:rsidRPr="00830199">
              <w:t>Emendamento</w:t>
            </w:r>
          </w:p>
        </w:tc>
      </w:tr>
      <w:tr w:rsidR="00E96079" w:rsidRPr="00830199" w14:paraId="25CD31C2" w14:textId="77777777" w:rsidTr="001B3822">
        <w:trPr>
          <w:jc w:val="center"/>
        </w:trPr>
        <w:tc>
          <w:tcPr>
            <w:tcW w:w="4876" w:type="dxa"/>
            <w:tcBorders>
              <w:top w:val="nil"/>
              <w:left w:val="nil"/>
              <w:bottom w:val="nil"/>
              <w:right w:val="nil"/>
            </w:tcBorders>
          </w:tcPr>
          <w:p w14:paraId="476BD362" w14:textId="77777777" w:rsidR="00E96079" w:rsidRPr="00830199" w:rsidRDefault="00E96079" w:rsidP="001B3822">
            <w:pPr>
              <w:pStyle w:val="Normal6a"/>
            </w:pPr>
          </w:p>
        </w:tc>
        <w:tc>
          <w:tcPr>
            <w:tcW w:w="4876" w:type="dxa"/>
            <w:tcBorders>
              <w:top w:val="nil"/>
              <w:left w:val="nil"/>
              <w:bottom w:val="nil"/>
              <w:right w:val="nil"/>
            </w:tcBorders>
            <w:hideMark/>
          </w:tcPr>
          <w:p w14:paraId="0E992FD8" w14:textId="77777777" w:rsidR="00E96079" w:rsidRPr="00830199" w:rsidRDefault="00E96079" w:rsidP="001B3822">
            <w:pPr>
              <w:pStyle w:val="Normal6a"/>
            </w:pPr>
            <w:r w:rsidRPr="00830199">
              <w:rPr>
                <w:b/>
                <w:i/>
              </w:rPr>
              <w:t>(3 bis)</w:t>
            </w:r>
            <w:r w:rsidRPr="00830199">
              <w:tab/>
            </w:r>
            <w:r w:rsidRPr="00830199">
              <w:rPr>
                <w:b/>
                <w:i/>
              </w:rPr>
              <w:t xml:space="preserve">L'attuazione del sistema di scambio di quote di emissione per i settori dell'edilizia e del trasporto stradale e </w:t>
            </w:r>
            <w:r w:rsidRPr="00830199">
              <w:rPr>
                <w:b/>
                <w:i/>
              </w:rPr>
              <w:lastRenderedPageBreak/>
              <w:t>ulteriori settori deve essere accompagnata da misure complementari di decarbonizzazione, che costituiscono lo strumento più efficace per aiutare le famiglie a ridurre la dipendenza dai combustibili fossili e attenuare quindi l'impatto dell'ETS2 sui consumatori, dal momento che la domanda di combustibile nel settore dell'edilizia e dei trasporti rimane ampiamente anelastica sul breve periodo. Gli Stati membri sono tenuti a utilizzare le entrate generate dalla vendita all'asta dei diritti di emissione per le finalità di cui all'articolo 30 quinquies, paragrafo 6, della direttiva 2003/87/CE, dando priorità alle attività che possono contribuire ad affrontare gli aspetti sociali dello scambio di quote di emissioni nell'ambito dell'ETS2. Sarebbe pertanto opportuno che gli Stati membri utilizzassero le entrate generate dalla vendita all'asta delle quote svincolate dalla riserva per integrare i loro piani sociali per il clima. È altrettanto importante che la Commissione integri la sua analisi dei piani nazionali aggiornati definitivi per l'energia e il clima individuando, per ciascuno Stato membro, misure settoriali di decarbonizzazione e un migliore utilizzo dei proventi dell'ETS che potrebbero contribuire a ridurre la domanda di quote ETS2. È altresì importante rafforzare il meccanismo di anticipazione finanziaria della BEI e prendere in considerazione ulteriori misure per aumentare il bilancio del Fondo sociale per il clima, al fine di garantire che il sostegno finanziario sia fornito alle famiglie in modo tempestivo e a un livello che rifletta l'evoluzione dei prezzi dell'ETS2. È necessario che la Commissione valuti la possibilità di prorogare la durata del Fondo sociale per il clima.</w:t>
            </w:r>
          </w:p>
        </w:tc>
      </w:tr>
    </w:tbl>
    <w:p w14:paraId="4BFAB379" w14:textId="77777777" w:rsidR="00E96079" w:rsidRPr="00830199" w:rsidRDefault="00E96079" w:rsidP="00E96079"/>
    <w:p w14:paraId="6BC3F42F" w14:textId="77777777" w:rsidR="00E96079" w:rsidRPr="00830199" w:rsidRDefault="00E96079" w:rsidP="00E96079">
      <w:pPr>
        <w:pStyle w:val="AmNumberTabs"/>
      </w:pPr>
      <w:r w:rsidRPr="00830199">
        <w:t>Emendamento</w:t>
      </w:r>
      <w:r w:rsidRPr="00830199">
        <w:tab/>
      </w:r>
      <w:r w:rsidRPr="00830199">
        <w:tab/>
        <w:t>4</w:t>
      </w:r>
    </w:p>
    <w:p w14:paraId="577B9700" w14:textId="77777777" w:rsidR="00E96079" w:rsidRPr="00830199" w:rsidRDefault="00E96079" w:rsidP="00E96079">
      <w:pPr>
        <w:pStyle w:val="NormalBold"/>
      </w:pPr>
      <w:r w:rsidRPr="00830199">
        <w:t>Proposta di decisione</w:t>
      </w:r>
    </w:p>
    <w:p w14:paraId="3B5CB271" w14:textId="77777777" w:rsidR="00E96079" w:rsidRPr="00830199" w:rsidRDefault="00E96079" w:rsidP="00E96079">
      <w:pPr>
        <w:pStyle w:val="NormalBold"/>
      </w:pPr>
      <w:r w:rsidRPr="00830199">
        <w:t>Considerando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6079" w:rsidRPr="00830199" w14:paraId="39BD082F" w14:textId="77777777" w:rsidTr="001B3822">
        <w:trPr>
          <w:trHeight w:val="240"/>
          <w:jc w:val="center"/>
        </w:trPr>
        <w:tc>
          <w:tcPr>
            <w:tcW w:w="9752" w:type="dxa"/>
            <w:gridSpan w:val="2"/>
            <w:tcBorders>
              <w:top w:val="nil"/>
              <w:left w:val="nil"/>
              <w:bottom w:val="nil"/>
              <w:right w:val="nil"/>
            </w:tcBorders>
          </w:tcPr>
          <w:p w14:paraId="6E3671EA" w14:textId="77777777" w:rsidR="00E96079" w:rsidRPr="00830199" w:rsidRDefault="00E96079" w:rsidP="001B3822"/>
        </w:tc>
      </w:tr>
      <w:tr w:rsidR="00E96079" w:rsidRPr="00830199" w14:paraId="499D50EF" w14:textId="77777777" w:rsidTr="001B3822">
        <w:trPr>
          <w:trHeight w:val="240"/>
          <w:jc w:val="center"/>
        </w:trPr>
        <w:tc>
          <w:tcPr>
            <w:tcW w:w="4876" w:type="dxa"/>
            <w:tcBorders>
              <w:top w:val="nil"/>
              <w:left w:val="nil"/>
              <w:bottom w:val="nil"/>
              <w:right w:val="nil"/>
            </w:tcBorders>
            <w:hideMark/>
          </w:tcPr>
          <w:p w14:paraId="23EFB563" w14:textId="77777777" w:rsidR="00E96079" w:rsidRPr="00830199" w:rsidRDefault="00E96079" w:rsidP="001B3822">
            <w:pPr>
              <w:pStyle w:val="AmColumnHeading"/>
            </w:pPr>
            <w:r w:rsidRPr="00830199">
              <w:lastRenderedPageBreak/>
              <w:t>Testo della Commissione</w:t>
            </w:r>
          </w:p>
        </w:tc>
        <w:tc>
          <w:tcPr>
            <w:tcW w:w="4876" w:type="dxa"/>
            <w:tcBorders>
              <w:top w:val="nil"/>
              <w:left w:val="nil"/>
              <w:bottom w:val="nil"/>
              <w:right w:val="nil"/>
            </w:tcBorders>
            <w:hideMark/>
          </w:tcPr>
          <w:p w14:paraId="3E0E674A" w14:textId="77777777" w:rsidR="00E96079" w:rsidRPr="00830199" w:rsidRDefault="00E96079" w:rsidP="001B3822">
            <w:pPr>
              <w:pStyle w:val="AmColumnHeading"/>
            </w:pPr>
            <w:r w:rsidRPr="00830199">
              <w:t>Emendamento</w:t>
            </w:r>
          </w:p>
        </w:tc>
      </w:tr>
      <w:tr w:rsidR="00E96079" w:rsidRPr="00830199" w14:paraId="20767104" w14:textId="77777777" w:rsidTr="001B3822">
        <w:trPr>
          <w:jc w:val="center"/>
        </w:trPr>
        <w:tc>
          <w:tcPr>
            <w:tcW w:w="4876" w:type="dxa"/>
            <w:tcBorders>
              <w:top w:val="nil"/>
              <w:left w:val="nil"/>
              <w:bottom w:val="nil"/>
              <w:right w:val="nil"/>
            </w:tcBorders>
            <w:hideMark/>
          </w:tcPr>
          <w:p w14:paraId="3336AC81" w14:textId="77777777" w:rsidR="00E96079" w:rsidRPr="00830199" w:rsidRDefault="00E96079" w:rsidP="001B3822">
            <w:pPr>
              <w:pStyle w:val="Normal6a"/>
            </w:pPr>
            <w:r w:rsidRPr="00830199">
              <w:t>(4)</w:t>
            </w:r>
            <w:r w:rsidRPr="00830199">
              <w:tab/>
              <w:t xml:space="preserve">Al fine di aumentare la prevedibilità del mercato a lungo termine, le quote integrate nella riserva per i settori dell'edilizia e del trasporto stradale e ulteriori settori che non sono state svincolate dovrebbero rimanere valide </w:t>
            </w:r>
            <w:r w:rsidRPr="00830199">
              <w:rPr>
                <w:b/>
                <w:i/>
              </w:rPr>
              <w:t>dopo il</w:t>
            </w:r>
            <w:r w:rsidRPr="00830199">
              <w:t xml:space="preserve"> 31 dicembre </w:t>
            </w:r>
            <w:r w:rsidRPr="00830199">
              <w:rPr>
                <w:b/>
                <w:i/>
              </w:rPr>
              <w:t>2030</w:t>
            </w:r>
            <w:r w:rsidRPr="00830199">
              <w:t>.</w:t>
            </w:r>
          </w:p>
        </w:tc>
        <w:tc>
          <w:tcPr>
            <w:tcW w:w="4876" w:type="dxa"/>
            <w:tcBorders>
              <w:top w:val="nil"/>
              <w:left w:val="nil"/>
              <w:bottom w:val="nil"/>
              <w:right w:val="nil"/>
            </w:tcBorders>
            <w:hideMark/>
          </w:tcPr>
          <w:p w14:paraId="538495DF" w14:textId="77777777" w:rsidR="00E96079" w:rsidRPr="00830199" w:rsidRDefault="00E96079" w:rsidP="001B3822">
            <w:pPr>
              <w:pStyle w:val="Normal6a"/>
            </w:pPr>
            <w:r w:rsidRPr="00830199">
              <w:t>(4)</w:t>
            </w:r>
            <w:r w:rsidRPr="00830199">
              <w:tab/>
              <w:t xml:space="preserve">Al fine di aumentare la prevedibilità del mercato a lungo termine, le quote integrate nella riserva per i settori dell'edilizia e del trasporto stradale e ulteriori settori che non sono state svincolate dovrebbero rimanere valide </w:t>
            </w:r>
            <w:r w:rsidRPr="00830199">
              <w:rPr>
                <w:b/>
                <w:i/>
              </w:rPr>
              <w:t>fino al 31 dicembre 2033, e parzialmente fino al</w:t>
            </w:r>
            <w:r w:rsidRPr="00830199">
              <w:t xml:space="preserve"> 31 dicembre </w:t>
            </w:r>
            <w:r w:rsidRPr="00830199">
              <w:rPr>
                <w:b/>
                <w:i/>
              </w:rPr>
              <w:t>2035.</w:t>
            </w:r>
            <w:r w:rsidRPr="00830199">
              <w:t xml:space="preserve"> </w:t>
            </w:r>
            <w:r w:rsidRPr="00830199">
              <w:rPr>
                <w:b/>
                <w:i/>
              </w:rPr>
              <w:t>Entro quattro anni dall'avvio dell'ETS2, la Commissione dovrebbe effettuare una valutazione d'impatto, compresa una valutazione dell'impatto distributivo, e una valutazione dell'impatto ambientale, sociale ed economico delle quote rimanenti nella riserva.</w:t>
            </w:r>
          </w:p>
        </w:tc>
      </w:tr>
    </w:tbl>
    <w:p w14:paraId="7ADA7A98" w14:textId="77777777" w:rsidR="00E96079" w:rsidRPr="00830199" w:rsidRDefault="00E96079" w:rsidP="00E96079"/>
    <w:p w14:paraId="2A9E18C0" w14:textId="77777777" w:rsidR="00E96079" w:rsidRPr="00830199" w:rsidRDefault="00E96079" w:rsidP="00E96079">
      <w:pPr>
        <w:pStyle w:val="AmNumberTabs"/>
      </w:pPr>
      <w:r w:rsidRPr="00830199">
        <w:t>Emendamento</w:t>
      </w:r>
      <w:r w:rsidRPr="00830199">
        <w:tab/>
      </w:r>
      <w:r w:rsidRPr="00830199">
        <w:tab/>
        <w:t>5</w:t>
      </w:r>
    </w:p>
    <w:p w14:paraId="0E283739" w14:textId="77777777" w:rsidR="00E96079" w:rsidRPr="00830199" w:rsidRDefault="00E96079" w:rsidP="00E96079">
      <w:pPr>
        <w:pStyle w:val="NormalBold"/>
      </w:pPr>
      <w:r w:rsidRPr="00830199">
        <w:t>Proposta di decisione</w:t>
      </w:r>
    </w:p>
    <w:p w14:paraId="37DB4566" w14:textId="77777777" w:rsidR="00E96079" w:rsidRPr="00830199" w:rsidRDefault="00E96079" w:rsidP="00E96079">
      <w:pPr>
        <w:pStyle w:val="NormalBold"/>
      </w:pPr>
      <w:r w:rsidRPr="00830199">
        <w:t>Considerando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6079" w:rsidRPr="00830199" w14:paraId="561291F4" w14:textId="77777777" w:rsidTr="001B3822">
        <w:trPr>
          <w:trHeight w:val="240"/>
          <w:jc w:val="center"/>
        </w:trPr>
        <w:tc>
          <w:tcPr>
            <w:tcW w:w="9752" w:type="dxa"/>
            <w:gridSpan w:val="2"/>
            <w:tcBorders>
              <w:top w:val="nil"/>
              <w:left w:val="nil"/>
              <w:bottom w:val="nil"/>
              <w:right w:val="nil"/>
            </w:tcBorders>
          </w:tcPr>
          <w:p w14:paraId="72021CAA" w14:textId="77777777" w:rsidR="00E96079" w:rsidRPr="00830199" w:rsidRDefault="00E96079" w:rsidP="001B3822"/>
        </w:tc>
      </w:tr>
      <w:tr w:rsidR="00E96079" w:rsidRPr="00830199" w14:paraId="775D0343" w14:textId="77777777" w:rsidTr="001B3822">
        <w:trPr>
          <w:trHeight w:val="240"/>
          <w:jc w:val="center"/>
        </w:trPr>
        <w:tc>
          <w:tcPr>
            <w:tcW w:w="4876" w:type="dxa"/>
            <w:tcBorders>
              <w:top w:val="nil"/>
              <w:left w:val="nil"/>
              <w:bottom w:val="nil"/>
              <w:right w:val="nil"/>
            </w:tcBorders>
            <w:hideMark/>
          </w:tcPr>
          <w:p w14:paraId="21762292" w14:textId="77777777" w:rsidR="00E96079" w:rsidRPr="00830199" w:rsidRDefault="00E96079" w:rsidP="001B3822">
            <w:pPr>
              <w:pStyle w:val="AmColumnHeading"/>
            </w:pPr>
            <w:r w:rsidRPr="00830199">
              <w:t>Testo della Commissione</w:t>
            </w:r>
          </w:p>
        </w:tc>
        <w:tc>
          <w:tcPr>
            <w:tcW w:w="4876" w:type="dxa"/>
            <w:tcBorders>
              <w:top w:val="nil"/>
              <w:left w:val="nil"/>
              <w:bottom w:val="nil"/>
              <w:right w:val="nil"/>
            </w:tcBorders>
            <w:hideMark/>
          </w:tcPr>
          <w:p w14:paraId="4C190837" w14:textId="77777777" w:rsidR="00E96079" w:rsidRPr="00830199" w:rsidRDefault="00E96079" w:rsidP="001B3822">
            <w:pPr>
              <w:pStyle w:val="AmColumnHeading"/>
            </w:pPr>
            <w:r w:rsidRPr="00830199">
              <w:t>Emendamento</w:t>
            </w:r>
          </w:p>
        </w:tc>
      </w:tr>
      <w:tr w:rsidR="00E96079" w:rsidRPr="00830199" w14:paraId="1CA6B408" w14:textId="77777777" w:rsidTr="001B3822">
        <w:trPr>
          <w:jc w:val="center"/>
        </w:trPr>
        <w:tc>
          <w:tcPr>
            <w:tcW w:w="4876" w:type="dxa"/>
            <w:tcBorders>
              <w:top w:val="nil"/>
              <w:left w:val="nil"/>
              <w:bottom w:val="nil"/>
              <w:right w:val="nil"/>
            </w:tcBorders>
            <w:hideMark/>
          </w:tcPr>
          <w:p w14:paraId="46532703" w14:textId="77777777" w:rsidR="00E96079" w:rsidRPr="00830199" w:rsidRDefault="00E96079" w:rsidP="001B3822">
            <w:pPr>
              <w:pStyle w:val="Normal6a"/>
            </w:pPr>
            <w:r w:rsidRPr="00830199">
              <w:t>(6)</w:t>
            </w:r>
            <w:r w:rsidRPr="00830199">
              <w:tab/>
              <w:t xml:space="preserve">Al fine di migliorare ulteriormente la sua reattività alle fluttuazioni ingiustificate dei prezzi e aumentare la prevedibilità del mercato, il meccanismo per migliorare la stabilità dei prezzi nei primi tre anni del sistema di scambio di quote di emissione per i settori dell'edilizia e del trasporto stradale e ulteriori settori dovrebbe essere rafforzato con la dovuta cautela. Ciò potrebbe comportare lo svincolo di un volume più elevato di quote sul mercato. Se la misura </w:t>
            </w:r>
            <w:proofErr w:type="gramStart"/>
            <w:r w:rsidRPr="00830199">
              <w:t>è applicata</w:t>
            </w:r>
            <w:proofErr w:type="gramEnd"/>
            <w:r w:rsidRPr="00830199">
              <w:t xml:space="preserve"> due volte durante lo stesso periodo di 12 mesi, l'ulteriore svincolo dovrebbe avvenire due volte.</w:t>
            </w:r>
          </w:p>
        </w:tc>
        <w:tc>
          <w:tcPr>
            <w:tcW w:w="4876" w:type="dxa"/>
            <w:tcBorders>
              <w:top w:val="nil"/>
              <w:left w:val="nil"/>
              <w:bottom w:val="nil"/>
              <w:right w:val="nil"/>
            </w:tcBorders>
            <w:hideMark/>
          </w:tcPr>
          <w:p w14:paraId="7F0C79B9" w14:textId="77777777" w:rsidR="00E96079" w:rsidRPr="00830199" w:rsidRDefault="00E96079" w:rsidP="001B3822">
            <w:pPr>
              <w:pStyle w:val="Normal6a"/>
            </w:pPr>
            <w:r w:rsidRPr="00830199">
              <w:t>(6)</w:t>
            </w:r>
            <w:r w:rsidRPr="00830199">
              <w:tab/>
              <w:t xml:space="preserve">Al fine di migliorare ulteriormente la sua reattività alle fluttuazioni ingiustificate dei prezzi e aumentare la prevedibilità del mercato, il meccanismo per migliorare la stabilità dei prezzi nei primi tre anni del sistema di scambio di quote di emissione per i settori dell'edilizia e del trasporto stradale e ulteriori settori dovrebbe essere rafforzato con la dovuta cautela. Ciò potrebbe comportare lo svincolo </w:t>
            </w:r>
            <w:r w:rsidRPr="00830199">
              <w:rPr>
                <w:b/>
                <w:i/>
              </w:rPr>
              <w:t>senza ritardi</w:t>
            </w:r>
            <w:r w:rsidRPr="00830199">
              <w:t xml:space="preserve"> di un volume più elevato di quote sul mercato. Se la misura </w:t>
            </w:r>
            <w:proofErr w:type="gramStart"/>
            <w:r w:rsidRPr="00830199">
              <w:t>è applicata</w:t>
            </w:r>
            <w:proofErr w:type="gramEnd"/>
            <w:r w:rsidRPr="00830199">
              <w:t xml:space="preserve"> due volte durante lo stesso periodo di 12 mesi, l'ulteriore svincolo dovrebbe avvenire due volte.</w:t>
            </w:r>
          </w:p>
        </w:tc>
      </w:tr>
    </w:tbl>
    <w:p w14:paraId="42555A44" w14:textId="77777777" w:rsidR="00E96079" w:rsidRPr="00830199" w:rsidRDefault="00E96079" w:rsidP="00E96079"/>
    <w:p w14:paraId="5F74C7DB" w14:textId="77777777" w:rsidR="00E96079" w:rsidRPr="00830199" w:rsidRDefault="00E96079" w:rsidP="00E96079">
      <w:pPr>
        <w:pStyle w:val="AmNumberTabs"/>
      </w:pPr>
      <w:r w:rsidRPr="00830199">
        <w:t>Emendamento</w:t>
      </w:r>
      <w:r w:rsidRPr="00830199">
        <w:tab/>
      </w:r>
      <w:r w:rsidRPr="00830199">
        <w:tab/>
        <w:t>6</w:t>
      </w:r>
    </w:p>
    <w:p w14:paraId="1E23FEA4" w14:textId="77777777" w:rsidR="00E96079" w:rsidRPr="00830199" w:rsidRDefault="00E96079" w:rsidP="00E96079">
      <w:pPr>
        <w:pStyle w:val="NormalBold"/>
      </w:pPr>
      <w:r w:rsidRPr="00830199">
        <w:t>Proposta di decisione</w:t>
      </w:r>
    </w:p>
    <w:p w14:paraId="65ECAA80" w14:textId="77777777" w:rsidR="00E96079" w:rsidRPr="00830199" w:rsidRDefault="00E96079" w:rsidP="00E96079">
      <w:pPr>
        <w:pStyle w:val="NormalBold"/>
      </w:pPr>
      <w:r w:rsidRPr="00830199">
        <w:t>Considerando 6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6079" w:rsidRPr="00830199" w14:paraId="4E3D31E5" w14:textId="77777777" w:rsidTr="001B3822">
        <w:trPr>
          <w:trHeight w:val="240"/>
          <w:jc w:val="center"/>
        </w:trPr>
        <w:tc>
          <w:tcPr>
            <w:tcW w:w="9752" w:type="dxa"/>
            <w:gridSpan w:val="2"/>
            <w:tcBorders>
              <w:top w:val="nil"/>
              <w:left w:val="nil"/>
              <w:bottom w:val="nil"/>
              <w:right w:val="nil"/>
            </w:tcBorders>
          </w:tcPr>
          <w:p w14:paraId="4355D0EF" w14:textId="77777777" w:rsidR="00E96079" w:rsidRPr="00830199" w:rsidRDefault="00E96079" w:rsidP="001B3822"/>
        </w:tc>
      </w:tr>
      <w:tr w:rsidR="00E96079" w:rsidRPr="00830199" w14:paraId="03718933" w14:textId="77777777" w:rsidTr="001B3822">
        <w:trPr>
          <w:trHeight w:val="240"/>
          <w:jc w:val="center"/>
        </w:trPr>
        <w:tc>
          <w:tcPr>
            <w:tcW w:w="4876" w:type="dxa"/>
            <w:tcBorders>
              <w:top w:val="nil"/>
              <w:left w:val="nil"/>
              <w:bottom w:val="nil"/>
              <w:right w:val="nil"/>
            </w:tcBorders>
            <w:hideMark/>
          </w:tcPr>
          <w:p w14:paraId="1CB00C90" w14:textId="77777777" w:rsidR="00E96079" w:rsidRPr="00830199" w:rsidRDefault="00E96079" w:rsidP="001B3822">
            <w:pPr>
              <w:pStyle w:val="AmColumnHeading"/>
            </w:pPr>
            <w:r w:rsidRPr="00830199">
              <w:t>Testo della Commissione</w:t>
            </w:r>
          </w:p>
        </w:tc>
        <w:tc>
          <w:tcPr>
            <w:tcW w:w="4876" w:type="dxa"/>
            <w:tcBorders>
              <w:top w:val="nil"/>
              <w:left w:val="nil"/>
              <w:bottom w:val="nil"/>
              <w:right w:val="nil"/>
            </w:tcBorders>
            <w:hideMark/>
          </w:tcPr>
          <w:p w14:paraId="28DEB925" w14:textId="77777777" w:rsidR="00E96079" w:rsidRPr="00830199" w:rsidRDefault="00E96079" w:rsidP="001B3822">
            <w:pPr>
              <w:pStyle w:val="AmColumnHeading"/>
            </w:pPr>
            <w:r w:rsidRPr="00830199">
              <w:t>Emendamento</w:t>
            </w:r>
          </w:p>
        </w:tc>
      </w:tr>
      <w:tr w:rsidR="00E96079" w:rsidRPr="00830199" w14:paraId="414E10C7" w14:textId="77777777" w:rsidTr="001B3822">
        <w:trPr>
          <w:jc w:val="center"/>
        </w:trPr>
        <w:tc>
          <w:tcPr>
            <w:tcW w:w="4876" w:type="dxa"/>
            <w:tcBorders>
              <w:top w:val="nil"/>
              <w:left w:val="nil"/>
              <w:bottom w:val="nil"/>
              <w:right w:val="nil"/>
            </w:tcBorders>
          </w:tcPr>
          <w:p w14:paraId="35A92B51" w14:textId="77777777" w:rsidR="00E96079" w:rsidRPr="00830199" w:rsidRDefault="00E96079" w:rsidP="001B3822">
            <w:pPr>
              <w:pStyle w:val="Normal6a"/>
            </w:pPr>
          </w:p>
        </w:tc>
        <w:tc>
          <w:tcPr>
            <w:tcW w:w="4876" w:type="dxa"/>
            <w:tcBorders>
              <w:top w:val="nil"/>
              <w:left w:val="nil"/>
              <w:bottom w:val="nil"/>
              <w:right w:val="nil"/>
            </w:tcBorders>
            <w:hideMark/>
          </w:tcPr>
          <w:p w14:paraId="35EF8856" w14:textId="00B7DBB4" w:rsidR="00E96079" w:rsidRPr="00830199" w:rsidRDefault="00E96079" w:rsidP="001B3822">
            <w:pPr>
              <w:pStyle w:val="Normal6a"/>
            </w:pPr>
            <w:r w:rsidRPr="00830199">
              <w:rPr>
                <w:b/>
                <w:i/>
              </w:rPr>
              <w:t>(6 bis)</w:t>
            </w:r>
            <w:r w:rsidRPr="00830199">
              <w:tab/>
            </w:r>
            <w:r w:rsidRPr="00830199">
              <w:rPr>
                <w:b/>
                <w:i/>
              </w:rPr>
              <w:t xml:space="preserve">Livelli eccessivi dei prezzi delle quote nell'ambito del sistema di scambio </w:t>
            </w:r>
            <w:r w:rsidRPr="00830199">
              <w:rPr>
                <w:b/>
                <w:i/>
              </w:rPr>
              <w:lastRenderedPageBreak/>
              <w:t>delle quote di emissione per i settori dell'edilizia e del trasporto stradale e ulteriori settori potrebbero comunque avere un impatto sproporzionato sulle famiglie vulnerabili, mentre fluttuazioni eccessive dei prezzi potrebbero non verificarsi solo due volte all'anno. Nel contesto del riesame della direttiva 2003/87/CE del Parlamento europeo e del Consiglio, è essenziale prendere in considerazione ulteriori misure di salvaguardia sociale e può essere opportuno che la Commissione prenda in esame strumenti di riduzione dei prezzi più incisivi per garantire la stabilità dei prezzi a lungo termine. A tale riguardo, la Commissione potrebbe prendere in considerazione un elenco di opzioni quali il rafforzamento e la proroga oltre il 31 dicembre 2029 del meccanismo contro l'aumento eccessivo dei prezzi pari a 45 EUR fissato ai prezzi del 2026 e l'adeguamento di conseguenza della riserva stabilizzatrice del mercato, compresi la frequenza e il volume degli svincoli di quote e il volume della riserva, se necessario, valutando la fattibilità di consentire agli Stati membri di non applicare temporaneamente il sistema agli edifici residenziali a titolo di deroga, a condizione che dimostrino di poter conseguire gli obiettivi di condivisione degli sforzi attuando altre misure e a condizione che abbiano recepito la direttiva (UE) 2024/1275 del Parlamento europeo e del Consiglio nel diritto nazionale, garantendo la possibilità di utilizzare i proventi dello scambio di quote di emissioni per il sostegno diretto, ad esempio i dividendi climatici, senza dover dimostrare un impatto ambientale positivo, o introducendo altre misure per ridurre al minimo i costi trasferiti alle famiglie vulnerabili. Entro il 1° marzo 2027</w:t>
            </w:r>
            <w:r w:rsidR="00622E14" w:rsidRPr="00830199">
              <w:rPr>
                <w:b/>
                <w:i/>
              </w:rPr>
              <w:t>,</w:t>
            </w:r>
            <w:r w:rsidRPr="00830199">
              <w:rPr>
                <w:b/>
                <w:i/>
              </w:rPr>
              <w:t xml:space="preserve"> tali opzioni devono essere debitamente valutate dalla Commissione per quanto riguarda il loro impatto sociale e ambientale, garantendo nel contempo che non vadano a scapito del conseguimento degli obiettivi climatici </w:t>
            </w:r>
            <w:r w:rsidRPr="00830199">
              <w:rPr>
                <w:b/>
                <w:i/>
              </w:rPr>
              <w:lastRenderedPageBreak/>
              <w:t>dell'Unione di cui al regolamento (UE) 2021/1119 del Parlamento europeo e del Consiglio.</w:t>
            </w:r>
          </w:p>
        </w:tc>
      </w:tr>
    </w:tbl>
    <w:p w14:paraId="6AE66B59" w14:textId="77777777" w:rsidR="00E96079" w:rsidRPr="00830199" w:rsidRDefault="00E96079" w:rsidP="00E96079"/>
    <w:p w14:paraId="24B112FF" w14:textId="77777777" w:rsidR="00E96079" w:rsidRPr="00830199" w:rsidRDefault="00E96079" w:rsidP="00E96079">
      <w:pPr>
        <w:pStyle w:val="AmNumberTabs"/>
      </w:pPr>
      <w:r w:rsidRPr="00830199">
        <w:t>Emendamento</w:t>
      </w:r>
      <w:r w:rsidRPr="00830199">
        <w:tab/>
      </w:r>
      <w:r w:rsidRPr="00830199">
        <w:tab/>
        <w:t>7</w:t>
      </w:r>
    </w:p>
    <w:p w14:paraId="38327636" w14:textId="77777777" w:rsidR="00E96079" w:rsidRPr="00830199" w:rsidRDefault="00E96079" w:rsidP="00E96079">
      <w:pPr>
        <w:pStyle w:val="NormalBold"/>
      </w:pPr>
      <w:r w:rsidRPr="00830199">
        <w:t>Proposta di decisione</w:t>
      </w:r>
    </w:p>
    <w:p w14:paraId="02EDCA97" w14:textId="77777777" w:rsidR="00E96079" w:rsidRPr="00830199" w:rsidRDefault="00E96079" w:rsidP="00E96079">
      <w:pPr>
        <w:pStyle w:val="NormalBold"/>
      </w:pPr>
      <w:r w:rsidRPr="00830199">
        <w:t>Considerando 6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6079" w:rsidRPr="00830199" w14:paraId="461FEDD9" w14:textId="77777777" w:rsidTr="001B3822">
        <w:trPr>
          <w:trHeight w:val="240"/>
          <w:jc w:val="center"/>
        </w:trPr>
        <w:tc>
          <w:tcPr>
            <w:tcW w:w="9752" w:type="dxa"/>
            <w:gridSpan w:val="2"/>
            <w:tcBorders>
              <w:top w:val="nil"/>
              <w:left w:val="nil"/>
              <w:bottom w:val="nil"/>
              <w:right w:val="nil"/>
            </w:tcBorders>
          </w:tcPr>
          <w:p w14:paraId="7781B594" w14:textId="77777777" w:rsidR="00E96079" w:rsidRPr="00830199" w:rsidRDefault="00E96079" w:rsidP="001B3822"/>
        </w:tc>
      </w:tr>
      <w:tr w:rsidR="00E96079" w:rsidRPr="00830199" w14:paraId="392559BA" w14:textId="77777777" w:rsidTr="001B3822">
        <w:trPr>
          <w:trHeight w:val="240"/>
          <w:jc w:val="center"/>
        </w:trPr>
        <w:tc>
          <w:tcPr>
            <w:tcW w:w="4876" w:type="dxa"/>
            <w:tcBorders>
              <w:top w:val="nil"/>
              <w:left w:val="nil"/>
              <w:bottom w:val="nil"/>
              <w:right w:val="nil"/>
            </w:tcBorders>
            <w:hideMark/>
          </w:tcPr>
          <w:p w14:paraId="51F46AC8" w14:textId="77777777" w:rsidR="00E96079" w:rsidRPr="00830199" w:rsidRDefault="00E96079" w:rsidP="001B3822">
            <w:pPr>
              <w:pStyle w:val="AmColumnHeading"/>
            </w:pPr>
            <w:r w:rsidRPr="00830199">
              <w:t>Testo della Commissione</w:t>
            </w:r>
          </w:p>
        </w:tc>
        <w:tc>
          <w:tcPr>
            <w:tcW w:w="4876" w:type="dxa"/>
            <w:tcBorders>
              <w:top w:val="nil"/>
              <w:left w:val="nil"/>
              <w:bottom w:val="nil"/>
              <w:right w:val="nil"/>
            </w:tcBorders>
            <w:hideMark/>
          </w:tcPr>
          <w:p w14:paraId="28B16967" w14:textId="77777777" w:rsidR="00E96079" w:rsidRPr="00830199" w:rsidRDefault="00E96079" w:rsidP="001B3822">
            <w:pPr>
              <w:pStyle w:val="AmColumnHeading"/>
            </w:pPr>
            <w:r w:rsidRPr="00830199">
              <w:t>Emendamento</w:t>
            </w:r>
          </w:p>
        </w:tc>
      </w:tr>
      <w:tr w:rsidR="00E96079" w:rsidRPr="00830199" w14:paraId="22C41B55" w14:textId="77777777" w:rsidTr="001B3822">
        <w:trPr>
          <w:jc w:val="center"/>
        </w:trPr>
        <w:tc>
          <w:tcPr>
            <w:tcW w:w="4876" w:type="dxa"/>
            <w:tcBorders>
              <w:top w:val="nil"/>
              <w:left w:val="nil"/>
              <w:bottom w:val="nil"/>
              <w:right w:val="nil"/>
            </w:tcBorders>
          </w:tcPr>
          <w:p w14:paraId="68F00F15" w14:textId="77777777" w:rsidR="00E96079" w:rsidRPr="00830199" w:rsidRDefault="00E96079" w:rsidP="001B3822">
            <w:pPr>
              <w:pStyle w:val="Normal6a"/>
            </w:pPr>
          </w:p>
        </w:tc>
        <w:tc>
          <w:tcPr>
            <w:tcW w:w="4876" w:type="dxa"/>
            <w:tcBorders>
              <w:top w:val="nil"/>
              <w:left w:val="nil"/>
              <w:bottom w:val="nil"/>
              <w:right w:val="nil"/>
            </w:tcBorders>
            <w:hideMark/>
          </w:tcPr>
          <w:p w14:paraId="5C7F82A7" w14:textId="780F5A47" w:rsidR="00E96079" w:rsidRPr="00830199" w:rsidRDefault="00E96079" w:rsidP="001B3822">
            <w:pPr>
              <w:pStyle w:val="Normal6a"/>
            </w:pPr>
            <w:r w:rsidRPr="00830199">
              <w:rPr>
                <w:b/>
                <w:i/>
              </w:rPr>
              <w:t>(6 ter)</w:t>
            </w:r>
            <w:r w:rsidRPr="00830199">
              <w:tab/>
            </w:r>
            <w:r w:rsidRPr="00830199">
              <w:rPr>
                <w:b/>
                <w:i/>
              </w:rPr>
              <w:t xml:space="preserve">A seguito della revisione della riserva stabilizzatrice del mercato prevista dalla presente decisione modificativa, sarebbe opportuno che la Commissione effettuasse una valutazione d'impatto del sistema di scambio di quote di emissione per i settori dell'edilizia e del trasporto stradale e ulteriori settori al fine di valutarne l'impatto sociale e l'impatto sul conseguimento degli obiettivi climatici, nonché una valutazione distributiva del numero di famiglie vulnerabili per le quali è stato messo a disposizione un sostegno a titolo del Fondo sociale per il clima e dello strumento di anticipazione </w:t>
            </w:r>
            <w:r w:rsidR="00793466" w:rsidRPr="00830199">
              <w:rPr>
                <w:b/>
                <w:i/>
              </w:rPr>
              <w:t xml:space="preserve">della BEI </w:t>
            </w:r>
            <w:r w:rsidRPr="00830199">
              <w:rPr>
                <w:b/>
                <w:i/>
              </w:rPr>
              <w:t>a tale data, compresa, se fattibile, una ripartizione per tipo di area geografica, per distribuzione del reddito e per genere, che deve altresì prendere in considerazione misure supplementari al fine di garantire sia l'integrità ambientale che l'equità sociale nell'ambito dell'ETS2.</w:t>
            </w:r>
          </w:p>
        </w:tc>
      </w:tr>
    </w:tbl>
    <w:p w14:paraId="58595D7A" w14:textId="77777777" w:rsidR="00E96079" w:rsidRPr="00830199" w:rsidRDefault="00E96079" w:rsidP="00E96079"/>
    <w:p w14:paraId="7763E3BD" w14:textId="77777777" w:rsidR="00E96079" w:rsidRPr="00830199" w:rsidRDefault="00E96079" w:rsidP="00E96079">
      <w:pPr>
        <w:pStyle w:val="AmNumberTabs"/>
      </w:pPr>
      <w:r w:rsidRPr="00830199">
        <w:t>Emendamento</w:t>
      </w:r>
      <w:r w:rsidRPr="00830199">
        <w:tab/>
      </w:r>
      <w:r w:rsidRPr="00830199">
        <w:tab/>
        <w:t>8</w:t>
      </w:r>
    </w:p>
    <w:p w14:paraId="4E24C25E" w14:textId="77777777" w:rsidR="00E96079" w:rsidRPr="00830199" w:rsidRDefault="00E96079" w:rsidP="00E96079">
      <w:pPr>
        <w:pStyle w:val="NormalBold"/>
      </w:pPr>
      <w:r w:rsidRPr="00830199">
        <w:t>Proposta di decisione</w:t>
      </w:r>
    </w:p>
    <w:p w14:paraId="734181F6" w14:textId="77777777" w:rsidR="00E96079" w:rsidRPr="00830199" w:rsidRDefault="00E96079" w:rsidP="00E96079">
      <w:pPr>
        <w:pStyle w:val="NormalBold"/>
      </w:pPr>
      <w:r w:rsidRPr="00830199">
        <w:t>Articolo 1 – punto 1</w:t>
      </w:r>
    </w:p>
    <w:p w14:paraId="117D4541" w14:textId="4EC87D25" w:rsidR="00793466" w:rsidRPr="00830199" w:rsidRDefault="00793466" w:rsidP="00E96079">
      <w:pPr>
        <w:pStyle w:val="NormalBold"/>
        <w:rPr>
          <w:b w:val="0"/>
          <w:bCs/>
        </w:rPr>
      </w:pPr>
      <w:r w:rsidRPr="00830199">
        <w:rPr>
          <w:b w:val="0"/>
          <w:bCs/>
        </w:rPr>
        <w:t>Decisione (UE) 2015/1814</w:t>
      </w:r>
    </w:p>
    <w:p w14:paraId="3323B733" w14:textId="2607B050" w:rsidR="00E96079" w:rsidRPr="00830199" w:rsidRDefault="00E96079" w:rsidP="00E96079">
      <w:r w:rsidRPr="00830199">
        <w:t xml:space="preserve">Articolo 1 bis </w:t>
      </w:r>
      <w:r w:rsidR="00793466" w:rsidRPr="00830199">
        <w:t>–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6079" w:rsidRPr="00830199" w14:paraId="0832F62C" w14:textId="77777777" w:rsidTr="001B3822">
        <w:trPr>
          <w:trHeight w:val="240"/>
          <w:jc w:val="center"/>
        </w:trPr>
        <w:tc>
          <w:tcPr>
            <w:tcW w:w="9752" w:type="dxa"/>
            <w:gridSpan w:val="2"/>
            <w:tcBorders>
              <w:top w:val="nil"/>
              <w:left w:val="nil"/>
              <w:bottom w:val="nil"/>
              <w:right w:val="nil"/>
            </w:tcBorders>
          </w:tcPr>
          <w:p w14:paraId="7C37EAAD" w14:textId="77777777" w:rsidR="00E96079" w:rsidRPr="00830199" w:rsidRDefault="00E96079" w:rsidP="001B3822"/>
        </w:tc>
      </w:tr>
      <w:tr w:rsidR="00E96079" w:rsidRPr="00830199" w14:paraId="0383A5E7" w14:textId="77777777" w:rsidTr="001B3822">
        <w:trPr>
          <w:trHeight w:val="240"/>
          <w:jc w:val="center"/>
        </w:trPr>
        <w:tc>
          <w:tcPr>
            <w:tcW w:w="4876" w:type="dxa"/>
            <w:tcBorders>
              <w:top w:val="nil"/>
              <w:left w:val="nil"/>
              <w:bottom w:val="nil"/>
              <w:right w:val="nil"/>
            </w:tcBorders>
            <w:hideMark/>
          </w:tcPr>
          <w:p w14:paraId="261AAB43" w14:textId="77777777" w:rsidR="00E96079" w:rsidRPr="00830199" w:rsidRDefault="00E96079" w:rsidP="001B3822">
            <w:pPr>
              <w:pStyle w:val="AmColumnHeading"/>
            </w:pPr>
            <w:r w:rsidRPr="00830199">
              <w:t>Testo della Commissione</w:t>
            </w:r>
          </w:p>
        </w:tc>
        <w:tc>
          <w:tcPr>
            <w:tcW w:w="4876" w:type="dxa"/>
            <w:tcBorders>
              <w:top w:val="nil"/>
              <w:left w:val="nil"/>
              <w:bottom w:val="nil"/>
              <w:right w:val="nil"/>
            </w:tcBorders>
            <w:hideMark/>
          </w:tcPr>
          <w:p w14:paraId="6828E26F" w14:textId="77777777" w:rsidR="00E96079" w:rsidRPr="00830199" w:rsidRDefault="00E96079" w:rsidP="001B3822">
            <w:pPr>
              <w:pStyle w:val="AmColumnHeading"/>
            </w:pPr>
            <w:r w:rsidRPr="00830199">
              <w:t>Emendamento</w:t>
            </w:r>
          </w:p>
        </w:tc>
      </w:tr>
      <w:tr w:rsidR="00E96079" w:rsidRPr="00830199" w14:paraId="2647C514" w14:textId="77777777" w:rsidTr="001B3822">
        <w:trPr>
          <w:jc w:val="center"/>
        </w:trPr>
        <w:tc>
          <w:tcPr>
            <w:tcW w:w="4876" w:type="dxa"/>
            <w:tcBorders>
              <w:top w:val="nil"/>
              <w:left w:val="nil"/>
              <w:bottom w:val="nil"/>
              <w:right w:val="nil"/>
            </w:tcBorders>
            <w:hideMark/>
          </w:tcPr>
          <w:p w14:paraId="6C803FC5" w14:textId="1003A8C9" w:rsidR="00E96079" w:rsidRPr="00830199" w:rsidRDefault="00E96079" w:rsidP="001B3822">
            <w:pPr>
              <w:pStyle w:val="Normal6a"/>
            </w:pPr>
            <w:r w:rsidRPr="00830199">
              <w:t>1)</w:t>
            </w:r>
            <w:r w:rsidRPr="00830199">
              <w:tab/>
              <w:t xml:space="preserve">al paragrafo 3, la seconda frase è </w:t>
            </w:r>
            <w:r w:rsidRPr="00830199">
              <w:rPr>
                <w:b/>
                <w:i/>
              </w:rPr>
              <w:t>soppressa</w:t>
            </w:r>
            <w:r w:rsidRPr="00830199">
              <w:t>.</w:t>
            </w:r>
          </w:p>
        </w:tc>
        <w:tc>
          <w:tcPr>
            <w:tcW w:w="4876" w:type="dxa"/>
            <w:tcBorders>
              <w:top w:val="nil"/>
              <w:left w:val="nil"/>
              <w:bottom w:val="nil"/>
              <w:right w:val="nil"/>
            </w:tcBorders>
            <w:hideMark/>
          </w:tcPr>
          <w:p w14:paraId="46E93CC8" w14:textId="716AFB32" w:rsidR="00793466" w:rsidRPr="00830199" w:rsidRDefault="00E96079" w:rsidP="001B3822">
            <w:pPr>
              <w:pStyle w:val="Normal6a"/>
              <w:rPr>
                <w:b/>
                <w:i/>
              </w:rPr>
            </w:pPr>
            <w:r w:rsidRPr="00830199">
              <w:t>1)</w:t>
            </w:r>
            <w:r w:rsidRPr="00830199">
              <w:tab/>
              <w:t xml:space="preserve">al paragrafo 3, la seconda frase è </w:t>
            </w:r>
            <w:r w:rsidRPr="00830199">
              <w:rPr>
                <w:b/>
                <w:i/>
              </w:rPr>
              <w:t>sostituita dalla seguente:</w:t>
            </w:r>
          </w:p>
          <w:p w14:paraId="0F1B52E5" w14:textId="7D214B4A" w:rsidR="00E96079" w:rsidRPr="00830199" w:rsidRDefault="00E96079" w:rsidP="001B3822">
            <w:pPr>
              <w:pStyle w:val="Normal6a"/>
            </w:pPr>
            <w:r w:rsidRPr="00830199">
              <w:rPr>
                <w:b/>
                <w:i/>
              </w:rPr>
              <w:t xml:space="preserve">"A decorrere dal 1° gennaio 2034, il 50 % delle quote di cui a tale comma che non sono state svincolate dalla riserva non è più valido. A decorrere dal 1° gennaio </w:t>
            </w:r>
            <w:r w:rsidRPr="00830199">
              <w:rPr>
                <w:b/>
                <w:i/>
              </w:rPr>
              <w:lastRenderedPageBreak/>
              <w:t>2036 le restanti quote di cui a tale comma che non sono state svincolate dalla riserva non sono più valide."</w:t>
            </w:r>
            <w:r w:rsidR="00A02DB0" w:rsidRPr="00830199">
              <w:rPr>
                <w:b/>
                <w:i/>
              </w:rPr>
              <w:t>;</w:t>
            </w:r>
          </w:p>
        </w:tc>
      </w:tr>
    </w:tbl>
    <w:p w14:paraId="2A605859" w14:textId="77777777" w:rsidR="00E96079" w:rsidRPr="00830199" w:rsidRDefault="00E96079" w:rsidP="00E96079"/>
    <w:p w14:paraId="4D2A1E21" w14:textId="77777777" w:rsidR="00E96079" w:rsidRPr="00830199" w:rsidRDefault="00E96079" w:rsidP="00E96079">
      <w:pPr>
        <w:pStyle w:val="AmNumberTabs"/>
      </w:pPr>
      <w:r w:rsidRPr="00830199">
        <w:t>Emendamento</w:t>
      </w:r>
      <w:r w:rsidRPr="00830199">
        <w:tab/>
      </w:r>
      <w:r w:rsidRPr="00830199">
        <w:tab/>
        <w:t>9</w:t>
      </w:r>
    </w:p>
    <w:p w14:paraId="63D2C2FC" w14:textId="77777777" w:rsidR="00E96079" w:rsidRPr="00830199" w:rsidRDefault="00E96079" w:rsidP="00E96079">
      <w:pPr>
        <w:pStyle w:val="NormalBold"/>
      </w:pPr>
      <w:r w:rsidRPr="00830199">
        <w:t>Proposta di decisione</w:t>
      </w:r>
    </w:p>
    <w:p w14:paraId="278F2613" w14:textId="77777777" w:rsidR="00E96079" w:rsidRPr="00830199" w:rsidRDefault="00E96079" w:rsidP="00E96079">
      <w:pPr>
        <w:pStyle w:val="NormalBold"/>
      </w:pPr>
      <w:r w:rsidRPr="00830199">
        <w:t>Articolo 1 – punto 4 bis (nuovo)</w:t>
      </w:r>
    </w:p>
    <w:p w14:paraId="1AE21193" w14:textId="28916D54" w:rsidR="00A02DB0" w:rsidRPr="00830199" w:rsidRDefault="00A02DB0" w:rsidP="00E96079">
      <w:pPr>
        <w:pStyle w:val="NormalBold"/>
        <w:rPr>
          <w:b w:val="0"/>
          <w:bCs/>
        </w:rPr>
      </w:pPr>
      <w:r w:rsidRPr="00830199">
        <w:rPr>
          <w:b w:val="0"/>
          <w:bCs/>
        </w:rPr>
        <w:t>Decisione (UE) 2015/1814</w:t>
      </w:r>
    </w:p>
    <w:p w14:paraId="39B4694A" w14:textId="3033A4AD" w:rsidR="00E96079" w:rsidRPr="00830199" w:rsidRDefault="00E96079" w:rsidP="00E96079">
      <w:r w:rsidRPr="00830199">
        <w:t>Articolo 1 bis</w:t>
      </w:r>
      <w:r w:rsidR="00A02DB0" w:rsidRPr="00830199">
        <w:t xml:space="preserve"> – paragrafo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6079" w:rsidRPr="00830199" w14:paraId="57447046" w14:textId="77777777" w:rsidTr="001B3822">
        <w:trPr>
          <w:trHeight w:val="240"/>
          <w:jc w:val="center"/>
        </w:trPr>
        <w:tc>
          <w:tcPr>
            <w:tcW w:w="9752" w:type="dxa"/>
            <w:gridSpan w:val="2"/>
            <w:tcBorders>
              <w:top w:val="nil"/>
              <w:left w:val="nil"/>
              <w:bottom w:val="nil"/>
              <w:right w:val="nil"/>
            </w:tcBorders>
          </w:tcPr>
          <w:p w14:paraId="5938132C" w14:textId="77777777" w:rsidR="00E96079" w:rsidRPr="00830199" w:rsidRDefault="00E96079" w:rsidP="001B3822"/>
        </w:tc>
      </w:tr>
      <w:tr w:rsidR="00E96079" w:rsidRPr="00830199" w14:paraId="121EDF57" w14:textId="77777777" w:rsidTr="001B3822">
        <w:trPr>
          <w:trHeight w:val="240"/>
          <w:jc w:val="center"/>
        </w:trPr>
        <w:tc>
          <w:tcPr>
            <w:tcW w:w="4876" w:type="dxa"/>
            <w:tcBorders>
              <w:top w:val="nil"/>
              <w:left w:val="nil"/>
              <w:bottom w:val="nil"/>
              <w:right w:val="nil"/>
            </w:tcBorders>
            <w:hideMark/>
          </w:tcPr>
          <w:p w14:paraId="77941FD8" w14:textId="77777777" w:rsidR="00E96079" w:rsidRPr="00830199" w:rsidRDefault="00E96079" w:rsidP="001B3822">
            <w:pPr>
              <w:pStyle w:val="AmColumnHeading"/>
            </w:pPr>
            <w:r w:rsidRPr="00830199">
              <w:t>Testo in vigore</w:t>
            </w:r>
          </w:p>
        </w:tc>
        <w:tc>
          <w:tcPr>
            <w:tcW w:w="4876" w:type="dxa"/>
            <w:tcBorders>
              <w:top w:val="nil"/>
              <w:left w:val="nil"/>
              <w:bottom w:val="nil"/>
              <w:right w:val="nil"/>
            </w:tcBorders>
            <w:hideMark/>
          </w:tcPr>
          <w:p w14:paraId="08968953" w14:textId="77777777" w:rsidR="00E96079" w:rsidRPr="00830199" w:rsidRDefault="00E96079" w:rsidP="001B3822">
            <w:pPr>
              <w:pStyle w:val="AmColumnHeading"/>
            </w:pPr>
            <w:r w:rsidRPr="00830199">
              <w:t>Emendamento</w:t>
            </w:r>
          </w:p>
        </w:tc>
      </w:tr>
      <w:tr w:rsidR="00E96079" w:rsidRPr="00830199" w14:paraId="0641B59B" w14:textId="77777777" w:rsidTr="001B3822">
        <w:trPr>
          <w:jc w:val="center"/>
        </w:trPr>
        <w:tc>
          <w:tcPr>
            <w:tcW w:w="4876" w:type="dxa"/>
            <w:tcBorders>
              <w:top w:val="nil"/>
              <w:left w:val="nil"/>
              <w:bottom w:val="nil"/>
              <w:right w:val="nil"/>
            </w:tcBorders>
          </w:tcPr>
          <w:p w14:paraId="456ACA32" w14:textId="77777777" w:rsidR="00E96079" w:rsidRPr="00830199" w:rsidRDefault="00E96079" w:rsidP="001B3822">
            <w:pPr>
              <w:pStyle w:val="Normal6a"/>
            </w:pPr>
          </w:p>
        </w:tc>
        <w:tc>
          <w:tcPr>
            <w:tcW w:w="4876" w:type="dxa"/>
            <w:tcBorders>
              <w:top w:val="nil"/>
              <w:left w:val="nil"/>
              <w:bottom w:val="nil"/>
              <w:right w:val="nil"/>
            </w:tcBorders>
            <w:hideMark/>
          </w:tcPr>
          <w:p w14:paraId="2CDBC5D8" w14:textId="48414FE6" w:rsidR="00E96079" w:rsidRPr="00830199" w:rsidRDefault="00E96079" w:rsidP="001B3822">
            <w:pPr>
              <w:pStyle w:val="Normal6a"/>
            </w:pPr>
            <w:r w:rsidRPr="00830199">
              <w:rPr>
                <w:b/>
                <w:i/>
              </w:rPr>
              <w:t>4 bis)</w:t>
            </w:r>
            <w:r w:rsidRPr="00830199">
              <w:tab/>
            </w:r>
            <w:r w:rsidRPr="00830199">
              <w:rPr>
                <w:b/>
                <w:i/>
              </w:rPr>
              <w:t>al paragrafo 7, la seconda frase è sostituita dalla seguente:</w:t>
            </w:r>
          </w:p>
        </w:tc>
      </w:tr>
      <w:tr w:rsidR="00E96079" w:rsidRPr="00830199" w14:paraId="17727CD1" w14:textId="77777777" w:rsidTr="001B3822">
        <w:trPr>
          <w:jc w:val="center"/>
        </w:trPr>
        <w:tc>
          <w:tcPr>
            <w:tcW w:w="4876" w:type="dxa"/>
            <w:tcBorders>
              <w:top w:val="nil"/>
              <w:left w:val="nil"/>
              <w:bottom w:val="nil"/>
              <w:right w:val="nil"/>
            </w:tcBorders>
            <w:hideMark/>
          </w:tcPr>
          <w:p w14:paraId="21E0AF63" w14:textId="77777777" w:rsidR="00E96079" w:rsidRPr="00830199" w:rsidRDefault="00E96079" w:rsidP="001B3822">
            <w:pPr>
              <w:pStyle w:val="Normal6a"/>
            </w:pPr>
            <w:r w:rsidRPr="00830199">
              <w:t xml:space="preserve">I volumi da svincolare dalla riserva sono distribuiti uniformemente per un periodo di tre mesi, a decorrere al più tardi da </w:t>
            </w:r>
            <w:r w:rsidRPr="00830199">
              <w:rPr>
                <w:b/>
                <w:i/>
              </w:rPr>
              <w:t>due mesi</w:t>
            </w:r>
            <w:r w:rsidRPr="00830199">
              <w:t xml:space="preserve"> dalla data in cui sono state soddisfatte le condizioni in linea con la loro pubblicazione nella Gazzetta ufficiale dell'Unione europea a norma dell'articolo 30 </w:t>
            </w:r>
            <w:proofErr w:type="spellStart"/>
            <w:r w:rsidRPr="00830199">
              <w:t>nonies</w:t>
            </w:r>
            <w:proofErr w:type="spellEnd"/>
            <w:r w:rsidRPr="00830199">
              <w:t>, paragrafo 8, della direttiva 2003/87/CE.</w:t>
            </w:r>
          </w:p>
        </w:tc>
        <w:tc>
          <w:tcPr>
            <w:tcW w:w="4876" w:type="dxa"/>
            <w:tcBorders>
              <w:top w:val="nil"/>
              <w:left w:val="nil"/>
              <w:bottom w:val="nil"/>
              <w:right w:val="nil"/>
            </w:tcBorders>
            <w:hideMark/>
          </w:tcPr>
          <w:p w14:paraId="43B525A8" w14:textId="288E0CC9" w:rsidR="00E96079" w:rsidRPr="00830199" w:rsidRDefault="00E96079" w:rsidP="001B3822">
            <w:pPr>
              <w:pStyle w:val="Normal6a"/>
            </w:pPr>
            <w:r w:rsidRPr="00830199">
              <w:t xml:space="preserve">"I volumi da svincolare dalla riserva sono distribuiti uniformemente per un periodo di tre mesi, a decorrere al più tardi da </w:t>
            </w:r>
            <w:r w:rsidRPr="00830199">
              <w:rPr>
                <w:b/>
                <w:i/>
              </w:rPr>
              <w:t>30 giorni</w:t>
            </w:r>
            <w:r w:rsidRPr="00830199">
              <w:t xml:space="preserve"> dalla data in cui sono state soddisfatte le condizioni in linea con la loro pubblicazione nella Gazzetta ufficiale dell'Unione europea a norma dell'articolo 30 </w:t>
            </w:r>
            <w:proofErr w:type="spellStart"/>
            <w:r w:rsidRPr="00830199">
              <w:t>nonies</w:t>
            </w:r>
            <w:proofErr w:type="spellEnd"/>
            <w:r w:rsidRPr="00830199">
              <w:t>, paragrafo 8, della direttiva 2003/87/CE."</w:t>
            </w:r>
            <w:r w:rsidR="00A02DB0" w:rsidRPr="00830199">
              <w:t>.</w:t>
            </w:r>
          </w:p>
        </w:tc>
      </w:tr>
    </w:tbl>
    <w:p w14:paraId="1E2B2F27" w14:textId="26193D12" w:rsidR="00E96079" w:rsidRPr="00830199" w:rsidRDefault="00E96079" w:rsidP="00E96079">
      <w:pPr>
        <w:pStyle w:val="AmCrossRef"/>
      </w:pPr>
      <w:r w:rsidRPr="00830199">
        <w:t>(32015D1814)</w:t>
      </w:r>
    </w:p>
    <w:p w14:paraId="79BC9ABF" w14:textId="77777777" w:rsidR="00E96079" w:rsidRPr="00830199" w:rsidRDefault="00E96079" w:rsidP="00E96079"/>
    <w:p w14:paraId="53897856" w14:textId="77777777" w:rsidR="00E96079" w:rsidRPr="00830199" w:rsidRDefault="00E96079" w:rsidP="00E96079">
      <w:pPr>
        <w:pStyle w:val="AmNumberTabs"/>
      </w:pPr>
      <w:r w:rsidRPr="00830199">
        <w:t>Emendamento</w:t>
      </w:r>
      <w:r w:rsidRPr="00830199">
        <w:tab/>
      </w:r>
      <w:r w:rsidRPr="00830199">
        <w:tab/>
        <w:t>10</w:t>
      </w:r>
    </w:p>
    <w:p w14:paraId="5BDA6B42" w14:textId="77777777" w:rsidR="00E96079" w:rsidRPr="00830199" w:rsidRDefault="00E96079" w:rsidP="00E96079">
      <w:pPr>
        <w:pStyle w:val="NormalBold"/>
      </w:pPr>
      <w:r w:rsidRPr="00830199">
        <w:t>Proposta di decisione</w:t>
      </w:r>
    </w:p>
    <w:p w14:paraId="6551B205" w14:textId="77777777" w:rsidR="00E96079" w:rsidRPr="00830199" w:rsidRDefault="00E96079" w:rsidP="00E96079">
      <w:pPr>
        <w:pStyle w:val="NormalBold"/>
      </w:pPr>
      <w:r w:rsidRPr="00830199">
        <w:t>Articolo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6079" w:rsidRPr="00830199" w14:paraId="20750908" w14:textId="77777777" w:rsidTr="001B3822">
        <w:trPr>
          <w:trHeight w:val="240"/>
          <w:jc w:val="center"/>
        </w:trPr>
        <w:tc>
          <w:tcPr>
            <w:tcW w:w="9752" w:type="dxa"/>
            <w:gridSpan w:val="2"/>
            <w:tcBorders>
              <w:top w:val="nil"/>
              <w:left w:val="nil"/>
              <w:bottom w:val="nil"/>
              <w:right w:val="nil"/>
            </w:tcBorders>
          </w:tcPr>
          <w:p w14:paraId="1B7491BD" w14:textId="77777777" w:rsidR="00A02DB0" w:rsidRPr="00830199" w:rsidRDefault="00A02DB0" w:rsidP="00A02DB0">
            <w:pPr>
              <w:pStyle w:val="NormalBold"/>
              <w:rPr>
                <w:b w:val="0"/>
                <w:bCs/>
              </w:rPr>
            </w:pPr>
            <w:r w:rsidRPr="00830199">
              <w:rPr>
                <w:b w:val="0"/>
                <w:bCs/>
              </w:rPr>
              <w:t>Decisione (UE) 2015/1814</w:t>
            </w:r>
          </w:p>
          <w:p w14:paraId="0A274B01" w14:textId="4C2C4FD1" w:rsidR="00E96079" w:rsidRPr="00830199" w:rsidRDefault="00A02DB0" w:rsidP="00A02DB0">
            <w:r w:rsidRPr="00830199">
              <w:t>Articolo 3 – comma 1 bis (nuovo)</w:t>
            </w:r>
          </w:p>
        </w:tc>
      </w:tr>
      <w:tr w:rsidR="00E96079" w:rsidRPr="00830199" w14:paraId="492D9504" w14:textId="77777777" w:rsidTr="001B3822">
        <w:trPr>
          <w:trHeight w:val="240"/>
          <w:jc w:val="center"/>
        </w:trPr>
        <w:tc>
          <w:tcPr>
            <w:tcW w:w="4876" w:type="dxa"/>
            <w:tcBorders>
              <w:top w:val="nil"/>
              <w:left w:val="nil"/>
              <w:bottom w:val="nil"/>
              <w:right w:val="nil"/>
            </w:tcBorders>
            <w:hideMark/>
          </w:tcPr>
          <w:p w14:paraId="44E83D11" w14:textId="77777777" w:rsidR="00E96079" w:rsidRPr="00830199" w:rsidRDefault="00E96079" w:rsidP="001B3822">
            <w:pPr>
              <w:pStyle w:val="AmColumnHeading"/>
            </w:pPr>
            <w:r w:rsidRPr="00830199">
              <w:t>Testo della Commissione</w:t>
            </w:r>
          </w:p>
        </w:tc>
        <w:tc>
          <w:tcPr>
            <w:tcW w:w="4876" w:type="dxa"/>
            <w:tcBorders>
              <w:top w:val="nil"/>
              <w:left w:val="nil"/>
              <w:bottom w:val="nil"/>
              <w:right w:val="nil"/>
            </w:tcBorders>
            <w:hideMark/>
          </w:tcPr>
          <w:p w14:paraId="1C7B81C1" w14:textId="77777777" w:rsidR="00E96079" w:rsidRPr="00830199" w:rsidRDefault="00E96079" w:rsidP="001B3822">
            <w:pPr>
              <w:pStyle w:val="AmColumnHeading"/>
            </w:pPr>
            <w:r w:rsidRPr="00830199">
              <w:t>Emendamento</w:t>
            </w:r>
          </w:p>
        </w:tc>
      </w:tr>
      <w:tr w:rsidR="00E96079" w:rsidRPr="00830199" w14:paraId="4509C4BA" w14:textId="77777777" w:rsidTr="001B3822">
        <w:trPr>
          <w:jc w:val="center"/>
        </w:trPr>
        <w:tc>
          <w:tcPr>
            <w:tcW w:w="4876" w:type="dxa"/>
            <w:tcBorders>
              <w:top w:val="nil"/>
              <w:left w:val="nil"/>
              <w:bottom w:val="nil"/>
              <w:right w:val="nil"/>
            </w:tcBorders>
          </w:tcPr>
          <w:p w14:paraId="74BA945D" w14:textId="77777777" w:rsidR="00E96079" w:rsidRPr="00830199" w:rsidRDefault="00E96079" w:rsidP="001B3822">
            <w:pPr>
              <w:pStyle w:val="Normal6a"/>
            </w:pPr>
          </w:p>
        </w:tc>
        <w:tc>
          <w:tcPr>
            <w:tcW w:w="4876" w:type="dxa"/>
            <w:tcBorders>
              <w:top w:val="nil"/>
              <w:left w:val="nil"/>
              <w:bottom w:val="nil"/>
              <w:right w:val="nil"/>
            </w:tcBorders>
            <w:hideMark/>
          </w:tcPr>
          <w:p w14:paraId="34DAB2CA" w14:textId="0CA2F63C" w:rsidR="00E96079" w:rsidRPr="00830199" w:rsidRDefault="00E96079" w:rsidP="001B3822">
            <w:pPr>
              <w:pStyle w:val="Normal6a"/>
              <w:jc w:val="center"/>
            </w:pPr>
            <w:r w:rsidRPr="00830199">
              <w:rPr>
                <w:b/>
                <w:i/>
              </w:rPr>
              <w:t>Articolo 1 bis</w:t>
            </w:r>
          </w:p>
        </w:tc>
      </w:tr>
      <w:tr w:rsidR="00E96079" w:rsidRPr="00830199" w14:paraId="14AAE58D" w14:textId="77777777" w:rsidTr="001B3822">
        <w:trPr>
          <w:jc w:val="center"/>
        </w:trPr>
        <w:tc>
          <w:tcPr>
            <w:tcW w:w="4876" w:type="dxa"/>
            <w:tcBorders>
              <w:top w:val="nil"/>
              <w:left w:val="nil"/>
              <w:bottom w:val="nil"/>
              <w:right w:val="nil"/>
            </w:tcBorders>
          </w:tcPr>
          <w:p w14:paraId="22CCE924" w14:textId="77777777" w:rsidR="00E96079" w:rsidRPr="00830199" w:rsidRDefault="00E96079" w:rsidP="001B3822">
            <w:pPr>
              <w:pStyle w:val="Normal6a"/>
            </w:pPr>
          </w:p>
        </w:tc>
        <w:tc>
          <w:tcPr>
            <w:tcW w:w="4876" w:type="dxa"/>
            <w:tcBorders>
              <w:top w:val="nil"/>
              <w:left w:val="nil"/>
              <w:bottom w:val="nil"/>
              <w:right w:val="nil"/>
            </w:tcBorders>
            <w:hideMark/>
          </w:tcPr>
          <w:p w14:paraId="2A18CE31" w14:textId="21C1DB42" w:rsidR="00E96079" w:rsidRPr="00830199" w:rsidRDefault="00E96079" w:rsidP="001B3822">
            <w:pPr>
              <w:pStyle w:val="Normal6a"/>
            </w:pPr>
            <w:r w:rsidRPr="00830199">
              <w:rPr>
                <w:b/>
                <w:i/>
              </w:rPr>
              <w:t xml:space="preserve">all'articolo 3 </w:t>
            </w:r>
            <w:r w:rsidR="00A02DB0" w:rsidRPr="00830199">
              <w:rPr>
                <w:b/>
                <w:i/>
              </w:rPr>
              <w:t xml:space="preserve">della decisione </w:t>
            </w:r>
            <w:r w:rsidR="00A02DB0" w:rsidRPr="00830199">
              <w:rPr>
                <w:b/>
                <w:bCs/>
                <w:i/>
              </w:rPr>
              <w:t>(UE) 2015/1814</w:t>
            </w:r>
            <w:r w:rsidR="00A02DB0" w:rsidRPr="00830199">
              <w:rPr>
                <w:b/>
                <w:i/>
              </w:rPr>
              <w:t xml:space="preserve"> </w:t>
            </w:r>
            <w:r w:rsidRPr="00830199">
              <w:rPr>
                <w:b/>
                <w:i/>
              </w:rPr>
              <w:t>è aggiunto il comma seguente:</w:t>
            </w:r>
          </w:p>
        </w:tc>
      </w:tr>
      <w:tr w:rsidR="00E96079" w:rsidRPr="00830199" w14:paraId="7B05F5B1" w14:textId="77777777" w:rsidTr="001B3822">
        <w:trPr>
          <w:jc w:val="center"/>
        </w:trPr>
        <w:tc>
          <w:tcPr>
            <w:tcW w:w="4876" w:type="dxa"/>
            <w:tcBorders>
              <w:top w:val="nil"/>
              <w:left w:val="nil"/>
              <w:bottom w:val="nil"/>
              <w:right w:val="nil"/>
            </w:tcBorders>
          </w:tcPr>
          <w:p w14:paraId="7B350B17" w14:textId="77777777" w:rsidR="00E96079" w:rsidRPr="00830199" w:rsidRDefault="00E96079" w:rsidP="001B3822">
            <w:pPr>
              <w:pStyle w:val="Normal6a"/>
            </w:pPr>
          </w:p>
        </w:tc>
        <w:tc>
          <w:tcPr>
            <w:tcW w:w="4876" w:type="dxa"/>
            <w:tcBorders>
              <w:top w:val="nil"/>
              <w:left w:val="nil"/>
              <w:bottom w:val="nil"/>
              <w:right w:val="nil"/>
            </w:tcBorders>
            <w:hideMark/>
          </w:tcPr>
          <w:p w14:paraId="3CF76C63" w14:textId="2C20E2FD" w:rsidR="00E96079" w:rsidRPr="00830199" w:rsidRDefault="00E96079" w:rsidP="001B3822">
            <w:pPr>
              <w:pStyle w:val="Normal6a"/>
            </w:pPr>
            <w:r w:rsidRPr="00830199">
              <w:rPr>
                <w:b/>
                <w:i/>
              </w:rPr>
              <w:t xml:space="preserve">"Entro quattro anni dall'avvio dello scambio di quote di emissione per i settori dell'edilizia e del trasporto stradale e ulteriori settori di cui al capo IV bis della direttiva 2003/87/CE, la Commissione effettua una valutazione d'impatto, compresa una valutazione dell'impatto distributivo, e una valutazione dell'impatto ambientale, sociale ed economico delle quote rimanenti nella </w:t>
            </w:r>
            <w:r w:rsidRPr="00830199">
              <w:rPr>
                <w:b/>
                <w:i/>
              </w:rPr>
              <w:lastRenderedPageBreak/>
              <w:t xml:space="preserve">riserva a norma dell'articolo 1 bis </w:t>
            </w:r>
            <w:r w:rsidR="00A02DB0" w:rsidRPr="00830199">
              <w:rPr>
                <w:b/>
                <w:i/>
              </w:rPr>
              <w:t xml:space="preserve">della presente decisione </w:t>
            </w:r>
            <w:r w:rsidRPr="00830199">
              <w:rPr>
                <w:b/>
                <w:i/>
              </w:rPr>
              <w:t>e determina l'opportunità di annullare in tutto o in parte tali quote. Tale valutazione, se del caso, è corredata di una proposta legislativa."</w:t>
            </w:r>
            <w:r w:rsidR="00A02DB0" w:rsidRPr="00830199">
              <w:rPr>
                <w:b/>
                <w:i/>
              </w:rPr>
              <w:t>.</w:t>
            </w:r>
          </w:p>
        </w:tc>
      </w:tr>
    </w:tbl>
    <w:p w14:paraId="2EAF7E70" w14:textId="77777777" w:rsidR="00E365E1" w:rsidRPr="00830199" w:rsidRDefault="00E365E1" w:rsidP="000E1E7E"/>
    <w:sectPr w:rsidR="00E365E1" w:rsidRPr="00830199" w:rsidSect="000034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3AEE7" w14:textId="77777777" w:rsidR="000E1E7E" w:rsidRPr="00003425" w:rsidRDefault="000E1E7E">
      <w:r w:rsidRPr="00003425">
        <w:separator/>
      </w:r>
    </w:p>
  </w:endnote>
  <w:endnote w:type="continuationSeparator" w:id="0">
    <w:p w14:paraId="20BC22D3" w14:textId="77777777" w:rsidR="000E1E7E" w:rsidRPr="00003425" w:rsidRDefault="000E1E7E">
      <w:r w:rsidRPr="000034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40EB" w14:textId="77777777" w:rsidR="00064002" w:rsidRPr="000034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F439C" w14:textId="77777777" w:rsidR="00064002" w:rsidRPr="000034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C081" w14:textId="77777777" w:rsidR="00064002" w:rsidRPr="000034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FFCD0" w14:textId="77777777" w:rsidR="000E1E7E" w:rsidRPr="00003425" w:rsidRDefault="000E1E7E">
      <w:r w:rsidRPr="00003425">
        <w:separator/>
      </w:r>
    </w:p>
  </w:footnote>
  <w:footnote w:type="continuationSeparator" w:id="0">
    <w:p w14:paraId="59446732" w14:textId="77777777" w:rsidR="000E1E7E" w:rsidRPr="00003425" w:rsidRDefault="000E1E7E">
      <w:r w:rsidRPr="00003425">
        <w:continuationSeparator/>
      </w:r>
    </w:p>
  </w:footnote>
  <w:footnote w:id="1">
    <w:p w14:paraId="3D3ED31A" w14:textId="44EF0CD5" w:rsidR="00830199" w:rsidRPr="007E7EAD" w:rsidRDefault="00830199" w:rsidP="00830199">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00</w:t>
      </w:r>
      <w:r>
        <w:rPr>
          <w:sz w:val="24"/>
          <w:szCs w:val="24"/>
          <w:lang w:val="it-IT"/>
        </w:rPr>
        <w:t>98</w:t>
      </w:r>
      <w:r w:rsidRPr="007E7EAD">
        <w:rPr>
          <w:sz w:val="24"/>
          <w:szCs w:val="24"/>
          <w:lang w:val="it-IT"/>
        </w:rPr>
        <w:t>/</w:t>
      </w:r>
      <w:r>
        <w:rPr>
          <w:sz w:val="24"/>
          <w:szCs w:val="24"/>
          <w:lang w:val="it-IT"/>
        </w:rPr>
        <w:t>2026</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7BD7" w14:textId="77777777" w:rsidR="00064002" w:rsidRPr="000034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30847" w14:textId="77777777" w:rsidR="00064002" w:rsidRPr="000034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BCC6" w14:textId="77777777" w:rsidR="00064002" w:rsidRPr="000034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3804067">
    <w:abstractNumId w:val="9"/>
  </w:num>
  <w:num w:numId="2" w16cid:durableId="888105747">
    <w:abstractNumId w:val="9"/>
  </w:num>
  <w:num w:numId="3" w16cid:durableId="1883975057">
    <w:abstractNumId w:val="7"/>
  </w:num>
  <w:num w:numId="4" w16cid:durableId="127205949">
    <w:abstractNumId w:val="7"/>
  </w:num>
  <w:num w:numId="5" w16cid:durableId="738095866">
    <w:abstractNumId w:val="6"/>
  </w:num>
  <w:num w:numId="6" w16cid:durableId="1959750998">
    <w:abstractNumId w:val="6"/>
  </w:num>
  <w:num w:numId="7" w16cid:durableId="1280185623">
    <w:abstractNumId w:val="5"/>
  </w:num>
  <w:num w:numId="8" w16cid:durableId="668600385">
    <w:abstractNumId w:val="5"/>
  </w:num>
  <w:num w:numId="9" w16cid:durableId="2113667832">
    <w:abstractNumId w:val="4"/>
  </w:num>
  <w:num w:numId="10" w16cid:durableId="457261324">
    <w:abstractNumId w:val="4"/>
  </w:num>
  <w:num w:numId="11" w16cid:durableId="1145590263">
    <w:abstractNumId w:val="8"/>
  </w:num>
  <w:num w:numId="12" w16cid:durableId="364912491">
    <w:abstractNumId w:val="8"/>
  </w:num>
  <w:num w:numId="13" w16cid:durableId="492919912">
    <w:abstractNumId w:val="3"/>
  </w:num>
  <w:num w:numId="14" w16cid:durableId="392776282">
    <w:abstractNumId w:val="3"/>
  </w:num>
  <w:num w:numId="15" w16cid:durableId="1778406353">
    <w:abstractNumId w:val="2"/>
  </w:num>
  <w:num w:numId="16" w16cid:durableId="65274876">
    <w:abstractNumId w:val="2"/>
  </w:num>
  <w:num w:numId="17" w16cid:durableId="910121846">
    <w:abstractNumId w:val="1"/>
  </w:num>
  <w:num w:numId="18" w16cid:durableId="644629671">
    <w:abstractNumId w:val="1"/>
  </w:num>
  <w:num w:numId="19" w16cid:durableId="797140014">
    <w:abstractNumId w:val="0"/>
  </w:num>
  <w:num w:numId="20" w16cid:durableId="305093110">
    <w:abstractNumId w:val="0"/>
  </w:num>
  <w:num w:numId="21" w16cid:durableId="1874881615">
    <w:abstractNumId w:val="9"/>
  </w:num>
  <w:num w:numId="22" w16cid:durableId="1213156907">
    <w:abstractNumId w:val="7"/>
  </w:num>
  <w:num w:numId="23" w16cid:durableId="29117105">
    <w:abstractNumId w:val="6"/>
  </w:num>
  <w:num w:numId="24" w16cid:durableId="1366369859">
    <w:abstractNumId w:val="5"/>
  </w:num>
  <w:num w:numId="25" w16cid:durableId="1430740090">
    <w:abstractNumId w:val="4"/>
  </w:num>
  <w:num w:numId="26" w16cid:durableId="2008557200">
    <w:abstractNumId w:val="8"/>
  </w:num>
  <w:num w:numId="27" w16cid:durableId="124008587">
    <w:abstractNumId w:val="3"/>
  </w:num>
  <w:num w:numId="28" w16cid:durableId="524247453">
    <w:abstractNumId w:val="2"/>
  </w:num>
  <w:num w:numId="29" w16cid:durableId="909072573">
    <w:abstractNumId w:val="1"/>
  </w:num>
  <w:num w:numId="30" w16cid:durableId="1252466423">
    <w:abstractNumId w:val="0"/>
  </w:num>
  <w:num w:numId="31" w16cid:durableId="978847902">
    <w:abstractNumId w:val="9"/>
  </w:num>
  <w:num w:numId="32" w16cid:durableId="1674454600">
    <w:abstractNumId w:val="7"/>
  </w:num>
  <w:num w:numId="33" w16cid:durableId="1214273861">
    <w:abstractNumId w:val="6"/>
  </w:num>
  <w:num w:numId="34" w16cid:durableId="302275601">
    <w:abstractNumId w:val="5"/>
  </w:num>
  <w:num w:numId="35" w16cid:durableId="823350437">
    <w:abstractNumId w:val="4"/>
  </w:num>
  <w:num w:numId="36" w16cid:durableId="246118264">
    <w:abstractNumId w:val="8"/>
  </w:num>
  <w:num w:numId="37" w16cid:durableId="435835120">
    <w:abstractNumId w:val="3"/>
  </w:num>
  <w:num w:numId="38" w16cid:durableId="1874296438">
    <w:abstractNumId w:val="2"/>
  </w:num>
  <w:num w:numId="39" w16cid:durableId="1282767204">
    <w:abstractNumId w:val="1"/>
  </w:num>
  <w:num w:numId="40" w16cid:durableId="303044222">
    <w:abstractNumId w:val="0"/>
  </w:num>
  <w:num w:numId="41" w16cid:durableId="2038654312">
    <w:abstractNumId w:val="10"/>
  </w:num>
  <w:num w:numId="42" w16cid:durableId="1978073169">
    <w:abstractNumId w:val="10"/>
  </w:num>
  <w:num w:numId="43" w16cid:durableId="547181974">
    <w:abstractNumId w:val="10"/>
  </w:num>
  <w:num w:numId="44" w16cid:durableId="1323705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IT"/>
    <w:docVar w:name="dvnumam" w:val="10"/>
    <w:docVar w:name="dvpe" w:val="781.492"/>
    <w:docVar w:name="dvrapporteur" w:val="Relatrice: "/>
    <w:docVar w:name="dvstar" w:val="***I"/>
    <w:docVar w:name="dvtitre" w:val="Risoluzione legislativa del Parlamento europeo del XX aprile 2026 sulla proposta di decisione del Parlamento europeo e del Consiglio che modifica la decisione (UE) 2015/1814 per quanto riguarda la riserva stabilizzatrice del mercato per i settori dell'edilizia e del trasporto stradale e ulteriori settori(COM(2025)0738 – C10-0320/2025 – 2025/0380(COD))"/>
  </w:docVars>
  <w:rsids>
    <w:rsidRoot w:val="000E1E7E"/>
    <w:rsid w:val="00002272"/>
    <w:rsid w:val="00003425"/>
    <w:rsid w:val="00064002"/>
    <w:rsid w:val="000677B9"/>
    <w:rsid w:val="000831BA"/>
    <w:rsid w:val="000A42CC"/>
    <w:rsid w:val="000E1E7E"/>
    <w:rsid w:val="000E7DD9"/>
    <w:rsid w:val="0010095E"/>
    <w:rsid w:val="00125B37"/>
    <w:rsid w:val="00187494"/>
    <w:rsid w:val="001F32AE"/>
    <w:rsid w:val="002767FF"/>
    <w:rsid w:val="002B18FE"/>
    <w:rsid w:val="002B5493"/>
    <w:rsid w:val="00343214"/>
    <w:rsid w:val="00361C00"/>
    <w:rsid w:val="00364975"/>
    <w:rsid w:val="00395FA1"/>
    <w:rsid w:val="003E15D4"/>
    <w:rsid w:val="003E3ED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2E14"/>
    <w:rsid w:val="006631B6"/>
    <w:rsid w:val="00680577"/>
    <w:rsid w:val="006F74FA"/>
    <w:rsid w:val="00731ADD"/>
    <w:rsid w:val="00732A7E"/>
    <w:rsid w:val="00734777"/>
    <w:rsid w:val="00747932"/>
    <w:rsid w:val="00751A4A"/>
    <w:rsid w:val="00756632"/>
    <w:rsid w:val="00756C62"/>
    <w:rsid w:val="00762C74"/>
    <w:rsid w:val="00786EC0"/>
    <w:rsid w:val="00793466"/>
    <w:rsid w:val="007D1690"/>
    <w:rsid w:val="007E22AD"/>
    <w:rsid w:val="00817416"/>
    <w:rsid w:val="00830199"/>
    <w:rsid w:val="00842779"/>
    <w:rsid w:val="00865F67"/>
    <w:rsid w:val="00881A7B"/>
    <w:rsid w:val="008840E5"/>
    <w:rsid w:val="00887B3E"/>
    <w:rsid w:val="008C2AC6"/>
    <w:rsid w:val="00930C23"/>
    <w:rsid w:val="0093193B"/>
    <w:rsid w:val="009509D8"/>
    <w:rsid w:val="00950B64"/>
    <w:rsid w:val="00981893"/>
    <w:rsid w:val="00A02DB0"/>
    <w:rsid w:val="00A1687D"/>
    <w:rsid w:val="00A43E52"/>
    <w:rsid w:val="00A4678D"/>
    <w:rsid w:val="00A778C7"/>
    <w:rsid w:val="00AB441E"/>
    <w:rsid w:val="00AB6293"/>
    <w:rsid w:val="00AE0928"/>
    <w:rsid w:val="00AF3B82"/>
    <w:rsid w:val="00B01A6B"/>
    <w:rsid w:val="00B12E95"/>
    <w:rsid w:val="00B22876"/>
    <w:rsid w:val="00B558F0"/>
    <w:rsid w:val="00BA01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6079"/>
    <w:rsid w:val="00EB006A"/>
    <w:rsid w:val="00EB4772"/>
    <w:rsid w:val="00ED169E"/>
    <w:rsid w:val="00ED4235"/>
    <w:rsid w:val="00F04346"/>
    <w:rsid w:val="00F075DC"/>
    <w:rsid w:val="00F149E9"/>
    <w:rsid w:val="00F5134D"/>
    <w:rsid w:val="00F74202"/>
    <w:rsid w:val="00F87713"/>
    <w:rsid w:val="00FB4360"/>
    <w:rsid w:val="00FB79B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3F342"/>
  <w15:chartTrackingRefBased/>
  <w15:docId w15:val="{1899353C-2BF9-4128-8C62-1212764D3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96079"/>
    <w:pPr>
      <w:spacing w:after="120"/>
    </w:pPr>
  </w:style>
  <w:style w:type="paragraph" w:customStyle="1" w:styleId="NormalBold">
    <w:name w:val="NormalBold"/>
    <w:basedOn w:val="Normal"/>
    <w:link w:val="NormalBoldChar"/>
    <w:rsid w:val="00E96079"/>
    <w:rPr>
      <w:b/>
    </w:rPr>
  </w:style>
  <w:style w:type="paragraph" w:customStyle="1" w:styleId="NormalHanging12a">
    <w:name w:val="NormalHanging12a"/>
    <w:basedOn w:val="Normal"/>
    <w:rsid w:val="00E96079"/>
    <w:pPr>
      <w:spacing w:after="240"/>
      <w:ind w:left="567" w:hanging="567"/>
    </w:pPr>
  </w:style>
  <w:style w:type="paragraph" w:customStyle="1" w:styleId="AmCrossRef">
    <w:name w:val="AmCrossRef"/>
    <w:basedOn w:val="Normal"/>
    <w:rsid w:val="00E96079"/>
    <w:pPr>
      <w:spacing w:before="240" w:after="240"/>
      <w:jc w:val="center"/>
    </w:pPr>
    <w:rPr>
      <w:i/>
    </w:rPr>
  </w:style>
  <w:style w:type="paragraph" w:customStyle="1" w:styleId="AmColumnHeading">
    <w:name w:val="AmColumnHeading"/>
    <w:basedOn w:val="Normal"/>
    <w:rsid w:val="00E96079"/>
    <w:pPr>
      <w:spacing w:after="240"/>
      <w:jc w:val="center"/>
    </w:pPr>
    <w:rPr>
      <w:i/>
    </w:rPr>
  </w:style>
  <w:style w:type="paragraph" w:customStyle="1" w:styleId="AmNumberTabs">
    <w:name w:val="AmNumberTabs"/>
    <w:basedOn w:val="Normal"/>
    <w:rsid w:val="00E960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96079"/>
    <w:pPr>
      <w:spacing w:before="480" w:after="240"/>
    </w:pPr>
  </w:style>
  <w:style w:type="character" w:customStyle="1" w:styleId="NormalBoldChar">
    <w:name w:val="NormalBold Char"/>
    <w:basedOn w:val="DefaultParagraphFont"/>
    <w:link w:val="NormalBold"/>
    <w:locked/>
    <w:rsid w:val="00E96079"/>
    <w:rPr>
      <w:b/>
      <w:sz w:val="24"/>
      <w:lang w:val="it-IT"/>
    </w:rPr>
  </w:style>
  <w:style w:type="character" w:styleId="Hyperlink">
    <w:name w:val="Hyperlink"/>
    <w:basedOn w:val="DefaultParagraphFont"/>
    <w:rsid w:val="00E96079"/>
    <w:rPr>
      <w:color w:val="0563C1" w:themeColor="hyperlink"/>
      <w:u w:val="single"/>
    </w:rPr>
  </w:style>
  <w:style w:type="paragraph" w:styleId="Revision">
    <w:name w:val="Revision"/>
    <w:hidden/>
    <w:uiPriority w:val="99"/>
    <w:semiHidden/>
    <w:rsid w:val="00364975"/>
    <w:rPr>
      <w:sz w:val="24"/>
      <w:lang w:val="it-IT"/>
    </w:rPr>
  </w:style>
  <w:style w:type="character" w:styleId="CommentReference">
    <w:name w:val="annotation reference"/>
    <w:basedOn w:val="DefaultParagraphFont"/>
    <w:rsid w:val="00364975"/>
    <w:rPr>
      <w:sz w:val="16"/>
      <w:szCs w:val="16"/>
    </w:rPr>
  </w:style>
  <w:style w:type="paragraph" w:styleId="CommentText">
    <w:name w:val="annotation text"/>
    <w:basedOn w:val="Normal"/>
    <w:link w:val="CommentTextChar"/>
    <w:rsid w:val="00364975"/>
    <w:rPr>
      <w:sz w:val="20"/>
    </w:rPr>
  </w:style>
  <w:style w:type="character" w:customStyle="1" w:styleId="CommentTextChar">
    <w:name w:val="Comment Text Char"/>
    <w:basedOn w:val="DefaultParagraphFont"/>
    <w:link w:val="CommentText"/>
    <w:rsid w:val="00364975"/>
    <w:rPr>
      <w:lang w:val="it-IT"/>
    </w:rPr>
  </w:style>
  <w:style w:type="paragraph" w:styleId="CommentSubject">
    <w:name w:val="annotation subject"/>
    <w:basedOn w:val="CommentText"/>
    <w:next w:val="CommentText"/>
    <w:link w:val="CommentSubjectChar"/>
    <w:rsid w:val="00364975"/>
    <w:rPr>
      <w:b/>
      <w:bCs/>
    </w:rPr>
  </w:style>
  <w:style w:type="character" w:customStyle="1" w:styleId="CommentSubjectChar">
    <w:name w:val="Comment Subject Char"/>
    <w:basedOn w:val="CommentTextChar"/>
    <w:link w:val="CommentSubject"/>
    <w:rsid w:val="00364975"/>
    <w:rPr>
      <w:b/>
      <w:bCs/>
      <w:lang w:val="it-IT"/>
    </w:rPr>
  </w:style>
  <w:style w:type="character" w:styleId="UnresolvedMention">
    <w:name w:val="Unresolved Mention"/>
    <w:basedOn w:val="DefaultParagraphFont"/>
    <w:uiPriority w:val="99"/>
    <w:semiHidden/>
    <w:unhideWhenUsed/>
    <w:rsid w:val="00A02DB0"/>
    <w:rPr>
      <w:color w:val="605E5C"/>
      <w:shd w:val="clear" w:color="auto" w:fill="E1DFDD"/>
    </w:rPr>
  </w:style>
  <w:style w:type="character" w:styleId="FollowedHyperlink">
    <w:name w:val="FollowedHyperlink"/>
    <w:basedOn w:val="DefaultParagraphFont"/>
    <w:rsid w:val="00A02DB0"/>
    <w:rPr>
      <w:color w:val="954F72" w:themeColor="followedHyperlink"/>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830199"/>
    <w:rPr>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1698</Words>
  <Characters>10126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AR_post vote</cp:lastModifiedBy>
  <cp:revision>2</cp:revision>
  <cp:lastPrinted>2004-11-19T15:42:00Z</cp:lastPrinted>
  <dcterms:created xsi:type="dcterms:W3CDTF">2026-04-29T15:14:00Z</dcterms:created>
  <dcterms:modified xsi:type="dcterms:W3CDTF">2026-04-29T15:14:00Z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A10-0098/2026</vt:lpwstr>
  </property>
  <property fmtid="{D5CDD505-2E9C-101B-9397-08002B2CF9AE}" pid="4" name="&lt;Type&gt;">
    <vt:lpwstr>RR</vt:lpwstr>
  </property>
</Properties>
</file>