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D23" w14:paraId="45A32DB0" w14:textId="77777777" w:rsidTr="0010095E">
        <w:trPr>
          <w:trHeight w:hRule="exact" w:val="1418"/>
        </w:trPr>
        <w:tc>
          <w:tcPr>
            <w:tcW w:w="6804" w:type="dxa"/>
            <w:shd w:val="clear" w:color="auto" w:fill="auto"/>
            <w:vAlign w:val="center"/>
          </w:tcPr>
          <w:p w14:paraId="3E917D8C" w14:textId="77777777" w:rsidR="00751A4A" w:rsidRPr="00DC0D23" w:rsidRDefault="00B75CE1" w:rsidP="0010095E">
            <w:pPr>
              <w:pStyle w:val="EPName"/>
            </w:pPr>
            <w:r w:rsidRPr="00DC0D23">
              <w:t>Eiropas Parlaments</w:t>
            </w:r>
          </w:p>
          <w:p w14:paraId="6E8A2E7C" w14:textId="77777777" w:rsidR="00751A4A" w:rsidRPr="00DC0D23" w:rsidRDefault="005F1B17" w:rsidP="005F1B17">
            <w:pPr>
              <w:pStyle w:val="EPTerm"/>
              <w:rPr>
                <w:rStyle w:val="HideTWBExt"/>
                <w:noProof w:val="0"/>
                <w:vanish w:val="0"/>
                <w:color w:val="auto"/>
              </w:rPr>
            </w:pPr>
            <w:r w:rsidRPr="00DC0D23">
              <w:t>2024</w:t>
            </w:r>
            <w:r w:rsidR="00817416" w:rsidRPr="00DC0D23">
              <w:t>-202</w:t>
            </w:r>
            <w:r w:rsidRPr="00DC0D23">
              <w:t>9</w:t>
            </w:r>
          </w:p>
        </w:tc>
        <w:tc>
          <w:tcPr>
            <w:tcW w:w="2268" w:type="dxa"/>
            <w:shd w:val="clear" w:color="auto" w:fill="auto"/>
          </w:tcPr>
          <w:p w14:paraId="462647F4" w14:textId="77777777" w:rsidR="00751A4A" w:rsidRPr="00DC0D23" w:rsidRDefault="00187494" w:rsidP="0010095E">
            <w:pPr>
              <w:pStyle w:val="EPLogo"/>
            </w:pPr>
            <w:r w:rsidRPr="00DC0D23">
              <w:rPr>
                <w:noProof/>
                <w:lang w:eastAsia="ja-JP"/>
              </w:rPr>
              <w:drawing>
                <wp:inline distT="0" distB="0" distL="0" distR="0" wp14:anchorId="22C154C0" wp14:editId="6DDD04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C8ECF" w14:textId="77777777" w:rsidR="00D058B8" w:rsidRPr="00DC0D23" w:rsidRDefault="00D058B8" w:rsidP="004C5D52">
      <w:pPr>
        <w:pStyle w:val="LineTop"/>
      </w:pPr>
    </w:p>
    <w:p w14:paraId="029F54D3" w14:textId="77777777" w:rsidR="00680577" w:rsidRPr="00DC0D23" w:rsidRDefault="00B75CE1" w:rsidP="00680577">
      <w:pPr>
        <w:pStyle w:val="EPBodyTA1"/>
      </w:pPr>
      <w:r w:rsidRPr="00DC0D23">
        <w:t>PIEŅEMTIE TEKSTI</w:t>
      </w:r>
    </w:p>
    <w:p w14:paraId="3585C9EA" w14:textId="77777777" w:rsidR="00D058B8" w:rsidRPr="00DC0D23" w:rsidRDefault="00D058B8" w:rsidP="00D058B8">
      <w:pPr>
        <w:pStyle w:val="LineBottom"/>
      </w:pPr>
    </w:p>
    <w:p w14:paraId="689FF6BE" w14:textId="68DF56FC" w:rsidR="00B75CE1" w:rsidRPr="00DC0D23" w:rsidRDefault="00B75CE1" w:rsidP="00B75CE1">
      <w:pPr>
        <w:pStyle w:val="ATHeading1"/>
      </w:pPr>
      <w:bookmarkStart w:id="0" w:name="TANumber"/>
      <w:r w:rsidRPr="00DC0D23">
        <w:t>P10_TA(2026)0</w:t>
      </w:r>
      <w:r w:rsidR="00BD6A03" w:rsidRPr="00DC0D23">
        <w:t>139</w:t>
      </w:r>
      <w:bookmarkEnd w:id="0"/>
    </w:p>
    <w:p w14:paraId="5BC9B49C" w14:textId="65CEF44E" w:rsidR="00B75CE1" w:rsidRPr="00DC0D23" w:rsidRDefault="00221018" w:rsidP="00B75CE1">
      <w:pPr>
        <w:pStyle w:val="ATHeading2"/>
      </w:pPr>
      <w:r w:rsidRPr="00DC0D23">
        <w:rPr>
          <w:bCs/>
        </w:rPr>
        <w:t>Tirgus stabilitātes rezerve ēku, autotransporta un papildu sektoros</w:t>
      </w:r>
    </w:p>
    <w:p w14:paraId="6422997D" w14:textId="77777777" w:rsidR="00B75CE1" w:rsidRPr="00DC0D23" w:rsidRDefault="00B75CE1" w:rsidP="00B75CE1">
      <w:pPr>
        <w:rPr>
          <w:i/>
          <w:vanish/>
        </w:rPr>
      </w:pPr>
      <w:r w:rsidRPr="00DC0D23">
        <w:rPr>
          <w:i/>
        </w:rPr>
        <w:fldChar w:fldCharType="begin"/>
      </w:r>
      <w:r w:rsidRPr="00DC0D23">
        <w:rPr>
          <w:i/>
        </w:rPr>
        <w:instrText xml:space="preserve"> TC"(</w:instrText>
      </w:r>
      <w:bookmarkStart w:id="1" w:name="DocNumber"/>
      <w:r w:rsidRPr="00DC0D23">
        <w:rPr>
          <w:i/>
        </w:rPr>
        <w:instrText>A10-0098/2026</w:instrText>
      </w:r>
      <w:bookmarkEnd w:id="1"/>
      <w:r w:rsidRPr="00DC0D23">
        <w:rPr>
          <w:i/>
        </w:rPr>
        <w:instrText xml:space="preserve"> - Referente: </w:instrText>
      </w:r>
      <w:proofErr w:type="spellStart"/>
      <w:r w:rsidRPr="00DC0D23">
        <w:rPr>
          <w:i/>
        </w:rPr>
        <w:instrText>Danuše</w:instrText>
      </w:r>
      <w:proofErr w:type="spellEnd"/>
      <w:r w:rsidRPr="00DC0D23">
        <w:rPr>
          <w:i/>
        </w:rPr>
        <w:instrText xml:space="preserve"> </w:instrText>
      </w:r>
      <w:proofErr w:type="spellStart"/>
      <w:r w:rsidRPr="00DC0D23">
        <w:rPr>
          <w:i/>
        </w:rPr>
        <w:instrText>Nerudová</w:instrText>
      </w:r>
      <w:proofErr w:type="spellEnd"/>
      <w:r w:rsidRPr="00DC0D23">
        <w:rPr>
          <w:i/>
        </w:rPr>
        <w:instrText xml:space="preserve">)"\l3 \n&gt; \* MERGEFORMAT </w:instrText>
      </w:r>
      <w:r w:rsidRPr="00DC0D23">
        <w:rPr>
          <w:i/>
        </w:rPr>
        <w:fldChar w:fldCharType="end"/>
      </w:r>
    </w:p>
    <w:p w14:paraId="1E6741EE" w14:textId="77777777" w:rsidR="00B75CE1" w:rsidRPr="00DC0D23" w:rsidRDefault="00B75CE1" w:rsidP="00B75CE1">
      <w:pPr>
        <w:rPr>
          <w:vanish/>
        </w:rPr>
      </w:pPr>
      <w:bookmarkStart w:id="2" w:name="Commission"/>
      <w:r w:rsidRPr="00DC0D23">
        <w:rPr>
          <w:vanish/>
        </w:rPr>
        <w:t>Vides, klimata un pārtikas nekaitīguma komiteja</w:t>
      </w:r>
      <w:bookmarkEnd w:id="2"/>
    </w:p>
    <w:p w14:paraId="7A59020D" w14:textId="7DC02805" w:rsidR="00B75CE1" w:rsidRPr="00DC0D23" w:rsidRDefault="00D00EBA" w:rsidP="00B75CE1">
      <w:pPr>
        <w:rPr>
          <w:vanish/>
        </w:rPr>
      </w:pPr>
      <w:bookmarkStart w:id="3" w:name="PE"/>
      <w:r w:rsidRPr="00DC0D23">
        <w:rPr>
          <w:vanish/>
        </w:rPr>
        <w:t>PE783.023</w:t>
      </w:r>
      <w:bookmarkEnd w:id="3"/>
    </w:p>
    <w:p w14:paraId="43B0AE93" w14:textId="7166E3C5" w:rsidR="00B75CE1" w:rsidRPr="00DC0D23" w:rsidRDefault="00B75CE1" w:rsidP="00B75CE1">
      <w:pPr>
        <w:pStyle w:val="ATHeading3"/>
      </w:pPr>
      <w:bookmarkStart w:id="4" w:name="Sujet"/>
      <w:r w:rsidRPr="00DC0D23">
        <w:t xml:space="preserve">Eiropas Parlamenta 2026. gada </w:t>
      </w:r>
      <w:r w:rsidR="00F25FC9" w:rsidRPr="00DC0D23">
        <w:t xml:space="preserve">29. </w:t>
      </w:r>
      <w:r w:rsidR="00BD6A03" w:rsidRPr="00DC0D23">
        <w:t xml:space="preserve">aprīlī pieņemtie grozījumi priekšlikumā Eiropas Parlamenta un Padomes </w:t>
      </w:r>
      <w:r w:rsidRPr="00DC0D23">
        <w:t>lēmumam, ar ko groza Lēmumu (ES) 2015/1814 attiecībā uz tirgus stabilitātes rezerves izmantošanu ēku, autotransporta un papildu sektoros</w:t>
      </w:r>
      <w:bookmarkEnd w:id="4"/>
      <w:r w:rsidRPr="00DC0D23">
        <w:t xml:space="preserve"> </w:t>
      </w:r>
      <w:bookmarkStart w:id="5" w:name="References"/>
      <w:r w:rsidRPr="00DC0D23">
        <w:t>(COM(2025)0738 – C10-0320/2025 – 2025/0380(COD))</w:t>
      </w:r>
      <w:bookmarkEnd w:id="5"/>
      <w:r w:rsidR="00BD6A03" w:rsidRPr="00DC0D23">
        <w:t>)</w:t>
      </w:r>
      <w:r w:rsidR="00BD6A03" w:rsidRPr="00DC0D23">
        <w:rPr>
          <w:rStyle w:val="FootnoteReference"/>
        </w:rPr>
        <w:footnoteReference w:id="1"/>
      </w:r>
    </w:p>
    <w:p w14:paraId="7D179D90" w14:textId="77777777" w:rsidR="003B4857" w:rsidRPr="00DC0D23" w:rsidRDefault="003B4857" w:rsidP="003B4857">
      <w:pPr>
        <w:pStyle w:val="NormalBold"/>
      </w:pPr>
      <w:r w:rsidRPr="00DC0D23">
        <w:t>(Parastā likumdošanas procedūra: pirmais lasījums)</w:t>
      </w:r>
    </w:p>
    <w:p w14:paraId="4493A3A2" w14:textId="77777777" w:rsidR="003B4857" w:rsidRPr="00DC0D23" w:rsidRDefault="003B4857" w:rsidP="003B4857">
      <w:pPr>
        <w:pStyle w:val="NormalHanging12a"/>
      </w:pPr>
    </w:p>
    <w:p w14:paraId="6EF94DDF" w14:textId="77777777" w:rsidR="003B4857" w:rsidRPr="00DC0D23" w:rsidRDefault="003B4857" w:rsidP="003B4857"/>
    <w:p w14:paraId="2261F083" w14:textId="77777777" w:rsidR="00BD6A03" w:rsidRPr="00DC0D23" w:rsidRDefault="00BD6A03">
      <w:pPr>
        <w:widowControl/>
        <w:rPr>
          <w:b/>
        </w:rPr>
      </w:pPr>
      <w:r w:rsidRPr="00DC0D23">
        <w:br w:type="page"/>
      </w:r>
    </w:p>
    <w:p w14:paraId="6D2D63E9" w14:textId="29184027" w:rsidR="003B4857" w:rsidRPr="00DC0D23" w:rsidRDefault="003B4857" w:rsidP="003B4857">
      <w:pPr>
        <w:pStyle w:val="AmNumberTabs"/>
        <w:keepNext/>
      </w:pPr>
      <w:r w:rsidRPr="00DC0D23">
        <w:lastRenderedPageBreak/>
        <w:t>Grozījums Nr.</w:t>
      </w:r>
      <w:r w:rsidRPr="00DC0D23">
        <w:tab/>
      </w:r>
      <w:r w:rsidRPr="00DC0D23">
        <w:tab/>
        <w:t>1</w:t>
      </w:r>
    </w:p>
    <w:p w14:paraId="015EE440" w14:textId="77777777" w:rsidR="003B4857" w:rsidRPr="00DC0D23" w:rsidRDefault="003B4857" w:rsidP="003B4857">
      <w:pPr>
        <w:pStyle w:val="NormalBold"/>
      </w:pPr>
      <w:r w:rsidRPr="00DC0D23">
        <w:t>Lēmuma priekšlikums</w:t>
      </w:r>
    </w:p>
    <w:p w14:paraId="30670F71" w14:textId="77777777" w:rsidR="003B4857" w:rsidRPr="00DC0D23" w:rsidRDefault="003B4857" w:rsidP="003B4857">
      <w:pPr>
        <w:pStyle w:val="NormalBold"/>
      </w:pPr>
      <w:r w:rsidRPr="00DC0D23">
        <w:t>1.a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2724A8B9" w14:textId="77777777" w:rsidTr="00AD09C9">
        <w:trPr>
          <w:trHeight w:val="240"/>
          <w:jc w:val="center"/>
        </w:trPr>
        <w:tc>
          <w:tcPr>
            <w:tcW w:w="9752" w:type="dxa"/>
            <w:gridSpan w:val="2"/>
            <w:tcBorders>
              <w:top w:val="nil"/>
              <w:left w:val="nil"/>
              <w:bottom w:val="nil"/>
              <w:right w:val="nil"/>
            </w:tcBorders>
          </w:tcPr>
          <w:p w14:paraId="7CC8319F" w14:textId="77777777" w:rsidR="003B4857" w:rsidRPr="00DC0D23" w:rsidRDefault="003B4857" w:rsidP="00AD09C9"/>
        </w:tc>
      </w:tr>
      <w:tr w:rsidR="003B4857" w:rsidRPr="00DC0D23" w14:paraId="31FE643F" w14:textId="77777777" w:rsidTr="00AD09C9">
        <w:trPr>
          <w:trHeight w:val="240"/>
          <w:jc w:val="center"/>
        </w:trPr>
        <w:tc>
          <w:tcPr>
            <w:tcW w:w="4876" w:type="dxa"/>
            <w:tcBorders>
              <w:top w:val="nil"/>
              <w:left w:val="nil"/>
              <w:bottom w:val="nil"/>
              <w:right w:val="nil"/>
            </w:tcBorders>
            <w:hideMark/>
          </w:tcPr>
          <w:p w14:paraId="44697821"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1D32694D" w14:textId="77777777" w:rsidR="003B4857" w:rsidRPr="00DC0D23" w:rsidRDefault="003B4857" w:rsidP="00AD09C9">
            <w:pPr>
              <w:pStyle w:val="AmColumnHeading"/>
            </w:pPr>
            <w:r w:rsidRPr="00DC0D23">
              <w:t>Grozījums</w:t>
            </w:r>
          </w:p>
        </w:tc>
      </w:tr>
      <w:tr w:rsidR="003B4857" w:rsidRPr="00DC0D23" w14:paraId="64FF84B6" w14:textId="77777777" w:rsidTr="00AD09C9">
        <w:trPr>
          <w:jc w:val="center"/>
        </w:trPr>
        <w:tc>
          <w:tcPr>
            <w:tcW w:w="4876" w:type="dxa"/>
            <w:tcBorders>
              <w:top w:val="nil"/>
              <w:left w:val="nil"/>
              <w:bottom w:val="nil"/>
              <w:right w:val="nil"/>
            </w:tcBorders>
          </w:tcPr>
          <w:p w14:paraId="0758A459" w14:textId="77777777" w:rsidR="003B4857" w:rsidRPr="00DC0D23" w:rsidRDefault="003B4857" w:rsidP="00AD09C9">
            <w:pPr>
              <w:pStyle w:val="Normal6a"/>
            </w:pPr>
          </w:p>
        </w:tc>
        <w:tc>
          <w:tcPr>
            <w:tcW w:w="4876" w:type="dxa"/>
            <w:tcBorders>
              <w:top w:val="nil"/>
              <w:left w:val="nil"/>
              <w:bottom w:val="nil"/>
              <w:right w:val="nil"/>
            </w:tcBorders>
            <w:hideMark/>
          </w:tcPr>
          <w:p w14:paraId="6EA5AD8A" w14:textId="77777777" w:rsidR="003B4857" w:rsidRPr="00DC0D23" w:rsidRDefault="003B4857" w:rsidP="00AD09C9">
            <w:pPr>
              <w:pStyle w:val="Normal6a"/>
            </w:pPr>
            <w:r w:rsidRPr="00DC0D23">
              <w:rPr>
                <w:b/>
                <w:i/>
              </w:rPr>
              <w:t>(1a)</w:t>
            </w:r>
            <w:r w:rsidRPr="00DC0D23">
              <w:tab/>
            </w:r>
            <w:r w:rsidRPr="00DC0D23">
              <w:rPr>
                <w:b/>
                <w:i/>
              </w:rPr>
              <w:t xml:space="preserve">Eiropadomes 2019. gada 12. decembra secinājumos ir apstiprināts mērķis līdz 2050. gadam panākt </w:t>
            </w:r>
            <w:proofErr w:type="spellStart"/>
            <w:r w:rsidRPr="00DC0D23">
              <w:rPr>
                <w:b/>
                <w:i/>
              </w:rPr>
              <w:t>klimatneitrālu</w:t>
            </w:r>
            <w:proofErr w:type="spellEnd"/>
            <w:r w:rsidRPr="00DC0D23">
              <w:rPr>
                <w:b/>
                <w:i/>
              </w:rPr>
              <w:t xml:space="preserve"> Savienību saskaņā ar Parīzes nolīguma mērķiem.</w:t>
            </w:r>
          </w:p>
        </w:tc>
      </w:tr>
    </w:tbl>
    <w:p w14:paraId="39932471" w14:textId="77777777" w:rsidR="003B4857" w:rsidRPr="00DC0D23" w:rsidRDefault="003B4857" w:rsidP="003B4857"/>
    <w:p w14:paraId="5CE9D339" w14:textId="77777777" w:rsidR="003B4857" w:rsidRPr="00DC0D23" w:rsidRDefault="003B4857" w:rsidP="003B4857">
      <w:pPr>
        <w:pStyle w:val="AmNumberTabs"/>
      </w:pPr>
      <w:r w:rsidRPr="00DC0D23">
        <w:t>Grozījums Nr.</w:t>
      </w:r>
      <w:r w:rsidRPr="00DC0D23">
        <w:tab/>
      </w:r>
      <w:r w:rsidRPr="00DC0D23">
        <w:tab/>
        <w:t>2</w:t>
      </w:r>
    </w:p>
    <w:p w14:paraId="11591930" w14:textId="77777777" w:rsidR="003B4857" w:rsidRPr="00DC0D23" w:rsidRDefault="003B4857" w:rsidP="003B4857">
      <w:pPr>
        <w:pStyle w:val="NormalBold"/>
      </w:pPr>
      <w:r w:rsidRPr="00DC0D23">
        <w:t>Lēmuma priekšlikums</w:t>
      </w:r>
    </w:p>
    <w:p w14:paraId="2227F3FF" w14:textId="77777777" w:rsidR="003B4857" w:rsidRPr="00DC0D23" w:rsidRDefault="003B4857" w:rsidP="003B4857">
      <w:pPr>
        <w:pStyle w:val="NormalBold"/>
      </w:pPr>
      <w:r w:rsidRPr="00DC0D23">
        <w:t>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2A94DA3D" w14:textId="77777777" w:rsidTr="00AD09C9">
        <w:trPr>
          <w:trHeight w:val="240"/>
          <w:jc w:val="center"/>
        </w:trPr>
        <w:tc>
          <w:tcPr>
            <w:tcW w:w="9752" w:type="dxa"/>
            <w:gridSpan w:val="2"/>
            <w:tcBorders>
              <w:top w:val="nil"/>
              <w:left w:val="nil"/>
              <w:bottom w:val="nil"/>
              <w:right w:val="nil"/>
            </w:tcBorders>
          </w:tcPr>
          <w:p w14:paraId="71C841E5" w14:textId="77777777" w:rsidR="003B4857" w:rsidRPr="00DC0D23" w:rsidRDefault="003B4857" w:rsidP="00AD09C9"/>
        </w:tc>
      </w:tr>
      <w:tr w:rsidR="003B4857" w:rsidRPr="00DC0D23" w14:paraId="23F058D0" w14:textId="77777777" w:rsidTr="00AD09C9">
        <w:trPr>
          <w:trHeight w:val="240"/>
          <w:jc w:val="center"/>
        </w:trPr>
        <w:tc>
          <w:tcPr>
            <w:tcW w:w="4876" w:type="dxa"/>
            <w:tcBorders>
              <w:top w:val="nil"/>
              <w:left w:val="nil"/>
              <w:bottom w:val="nil"/>
              <w:right w:val="nil"/>
            </w:tcBorders>
            <w:hideMark/>
          </w:tcPr>
          <w:p w14:paraId="2B852D4E"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2F27C654" w14:textId="77777777" w:rsidR="003B4857" w:rsidRPr="00DC0D23" w:rsidRDefault="003B4857" w:rsidP="00AD09C9">
            <w:pPr>
              <w:pStyle w:val="AmColumnHeading"/>
            </w:pPr>
            <w:r w:rsidRPr="00DC0D23">
              <w:t>Grozījums</w:t>
            </w:r>
          </w:p>
        </w:tc>
      </w:tr>
      <w:tr w:rsidR="003B4857" w:rsidRPr="00DC0D23" w14:paraId="6887FC5F" w14:textId="77777777" w:rsidTr="00AD09C9">
        <w:trPr>
          <w:jc w:val="center"/>
        </w:trPr>
        <w:tc>
          <w:tcPr>
            <w:tcW w:w="4876" w:type="dxa"/>
            <w:tcBorders>
              <w:top w:val="nil"/>
              <w:left w:val="nil"/>
              <w:bottom w:val="nil"/>
              <w:right w:val="nil"/>
            </w:tcBorders>
            <w:hideMark/>
          </w:tcPr>
          <w:p w14:paraId="568BE44D" w14:textId="77777777" w:rsidR="003B4857" w:rsidRPr="00DC0D23" w:rsidRDefault="003B4857" w:rsidP="00AD09C9">
            <w:pPr>
              <w:pStyle w:val="Normal6a"/>
            </w:pPr>
            <w:r w:rsidRPr="00DC0D23">
              <w:t>(3)</w:t>
            </w:r>
            <w:r w:rsidRPr="00DC0D23">
              <w:tab/>
              <w:t xml:space="preserve">Analīze, kas veikta par rezerves paredzamo darbību, ņemot vērā jaunāko informāciju, liecina, ka </w:t>
            </w:r>
            <w:proofErr w:type="spellStart"/>
            <w:r w:rsidRPr="00DC0D23">
              <w:t>mērķorientēti</w:t>
            </w:r>
            <w:proofErr w:type="spellEnd"/>
            <w:r w:rsidRPr="00DC0D23">
              <w:t xml:space="preserve"> grozījumi dažos parametros palīdzētu uzlabot tirgus prognozējamību un stabilizētu cenu svārstību jaunās sistēmas darbības pirmajos gados.</w:t>
            </w:r>
          </w:p>
        </w:tc>
        <w:tc>
          <w:tcPr>
            <w:tcW w:w="4876" w:type="dxa"/>
            <w:tcBorders>
              <w:top w:val="nil"/>
              <w:left w:val="nil"/>
              <w:bottom w:val="nil"/>
              <w:right w:val="nil"/>
            </w:tcBorders>
            <w:hideMark/>
          </w:tcPr>
          <w:p w14:paraId="4FC2356A" w14:textId="77777777" w:rsidR="003B4857" w:rsidRPr="00DC0D23" w:rsidRDefault="003B4857" w:rsidP="00AD09C9">
            <w:pPr>
              <w:pStyle w:val="Normal6a"/>
            </w:pPr>
            <w:r w:rsidRPr="00DC0D23">
              <w:t>(3)</w:t>
            </w:r>
            <w:r w:rsidRPr="00DC0D23">
              <w:tab/>
              <w:t xml:space="preserve">Analīze, kas veikta par rezerves paredzamo darbību, ņemot vērā jaunāko informāciju, liecina, ka </w:t>
            </w:r>
            <w:proofErr w:type="spellStart"/>
            <w:r w:rsidRPr="00DC0D23">
              <w:t>mērķorientēti</w:t>
            </w:r>
            <w:proofErr w:type="spellEnd"/>
            <w:r w:rsidRPr="00DC0D23">
              <w:t xml:space="preserve"> grozījumi dažos parametros palīdzētu uzlabot tirgus prognozējamību un stabilizētu cenu svārstību jaunās sistēmas darbības pirmajos gados. </w:t>
            </w:r>
            <w:r w:rsidRPr="00DC0D23">
              <w:rPr>
                <w:b/>
                <w:i/>
              </w:rPr>
              <w:t xml:space="preserve">Lai šādi grozījumi nekavētu Savienības dekarbonizācijas centienus, ir vajadzīga dalībvalstu papildu rīcība. Saskaņā ar Eiropas Centrālās bankas sniegto informāciju zaļās investīcijas Savienībā joprojām ir zem līmeņa, kas nepieciešams, lai sasniegtu 2030. gadam noteikto dekarbonizācijas </w:t>
            </w:r>
            <w:proofErr w:type="spellStart"/>
            <w:r w:rsidRPr="00DC0D23">
              <w:rPr>
                <w:b/>
                <w:i/>
              </w:rPr>
              <w:t>mērķrādītāju</w:t>
            </w:r>
            <w:proofErr w:type="spellEnd"/>
            <w:r w:rsidRPr="00DC0D23">
              <w:rPr>
                <w:b/>
                <w:i/>
              </w:rPr>
              <w:t>. Tāpēc dalībvalstīm ir jāsaglabā modrība attiecībā uz zaļā finansējuma deficīta risku.</w:t>
            </w:r>
          </w:p>
        </w:tc>
      </w:tr>
    </w:tbl>
    <w:p w14:paraId="43E9B2AF" w14:textId="77777777" w:rsidR="003B4857" w:rsidRPr="00DC0D23" w:rsidRDefault="003B4857" w:rsidP="003B4857"/>
    <w:p w14:paraId="7778CC2C" w14:textId="77777777" w:rsidR="003B4857" w:rsidRPr="00DC0D23" w:rsidRDefault="003B4857" w:rsidP="003B4857">
      <w:pPr>
        <w:pStyle w:val="AmNumberTabs"/>
      </w:pPr>
      <w:r w:rsidRPr="00DC0D23">
        <w:t>Grozījums Nr.</w:t>
      </w:r>
      <w:r w:rsidRPr="00DC0D23">
        <w:tab/>
      </w:r>
      <w:r w:rsidRPr="00DC0D23">
        <w:tab/>
        <w:t>3</w:t>
      </w:r>
    </w:p>
    <w:p w14:paraId="703DA3B3" w14:textId="77777777" w:rsidR="003B4857" w:rsidRPr="00DC0D23" w:rsidRDefault="003B4857" w:rsidP="003B4857">
      <w:pPr>
        <w:pStyle w:val="NormalBold"/>
      </w:pPr>
      <w:r w:rsidRPr="00DC0D23">
        <w:t>Lēmuma priekšlikums</w:t>
      </w:r>
    </w:p>
    <w:p w14:paraId="07BE03A4" w14:textId="77777777" w:rsidR="003B4857" w:rsidRPr="00DC0D23" w:rsidRDefault="003B4857" w:rsidP="003B4857">
      <w:pPr>
        <w:pStyle w:val="NormalBold"/>
      </w:pPr>
      <w:r w:rsidRPr="00DC0D23">
        <w:t>3.a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186B9DB1" w14:textId="77777777" w:rsidTr="00AD09C9">
        <w:trPr>
          <w:trHeight w:val="240"/>
          <w:jc w:val="center"/>
        </w:trPr>
        <w:tc>
          <w:tcPr>
            <w:tcW w:w="9752" w:type="dxa"/>
            <w:gridSpan w:val="2"/>
            <w:tcBorders>
              <w:top w:val="nil"/>
              <w:left w:val="nil"/>
              <w:bottom w:val="nil"/>
              <w:right w:val="nil"/>
            </w:tcBorders>
          </w:tcPr>
          <w:p w14:paraId="1F9E5690" w14:textId="77777777" w:rsidR="003B4857" w:rsidRPr="00DC0D23" w:rsidRDefault="003B4857" w:rsidP="00AD09C9"/>
        </w:tc>
      </w:tr>
      <w:tr w:rsidR="003B4857" w:rsidRPr="00DC0D23" w14:paraId="2A62993B" w14:textId="77777777" w:rsidTr="00AD09C9">
        <w:trPr>
          <w:trHeight w:val="240"/>
          <w:jc w:val="center"/>
        </w:trPr>
        <w:tc>
          <w:tcPr>
            <w:tcW w:w="4876" w:type="dxa"/>
            <w:tcBorders>
              <w:top w:val="nil"/>
              <w:left w:val="nil"/>
              <w:bottom w:val="nil"/>
              <w:right w:val="nil"/>
            </w:tcBorders>
            <w:hideMark/>
          </w:tcPr>
          <w:p w14:paraId="738D5ECC"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117AAD9A" w14:textId="77777777" w:rsidR="003B4857" w:rsidRPr="00DC0D23" w:rsidRDefault="003B4857" w:rsidP="00AD09C9">
            <w:pPr>
              <w:pStyle w:val="AmColumnHeading"/>
            </w:pPr>
            <w:r w:rsidRPr="00DC0D23">
              <w:t>Grozījums</w:t>
            </w:r>
          </w:p>
        </w:tc>
      </w:tr>
      <w:tr w:rsidR="003B4857" w:rsidRPr="00DC0D23" w14:paraId="43D4AA3E" w14:textId="77777777" w:rsidTr="00AD09C9">
        <w:trPr>
          <w:jc w:val="center"/>
        </w:trPr>
        <w:tc>
          <w:tcPr>
            <w:tcW w:w="4876" w:type="dxa"/>
            <w:tcBorders>
              <w:top w:val="nil"/>
              <w:left w:val="nil"/>
              <w:bottom w:val="nil"/>
              <w:right w:val="nil"/>
            </w:tcBorders>
          </w:tcPr>
          <w:p w14:paraId="239D2D53" w14:textId="77777777" w:rsidR="003B4857" w:rsidRPr="00DC0D23" w:rsidRDefault="003B4857" w:rsidP="00AD09C9">
            <w:pPr>
              <w:pStyle w:val="Normal6a"/>
            </w:pPr>
          </w:p>
        </w:tc>
        <w:tc>
          <w:tcPr>
            <w:tcW w:w="4876" w:type="dxa"/>
            <w:tcBorders>
              <w:top w:val="nil"/>
              <w:left w:val="nil"/>
              <w:bottom w:val="nil"/>
              <w:right w:val="nil"/>
            </w:tcBorders>
            <w:hideMark/>
          </w:tcPr>
          <w:p w14:paraId="5FE0882A" w14:textId="77777777" w:rsidR="003B4857" w:rsidRPr="00DC0D23" w:rsidRDefault="003B4857" w:rsidP="00AD09C9">
            <w:pPr>
              <w:pStyle w:val="Normal6a"/>
            </w:pPr>
            <w:r w:rsidRPr="00DC0D23">
              <w:rPr>
                <w:b/>
                <w:i/>
              </w:rPr>
              <w:t>(3a)</w:t>
            </w:r>
            <w:r w:rsidRPr="00DC0D23">
              <w:tab/>
            </w:r>
            <w:r w:rsidRPr="00DC0D23">
              <w:rPr>
                <w:b/>
                <w:i/>
              </w:rPr>
              <w:t xml:space="preserve">Papildus emisijas kvotu tirdzniecības sistēmas īstenošanai ēku, autotransporta un papildu sektoros ir vajadzīgi dekarbonizācijas pasākumi, kas ir visefektīvākais rīks, ar kuru var palīdzēt </w:t>
            </w:r>
            <w:r w:rsidRPr="00DC0D23">
              <w:rPr>
                <w:b/>
                <w:i/>
              </w:rPr>
              <w:lastRenderedPageBreak/>
              <w:t>mazināt mājsaimniecību atkarību no fosilā kurināmā un degvielas un tādējādi arī mazināt ETS2 ietekmi uz patērētājiem, ņemot vērā to, ka kurināmā un degvielas pieprasījums saistībā ar ēkām un transportu īstermiņā ir visai neelastīgs. Dalībvalstīm ir pienākums ieņēmumus no kvotu izsolēm izmantot nolūkiem, kas noteikti Direktīvas 2003/87/EK 30.d panta 6. punktā, un par prioritāti noteikt darbības, kas var palīdzēt risināt ETS2 emisijas kvotu tirdzniecības sociālos aspektus. Tāpēc būtu lietderīgi, ja dalībvalstis ieņēmumus no to kvotu izsolēm, kas atbrīvotas no rezerves, izmantotu, lai papildinātu savus sociālos klimata plānus. Tikpat svarīgi ir, lai Komisija papildinātu savu analīzi par galīgajiem atjauninātajiem nacionālajiem enerģētikas un klimata plāniem un katrai dalībvalstij noteiktu nozaru dekarbonizācijas pasākumus un labākus veidus, kā izmantot ETS ieņēmumus, lai palīdzētu samazināt pieprasījumu pēc ETS2 kvotām. Tāpat ir svarīgi stiprināt EIB iepriekšējas finansēšanas mehānismu un apsvērt papildu pasākumus, ar kuriem palielina Sociālā klimata fonda budžetu, lai nodrošinātu, ka finanšu atbalsts mājsaimniecībām tiek sniegts laikus un tādā līmenī, kas atspoguļo ETS2 cenu attīstību. Komisijai arī jāapsver Sociālā klimata fonda darbības laika pagarināšana.</w:t>
            </w:r>
          </w:p>
        </w:tc>
      </w:tr>
    </w:tbl>
    <w:p w14:paraId="5093F772" w14:textId="77777777" w:rsidR="003B4857" w:rsidRPr="00DC0D23" w:rsidRDefault="003B4857" w:rsidP="003B4857"/>
    <w:p w14:paraId="5788B1F8" w14:textId="77777777" w:rsidR="003B4857" w:rsidRPr="00DC0D23" w:rsidRDefault="003B4857" w:rsidP="003B4857">
      <w:pPr>
        <w:pStyle w:val="AmNumberTabs"/>
      </w:pPr>
      <w:r w:rsidRPr="00DC0D23">
        <w:t>Grozījums Nr.</w:t>
      </w:r>
      <w:r w:rsidRPr="00DC0D23">
        <w:tab/>
      </w:r>
      <w:r w:rsidRPr="00DC0D23">
        <w:tab/>
        <w:t>4</w:t>
      </w:r>
    </w:p>
    <w:p w14:paraId="322063F7" w14:textId="77777777" w:rsidR="003B4857" w:rsidRPr="00DC0D23" w:rsidRDefault="003B4857" w:rsidP="003B4857">
      <w:pPr>
        <w:pStyle w:val="NormalBold"/>
      </w:pPr>
      <w:r w:rsidRPr="00DC0D23">
        <w:t>Lēmuma priekšlikums</w:t>
      </w:r>
    </w:p>
    <w:p w14:paraId="1FA7D1A6" w14:textId="77777777" w:rsidR="003B4857" w:rsidRPr="00DC0D23" w:rsidRDefault="003B4857" w:rsidP="003B4857">
      <w:pPr>
        <w:pStyle w:val="NormalBold"/>
      </w:pPr>
      <w:r w:rsidRPr="00DC0D23">
        <w:t>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3EBE1BC5" w14:textId="77777777" w:rsidTr="00AD09C9">
        <w:trPr>
          <w:trHeight w:val="240"/>
          <w:jc w:val="center"/>
        </w:trPr>
        <w:tc>
          <w:tcPr>
            <w:tcW w:w="9752" w:type="dxa"/>
            <w:gridSpan w:val="2"/>
            <w:tcBorders>
              <w:top w:val="nil"/>
              <w:left w:val="nil"/>
              <w:bottom w:val="nil"/>
              <w:right w:val="nil"/>
            </w:tcBorders>
          </w:tcPr>
          <w:p w14:paraId="04229BC2" w14:textId="77777777" w:rsidR="003B4857" w:rsidRPr="00DC0D23" w:rsidRDefault="003B4857" w:rsidP="00AD09C9"/>
        </w:tc>
      </w:tr>
      <w:tr w:rsidR="003B4857" w:rsidRPr="00DC0D23" w14:paraId="717EC6D1" w14:textId="77777777" w:rsidTr="00AD09C9">
        <w:trPr>
          <w:trHeight w:val="240"/>
          <w:jc w:val="center"/>
        </w:trPr>
        <w:tc>
          <w:tcPr>
            <w:tcW w:w="4876" w:type="dxa"/>
            <w:tcBorders>
              <w:top w:val="nil"/>
              <w:left w:val="nil"/>
              <w:bottom w:val="nil"/>
              <w:right w:val="nil"/>
            </w:tcBorders>
            <w:hideMark/>
          </w:tcPr>
          <w:p w14:paraId="1E3C3A8C"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079EC882" w14:textId="77777777" w:rsidR="003B4857" w:rsidRPr="00DC0D23" w:rsidRDefault="003B4857" w:rsidP="00AD09C9">
            <w:pPr>
              <w:pStyle w:val="AmColumnHeading"/>
            </w:pPr>
            <w:r w:rsidRPr="00DC0D23">
              <w:t>Grozījums</w:t>
            </w:r>
          </w:p>
        </w:tc>
      </w:tr>
      <w:tr w:rsidR="003B4857" w:rsidRPr="00DC0D23" w14:paraId="509361DF" w14:textId="77777777" w:rsidTr="00AD09C9">
        <w:trPr>
          <w:jc w:val="center"/>
        </w:trPr>
        <w:tc>
          <w:tcPr>
            <w:tcW w:w="4876" w:type="dxa"/>
            <w:tcBorders>
              <w:top w:val="nil"/>
              <w:left w:val="nil"/>
              <w:bottom w:val="nil"/>
              <w:right w:val="nil"/>
            </w:tcBorders>
            <w:hideMark/>
          </w:tcPr>
          <w:p w14:paraId="279E247B" w14:textId="77777777" w:rsidR="003B4857" w:rsidRPr="00DC0D23" w:rsidRDefault="003B4857" w:rsidP="00AD09C9">
            <w:pPr>
              <w:pStyle w:val="Normal6a"/>
            </w:pPr>
            <w:r w:rsidRPr="00DC0D23">
              <w:t>(4)</w:t>
            </w:r>
            <w:r w:rsidRPr="00DC0D23">
              <w:tab/>
              <w:t xml:space="preserve">Lai palielinātu tirgus ilgtermiņa prognozējamību, kvotām, kas rezervē ieskaitītas par ēku, autotransporta un papildu sektoriem un kuras nebūs atbrīvotas, būtu jāpaliek spēkā </w:t>
            </w:r>
            <w:r w:rsidRPr="00DC0D23">
              <w:rPr>
                <w:b/>
                <w:i/>
              </w:rPr>
              <w:t>pēc 2030</w:t>
            </w:r>
            <w:r w:rsidRPr="00DC0D23">
              <w:t xml:space="preserve">. gada 31. </w:t>
            </w:r>
            <w:r w:rsidRPr="00DC0D23">
              <w:rPr>
                <w:b/>
                <w:i/>
              </w:rPr>
              <w:t>decembra</w:t>
            </w:r>
            <w:r w:rsidRPr="00DC0D23">
              <w:t>.</w:t>
            </w:r>
          </w:p>
        </w:tc>
        <w:tc>
          <w:tcPr>
            <w:tcW w:w="4876" w:type="dxa"/>
            <w:tcBorders>
              <w:top w:val="nil"/>
              <w:left w:val="nil"/>
              <w:bottom w:val="nil"/>
              <w:right w:val="nil"/>
            </w:tcBorders>
            <w:hideMark/>
          </w:tcPr>
          <w:p w14:paraId="78EA5387" w14:textId="77777777" w:rsidR="003B4857" w:rsidRPr="00DC0D23" w:rsidRDefault="003B4857" w:rsidP="00AD09C9">
            <w:pPr>
              <w:pStyle w:val="Normal6a"/>
            </w:pPr>
            <w:r w:rsidRPr="00DC0D23">
              <w:t>(4)</w:t>
            </w:r>
            <w:r w:rsidRPr="00DC0D23">
              <w:tab/>
              <w:t xml:space="preserve">Lai palielinātu tirgus ilgtermiņa prognozējamību, kvotām, kas rezervē ieskaitītas par ēku, autotransporta un papildu sektoriem un kuras nebūs atbrīvotas, būtu jāpaliek spēkā </w:t>
            </w:r>
            <w:r w:rsidRPr="00DC0D23">
              <w:rPr>
                <w:b/>
                <w:i/>
              </w:rPr>
              <w:t>līdz 2033. gada 31. decembrim un daļēji līdz 2035</w:t>
            </w:r>
            <w:r w:rsidRPr="00DC0D23">
              <w:t xml:space="preserve">. gada 31. </w:t>
            </w:r>
            <w:r w:rsidRPr="00DC0D23">
              <w:rPr>
                <w:b/>
                <w:i/>
              </w:rPr>
              <w:t>decembrim.</w:t>
            </w:r>
            <w:r w:rsidRPr="00DC0D23">
              <w:t xml:space="preserve"> </w:t>
            </w:r>
            <w:r w:rsidRPr="00DC0D23">
              <w:rPr>
                <w:b/>
                <w:i/>
              </w:rPr>
              <w:t xml:space="preserve">Četru gadu laikā pēc ETS2 darbības sākuma Komisijai būtu </w:t>
            </w:r>
            <w:r w:rsidRPr="00DC0D23">
              <w:rPr>
                <w:b/>
                <w:i/>
              </w:rPr>
              <w:lastRenderedPageBreak/>
              <w:t xml:space="preserve">jāveic ietekmes novērtējums, tostarp distributīvās ietekmes novērtējums, un jāizvērtē rezervē atlikušo kvotu </w:t>
            </w:r>
            <w:proofErr w:type="spellStart"/>
            <w:r w:rsidRPr="00DC0D23">
              <w:rPr>
                <w:b/>
                <w:i/>
              </w:rPr>
              <w:t>vidiskā</w:t>
            </w:r>
            <w:proofErr w:type="spellEnd"/>
            <w:r w:rsidRPr="00DC0D23">
              <w:rPr>
                <w:b/>
                <w:i/>
              </w:rPr>
              <w:t>, sociālā un ekonomiskā ietekme.</w:t>
            </w:r>
          </w:p>
        </w:tc>
      </w:tr>
    </w:tbl>
    <w:p w14:paraId="411E7D5B" w14:textId="77777777" w:rsidR="003B4857" w:rsidRPr="00DC0D23" w:rsidRDefault="003B4857" w:rsidP="003B4857"/>
    <w:p w14:paraId="49BBE1A0" w14:textId="77777777" w:rsidR="003B4857" w:rsidRPr="00DC0D23" w:rsidRDefault="003B4857" w:rsidP="003B4857">
      <w:pPr>
        <w:pStyle w:val="AmNumberTabs"/>
      </w:pPr>
      <w:r w:rsidRPr="00DC0D23">
        <w:t>Grozījums Nr.</w:t>
      </w:r>
      <w:r w:rsidRPr="00DC0D23">
        <w:tab/>
      </w:r>
      <w:r w:rsidRPr="00DC0D23">
        <w:tab/>
        <w:t>5</w:t>
      </w:r>
    </w:p>
    <w:p w14:paraId="47CBA199" w14:textId="77777777" w:rsidR="003B4857" w:rsidRPr="00DC0D23" w:rsidRDefault="003B4857" w:rsidP="003B4857">
      <w:pPr>
        <w:pStyle w:val="NormalBold"/>
      </w:pPr>
      <w:r w:rsidRPr="00DC0D23">
        <w:t>Lēmuma priekšlikums</w:t>
      </w:r>
    </w:p>
    <w:p w14:paraId="6A0348B1" w14:textId="77777777" w:rsidR="003B4857" w:rsidRPr="00DC0D23" w:rsidRDefault="003B4857" w:rsidP="003B4857">
      <w:pPr>
        <w:pStyle w:val="NormalBold"/>
      </w:pPr>
      <w:r w:rsidRPr="00DC0D23">
        <w:t>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322A9571" w14:textId="77777777" w:rsidTr="00AD09C9">
        <w:trPr>
          <w:trHeight w:val="240"/>
          <w:jc w:val="center"/>
        </w:trPr>
        <w:tc>
          <w:tcPr>
            <w:tcW w:w="9752" w:type="dxa"/>
            <w:gridSpan w:val="2"/>
            <w:tcBorders>
              <w:top w:val="nil"/>
              <w:left w:val="nil"/>
              <w:bottom w:val="nil"/>
              <w:right w:val="nil"/>
            </w:tcBorders>
          </w:tcPr>
          <w:p w14:paraId="1B088D8A" w14:textId="77777777" w:rsidR="003B4857" w:rsidRPr="00DC0D23" w:rsidRDefault="003B4857" w:rsidP="00AD09C9"/>
        </w:tc>
      </w:tr>
      <w:tr w:rsidR="003B4857" w:rsidRPr="00DC0D23" w14:paraId="74CE82A7" w14:textId="77777777" w:rsidTr="00AD09C9">
        <w:trPr>
          <w:trHeight w:val="240"/>
          <w:jc w:val="center"/>
        </w:trPr>
        <w:tc>
          <w:tcPr>
            <w:tcW w:w="4876" w:type="dxa"/>
            <w:tcBorders>
              <w:top w:val="nil"/>
              <w:left w:val="nil"/>
              <w:bottom w:val="nil"/>
              <w:right w:val="nil"/>
            </w:tcBorders>
            <w:hideMark/>
          </w:tcPr>
          <w:p w14:paraId="26B3CD45"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5AD692E7" w14:textId="77777777" w:rsidR="003B4857" w:rsidRPr="00DC0D23" w:rsidRDefault="003B4857" w:rsidP="00AD09C9">
            <w:pPr>
              <w:pStyle w:val="AmColumnHeading"/>
            </w:pPr>
            <w:r w:rsidRPr="00DC0D23">
              <w:t>Grozījums</w:t>
            </w:r>
          </w:p>
        </w:tc>
      </w:tr>
      <w:tr w:rsidR="003B4857" w:rsidRPr="00DC0D23" w14:paraId="2614D691" w14:textId="77777777" w:rsidTr="00AD09C9">
        <w:trPr>
          <w:jc w:val="center"/>
        </w:trPr>
        <w:tc>
          <w:tcPr>
            <w:tcW w:w="4876" w:type="dxa"/>
            <w:tcBorders>
              <w:top w:val="nil"/>
              <w:left w:val="nil"/>
              <w:bottom w:val="nil"/>
              <w:right w:val="nil"/>
            </w:tcBorders>
            <w:hideMark/>
          </w:tcPr>
          <w:p w14:paraId="31773F99" w14:textId="77777777" w:rsidR="003B4857" w:rsidRPr="00DC0D23" w:rsidRDefault="003B4857" w:rsidP="00AD09C9">
            <w:pPr>
              <w:pStyle w:val="Normal6a"/>
            </w:pPr>
            <w:r w:rsidRPr="00DC0D23">
              <w:t>(6)</w:t>
            </w:r>
            <w:r w:rsidRPr="00DC0D23">
              <w:tab/>
              <w:t>Lai vēl vairāk uzlabotu spēju reaģēt uz nepamatotām cenu svārstībām un palielinātu tirgus prognozējamību, būtu rūpīgi jāstiprina mehānisms cenu stabilitātes uzlabošanai pirmajos trijos emisijas kvotu tirdzniecības sistēmas darbības gados ēku, autotransporta un papildu sektoros. Tas varētu ietvert lielāka kvotu apjoma atbrīvošanu tirgū. Ja pasākumu piemēro divreiz vienā un tajā pašā 12 mēnešu periodā, papildu kvotu atbrīvošanai jānotiek divreiz.</w:t>
            </w:r>
          </w:p>
        </w:tc>
        <w:tc>
          <w:tcPr>
            <w:tcW w:w="4876" w:type="dxa"/>
            <w:tcBorders>
              <w:top w:val="nil"/>
              <w:left w:val="nil"/>
              <w:bottom w:val="nil"/>
              <w:right w:val="nil"/>
            </w:tcBorders>
            <w:hideMark/>
          </w:tcPr>
          <w:p w14:paraId="46CF9F08" w14:textId="77777777" w:rsidR="003B4857" w:rsidRPr="00DC0D23" w:rsidRDefault="003B4857" w:rsidP="00AD09C9">
            <w:pPr>
              <w:pStyle w:val="Normal6a"/>
            </w:pPr>
            <w:r w:rsidRPr="00DC0D23">
              <w:t>(6)</w:t>
            </w:r>
            <w:r w:rsidRPr="00DC0D23">
              <w:tab/>
              <w:t xml:space="preserve">Lai vēl vairāk uzlabotu spēju reaģēt uz nepamatotām cenu svārstībām un palielinātu tirgus prognozējamību, būtu rūpīgi jāstiprina mehānisms cenu stabilitātes uzlabošanai pirmajos trijos emisijas kvotu tirdzniecības sistēmas darbības gados ēku, autotransporta un papildu sektoros. Tas varētu ietvert lielāka kvotu apjoma atbrīvošanu tirgū </w:t>
            </w:r>
            <w:r w:rsidRPr="00DC0D23">
              <w:rPr>
                <w:b/>
                <w:i/>
              </w:rPr>
              <w:t>bez kavēšanās</w:t>
            </w:r>
            <w:r w:rsidRPr="00DC0D23">
              <w:t>. Ja pasākumu piemēro divreiz vienā un tajā pašā 12 mēnešu periodā, papildu kvotu atbrīvošanai jānotiek divreiz.</w:t>
            </w:r>
          </w:p>
        </w:tc>
      </w:tr>
    </w:tbl>
    <w:p w14:paraId="0878384B" w14:textId="77777777" w:rsidR="003B4857" w:rsidRPr="00DC0D23" w:rsidRDefault="003B4857" w:rsidP="003B4857"/>
    <w:p w14:paraId="071450E5" w14:textId="77777777" w:rsidR="003B4857" w:rsidRPr="00DC0D23" w:rsidRDefault="003B4857" w:rsidP="003B4857">
      <w:pPr>
        <w:pStyle w:val="AmNumberTabs"/>
      </w:pPr>
      <w:r w:rsidRPr="00DC0D23">
        <w:t>Grozījums Nr.</w:t>
      </w:r>
      <w:r w:rsidRPr="00DC0D23">
        <w:tab/>
      </w:r>
      <w:r w:rsidRPr="00DC0D23">
        <w:tab/>
        <w:t>6</w:t>
      </w:r>
    </w:p>
    <w:p w14:paraId="317004C9" w14:textId="77777777" w:rsidR="003B4857" w:rsidRPr="00DC0D23" w:rsidRDefault="003B4857" w:rsidP="003B4857">
      <w:pPr>
        <w:pStyle w:val="NormalBold"/>
      </w:pPr>
      <w:r w:rsidRPr="00DC0D23">
        <w:t>Lēmuma priekšlikums</w:t>
      </w:r>
    </w:p>
    <w:p w14:paraId="31745136" w14:textId="77777777" w:rsidR="003B4857" w:rsidRPr="00DC0D23" w:rsidRDefault="003B4857" w:rsidP="003B4857">
      <w:pPr>
        <w:pStyle w:val="NormalBold"/>
      </w:pPr>
      <w:r w:rsidRPr="00DC0D23">
        <w:t>6.a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2F41CFF4" w14:textId="77777777" w:rsidTr="00AD09C9">
        <w:trPr>
          <w:trHeight w:val="240"/>
          <w:jc w:val="center"/>
        </w:trPr>
        <w:tc>
          <w:tcPr>
            <w:tcW w:w="9752" w:type="dxa"/>
            <w:gridSpan w:val="2"/>
            <w:tcBorders>
              <w:top w:val="nil"/>
              <w:left w:val="nil"/>
              <w:bottom w:val="nil"/>
              <w:right w:val="nil"/>
            </w:tcBorders>
          </w:tcPr>
          <w:p w14:paraId="565C5550" w14:textId="77777777" w:rsidR="003B4857" w:rsidRPr="00DC0D23" w:rsidRDefault="003B4857" w:rsidP="00AD09C9"/>
        </w:tc>
      </w:tr>
      <w:tr w:rsidR="003B4857" w:rsidRPr="00DC0D23" w14:paraId="2437DC34" w14:textId="77777777" w:rsidTr="00AD09C9">
        <w:trPr>
          <w:trHeight w:val="240"/>
          <w:jc w:val="center"/>
        </w:trPr>
        <w:tc>
          <w:tcPr>
            <w:tcW w:w="4876" w:type="dxa"/>
            <w:tcBorders>
              <w:top w:val="nil"/>
              <w:left w:val="nil"/>
              <w:bottom w:val="nil"/>
              <w:right w:val="nil"/>
            </w:tcBorders>
            <w:hideMark/>
          </w:tcPr>
          <w:p w14:paraId="0AD3A114"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73D74325" w14:textId="77777777" w:rsidR="003B4857" w:rsidRPr="00DC0D23" w:rsidRDefault="003B4857" w:rsidP="00AD09C9">
            <w:pPr>
              <w:pStyle w:val="AmColumnHeading"/>
            </w:pPr>
            <w:r w:rsidRPr="00DC0D23">
              <w:t>Grozījums</w:t>
            </w:r>
          </w:p>
        </w:tc>
      </w:tr>
      <w:tr w:rsidR="003B4857" w:rsidRPr="00DC0D23" w14:paraId="10F80947" w14:textId="77777777" w:rsidTr="00AD09C9">
        <w:trPr>
          <w:jc w:val="center"/>
        </w:trPr>
        <w:tc>
          <w:tcPr>
            <w:tcW w:w="4876" w:type="dxa"/>
            <w:tcBorders>
              <w:top w:val="nil"/>
              <w:left w:val="nil"/>
              <w:bottom w:val="nil"/>
              <w:right w:val="nil"/>
            </w:tcBorders>
          </w:tcPr>
          <w:p w14:paraId="0E0770D0" w14:textId="77777777" w:rsidR="003B4857" w:rsidRPr="00DC0D23" w:rsidRDefault="003B4857" w:rsidP="00AD09C9">
            <w:pPr>
              <w:pStyle w:val="Normal6a"/>
            </w:pPr>
          </w:p>
        </w:tc>
        <w:tc>
          <w:tcPr>
            <w:tcW w:w="4876" w:type="dxa"/>
            <w:tcBorders>
              <w:top w:val="nil"/>
              <w:left w:val="nil"/>
              <w:bottom w:val="nil"/>
              <w:right w:val="nil"/>
            </w:tcBorders>
            <w:hideMark/>
          </w:tcPr>
          <w:p w14:paraId="4E7F9EB3" w14:textId="77777777" w:rsidR="003B4857" w:rsidRPr="00DC0D23" w:rsidRDefault="003B4857" w:rsidP="00AD09C9">
            <w:pPr>
              <w:pStyle w:val="Normal6a"/>
            </w:pPr>
            <w:r w:rsidRPr="00DC0D23">
              <w:rPr>
                <w:b/>
                <w:i/>
              </w:rPr>
              <w:t>(6a)</w:t>
            </w:r>
            <w:r w:rsidRPr="00DC0D23">
              <w:tab/>
            </w:r>
            <w:r w:rsidRPr="00DC0D23">
              <w:rPr>
                <w:b/>
                <w:i/>
              </w:rPr>
              <w:t xml:space="preserve">Pārāk augstiem kvotu cenu līmeņiem emisijas kvotu tirdzniecības sistēmā ēku, autotransporta un papildu sektoros joprojām varētu būt nesamērīga ietekme uz </w:t>
            </w:r>
            <w:proofErr w:type="spellStart"/>
            <w:r w:rsidRPr="00DC0D23">
              <w:rPr>
                <w:b/>
                <w:i/>
              </w:rPr>
              <w:t>mazaizsargātām</w:t>
            </w:r>
            <w:proofErr w:type="spellEnd"/>
            <w:r w:rsidRPr="00DC0D23">
              <w:rPr>
                <w:b/>
                <w:i/>
              </w:rPr>
              <w:t xml:space="preserve"> mājsaimniecībām, un vienlaikus pārāk lielas cenu svārstības varētu notikt biežāk nekā divas reizes gadā. Eiropas Parlamenta un Padomes Direktīvas 2003/87/EK pārskatīšanas kontekstā ir būtiski, ka tiek apsvērti papildu sociālās aizsardzības pasākumi, un Komisijai varētu būt lietderīgi apsvērt stingrākus cenu ierobežošanas pasākumus, lai nodrošinātu cenu stabilitāti ilgtermiņā. Šajā sakarā Komisija varētu apsvērt dažādus risinājumus, piemēram, pārmērīgu cenu pieauguma mehānisma </w:t>
            </w:r>
            <w:r w:rsidRPr="00DC0D23">
              <w:rPr>
                <w:b/>
                <w:i/>
              </w:rPr>
              <w:lastRenderedPageBreak/>
              <w:t xml:space="preserve">stiprināšanu un darbības pagarināšanu pēc 2029. gada 31. decembra, nosakot, ka cena ir 45 EUR 2026. gada cenās, un attiecīgi pielāgot tirgus stabilitātes rezervi, tostarp kvotu atbrīvošanas biežumu un apmēru un rezerves apmēru, vajadzības gadījumā novērtēt to, vai būtu lietderīgi atļaut dalībvalstīm uz laiku nepiemērot šo sistēmu dzīvojamām ēkām ar noteikumu, ka dalībvalstis pierāda, ka tās, ieviešot citus pasākumus, var sasniegt kopīgo centienu </w:t>
            </w:r>
            <w:proofErr w:type="spellStart"/>
            <w:r w:rsidRPr="00DC0D23">
              <w:rPr>
                <w:b/>
                <w:i/>
              </w:rPr>
              <w:t>mērķrādītājus</w:t>
            </w:r>
            <w:proofErr w:type="spellEnd"/>
            <w:r w:rsidRPr="00DC0D23">
              <w:rPr>
                <w:b/>
                <w:i/>
              </w:rPr>
              <w:t xml:space="preserve"> un ka tās savos tiesību aktos ir transponējušas Eiropas Parlamenta un Padomes Direktīvu (ES) 2024/1275, tādējādi nodrošinot iespēju ieņēmumus no emisijas kvotu tirdzniecības izmantot tiešajam atbalstam, piemēram, klimata jomas dividendes, bez pienākuma pierādīt pozitīvu </w:t>
            </w:r>
            <w:proofErr w:type="spellStart"/>
            <w:r w:rsidRPr="00DC0D23">
              <w:rPr>
                <w:b/>
                <w:i/>
              </w:rPr>
              <w:t>vidisko</w:t>
            </w:r>
            <w:proofErr w:type="spellEnd"/>
            <w:r w:rsidRPr="00DC0D23">
              <w:rPr>
                <w:b/>
                <w:i/>
              </w:rPr>
              <w:t xml:space="preserve"> ietekmi vai ieviest citus pasākumus, ar kuriem līdz minimumam tiek samazinātas izmaksas, kas tiek pārnestas uz </w:t>
            </w:r>
            <w:proofErr w:type="spellStart"/>
            <w:r w:rsidRPr="00DC0D23">
              <w:rPr>
                <w:b/>
                <w:i/>
              </w:rPr>
              <w:t>mazaizsargātām</w:t>
            </w:r>
            <w:proofErr w:type="spellEnd"/>
            <w:r w:rsidRPr="00DC0D23">
              <w:rPr>
                <w:b/>
                <w:i/>
              </w:rPr>
              <w:t xml:space="preserve"> mājsaimniecībām. Komisijai minētie risinājumi būtu pienācīgi jāizvērtē līdz 2027. gada 1. martam, ņemot vērā to sociālo un </w:t>
            </w:r>
            <w:proofErr w:type="spellStart"/>
            <w:r w:rsidRPr="00DC0D23">
              <w:rPr>
                <w:b/>
                <w:i/>
              </w:rPr>
              <w:t>vidisko</w:t>
            </w:r>
            <w:proofErr w:type="spellEnd"/>
            <w:r w:rsidRPr="00DC0D23">
              <w:rPr>
                <w:b/>
                <w:i/>
              </w:rPr>
              <w:t xml:space="preserve"> ietekmi un vienlaikus nodrošinot, ka tie nekaitē Savienības klimata mērķu sasniegšanai, kā izklāstīts Eiropas Parlamenta un Padomes Regulā (ES) 2021/1119.</w:t>
            </w:r>
          </w:p>
        </w:tc>
      </w:tr>
    </w:tbl>
    <w:p w14:paraId="1688B0E0" w14:textId="77777777" w:rsidR="003B4857" w:rsidRPr="00DC0D23" w:rsidRDefault="003B4857" w:rsidP="003B4857"/>
    <w:p w14:paraId="14F6512D" w14:textId="77777777" w:rsidR="003B4857" w:rsidRPr="00DC0D23" w:rsidRDefault="003B4857" w:rsidP="003B4857">
      <w:pPr>
        <w:pStyle w:val="AmNumberTabs"/>
      </w:pPr>
      <w:r w:rsidRPr="00DC0D23">
        <w:t>Grozījums Nr.</w:t>
      </w:r>
      <w:r w:rsidRPr="00DC0D23">
        <w:tab/>
      </w:r>
      <w:r w:rsidRPr="00DC0D23">
        <w:tab/>
        <w:t>7</w:t>
      </w:r>
    </w:p>
    <w:p w14:paraId="4894EFFB" w14:textId="77777777" w:rsidR="003B4857" w:rsidRPr="00DC0D23" w:rsidRDefault="003B4857" w:rsidP="003B4857">
      <w:pPr>
        <w:pStyle w:val="NormalBold"/>
      </w:pPr>
      <w:r w:rsidRPr="00DC0D23">
        <w:t>Lēmuma priekšlikums</w:t>
      </w:r>
    </w:p>
    <w:p w14:paraId="14C758B6" w14:textId="77777777" w:rsidR="003B4857" w:rsidRPr="00DC0D23" w:rsidRDefault="003B4857" w:rsidP="003B4857">
      <w:pPr>
        <w:pStyle w:val="NormalBold"/>
      </w:pPr>
      <w:r w:rsidRPr="00DC0D23">
        <w:t>6.b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0E572C28" w14:textId="77777777" w:rsidTr="00AD09C9">
        <w:trPr>
          <w:trHeight w:val="240"/>
          <w:jc w:val="center"/>
        </w:trPr>
        <w:tc>
          <w:tcPr>
            <w:tcW w:w="9752" w:type="dxa"/>
            <w:gridSpan w:val="2"/>
            <w:tcBorders>
              <w:top w:val="nil"/>
              <w:left w:val="nil"/>
              <w:bottom w:val="nil"/>
              <w:right w:val="nil"/>
            </w:tcBorders>
          </w:tcPr>
          <w:p w14:paraId="3EA30081" w14:textId="77777777" w:rsidR="003B4857" w:rsidRPr="00DC0D23" w:rsidRDefault="003B4857" w:rsidP="00AD09C9"/>
        </w:tc>
      </w:tr>
      <w:tr w:rsidR="003B4857" w:rsidRPr="00DC0D23" w14:paraId="38971E39" w14:textId="77777777" w:rsidTr="00AD09C9">
        <w:trPr>
          <w:trHeight w:val="240"/>
          <w:jc w:val="center"/>
        </w:trPr>
        <w:tc>
          <w:tcPr>
            <w:tcW w:w="4876" w:type="dxa"/>
            <w:tcBorders>
              <w:top w:val="nil"/>
              <w:left w:val="nil"/>
              <w:bottom w:val="nil"/>
              <w:right w:val="nil"/>
            </w:tcBorders>
            <w:hideMark/>
          </w:tcPr>
          <w:p w14:paraId="4145C576"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2CB50BEC" w14:textId="77777777" w:rsidR="003B4857" w:rsidRPr="00DC0D23" w:rsidRDefault="003B4857" w:rsidP="00AD09C9">
            <w:pPr>
              <w:pStyle w:val="AmColumnHeading"/>
            </w:pPr>
            <w:r w:rsidRPr="00DC0D23">
              <w:t>Grozījums</w:t>
            </w:r>
          </w:p>
        </w:tc>
      </w:tr>
      <w:tr w:rsidR="003B4857" w:rsidRPr="00DC0D23" w14:paraId="430B5293" w14:textId="77777777" w:rsidTr="00AD09C9">
        <w:trPr>
          <w:jc w:val="center"/>
        </w:trPr>
        <w:tc>
          <w:tcPr>
            <w:tcW w:w="4876" w:type="dxa"/>
            <w:tcBorders>
              <w:top w:val="nil"/>
              <w:left w:val="nil"/>
              <w:bottom w:val="nil"/>
              <w:right w:val="nil"/>
            </w:tcBorders>
          </w:tcPr>
          <w:p w14:paraId="186F411C" w14:textId="77777777" w:rsidR="003B4857" w:rsidRPr="00DC0D23" w:rsidRDefault="003B4857" w:rsidP="00AD09C9">
            <w:pPr>
              <w:pStyle w:val="Normal6a"/>
            </w:pPr>
          </w:p>
        </w:tc>
        <w:tc>
          <w:tcPr>
            <w:tcW w:w="4876" w:type="dxa"/>
            <w:tcBorders>
              <w:top w:val="nil"/>
              <w:left w:val="nil"/>
              <w:bottom w:val="nil"/>
              <w:right w:val="nil"/>
            </w:tcBorders>
            <w:hideMark/>
          </w:tcPr>
          <w:p w14:paraId="7F217ED3" w14:textId="77777777" w:rsidR="003B4857" w:rsidRPr="00DC0D23" w:rsidRDefault="003B4857" w:rsidP="00AD09C9">
            <w:pPr>
              <w:pStyle w:val="Normal6a"/>
            </w:pPr>
            <w:r w:rsidRPr="00DC0D23">
              <w:rPr>
                <w:b/>
                <w:i/>
              </w:rPr>
              <w:t>(6b)</w:t>
            </w:r>
            <w:r w:rsidRPr="00DC0D23">
              <w:tab/>
            </w:r>
            <w:r w:rsidRPr="00DC0D23">
              <w:rPr>
                <w:b/>
                <w:i/>
              </w:rPr>
              <w:t xml:space="preserve">Pēc tirgus stabilitātes rezerves pārskatīšanas, kas paredzēta šajā grozošajā lēmumā, Komisijai būtu lietderīgi veikt ietekmes novērtējumu par emisijas kvotu tirdzniecības sistēmu ēku, autotransporta un papildu sektoros, lai novērtētu tās sociālo ietekmi un ietekmi uz klimata mērķu sasniegšanu, kā arī veikt distributīvo novērtējumu par to </w:t>
            </w:r>
            <w:proofErr w:type="spellStart"/>
            <w:r w:rsidRPr="00DC0D23">
              <w:rPr>
                <w:b/>
                <w:i/>
              </w:rPr>
              <w:t>mazaizsargāto</w:t>
            </w:r>
            <w:proofErr w:type="spellEnd"/>
            <w:r w:rsidRPr="00DC0D23">
              <w:rPr>
                <w:b/>
                <w:i/>
              </w:rPr>
              <w:t xml:space="preserve"> mājsaimniecību skaitu, kurām līdz minētajam datumam bija </w:t>
            </w:r>
            <w:r w:rsidRPr="00DC0D23">
              <w:rPr>
                <w:b/>
                <w:i/>
              </w:rPr>
              <w:lastRenderedPageBreak/>
              <w:t xml:space="preserve">pieejams atbalsts no Sociālā klimata fonda un iepriekšējas finansēšanas mehānisma, tostarp, ja iespējams, sagatavot informāciju par sadalījumu pēc ģeogrāfiskā apgabala veida, ienākumiem un dzimuma, un tajā būtu jāņem vērā arī papildu pasākumi, lai ETS2 ietvaros nodrošinātu gan </w:t>
            </w:r>
            <w:proofErr w:type="spellStart"/>
            <w:r w:rsidRPr="00DC0D23">
              <w:rPr>
                <w:b/>
                <w:i/>
              </w:rPr>
              <w:t>vidisko</w:t>
            </w:r>
            <w:proofErr w:type="spellEnd"/>
            <w:r w:rsidRPr="00DC0D23">
              <w:rPr>
                <w:b/>
                <w:i/>
              </w:rPr>
              <w:t xml:space="preserve"> integritāti, gan sociālo taisnīgumu.</w:t>
            </w:r>
          </w:p>
        </w:tc>
      </w:tr>
    </w:tbl>
    <w:p w14:paraId="246B96DD" w14:textId="77777777" w:rsidR="003B4857" w:rsidRPr="00DC0D23" w:rsidRDefault="003B4857" w:rsidP="003B4857"/>
    <w:p w14:paraId="4E875E5F" w14:textId="77777777" w:rsidR="003B4857" w:rsidRPr="00DC0D23" w:rsidRDefault="003B4857" w:rsidP="003B4857">
      <w:pPr>
        <w:pStyle w:val="AmNumberTabs"/>
      </w:pPr>
      <w:r w:rsidRPr="00DC0D23">
        <w:t>Grozījums Nr.</w:t>
      </w:r>
      <w:r w:rsidRPr="00DC0D23">
        <w:tab/>
      </w:r>
      <w:r w:rsidRPr="00DC0D23">
        <w:tab/>
        <w:t>8</w:t>
      </w:r>
    </w:p>
    <w:p w14:paraId="3A3C444B" w14:textId="77777777" w:rsidR="003B4857" w:rsidRPr="00DC0D23" w:rsidRDefault="003B4857" w:rsidP="003B4857">
      <w:pPr>
        <w:pStyle w:val="NormalBold"/>
      </w:pPr>
      <w:r w:rsidRPr="00DC0D23">
        <w:t>Lēmuma priekšlikums</w:t>
      </w:r>
    </w:p>
    <w:p w14:paraId="3514CCA9" w14:textId="77777777" w:rsidR="003B4857" w:rsidRPr="00DC0D23" w:rsidRDefault="003B4857" w:rsidP="003B4857">
      <w:pPr>
        <w:pStyle w:val="NormalBold"/>
      </w:pPr>
      <w:r w:rsidRPr="00DC0D23">
        <w:t>1. pants – 1. daļa – 1. punkts</w:t>
      </w:r>
    </w:p>
    <w:p w14:paraId="5D2BD600" w14:textId="2239B469" w:rsidR="00F25FC9" w:rsidRPr="00DC0D23" w:rsidRDefault="003B4857" w:rsidP="003B4857">
      <w:r w:rsidRPr="00DC0D23">
        <w:t>Lēmum</w:t>
      </w:r>
      <w:r w:rsidR="00F25FC9" w:rsidRPr="00DC0D23">
        <w:t>s</w:t>
      </w:r>
      <w:r w:rsidRPr="00DC0D23">
        <w:t xml:space="preserve"> (ES) 2015/1814 </w:t>
      </w:r>
    </w:p>
    <w:p w14:paraId="79FC39F2" w14:textId="33569F83" w:rsidR="003B4857" w:rsidRPr="00DC0D23" w:rsidRDefault="003B4857" w:rsidP="003B4857">
      <w:r w:rsidRPr="00DC0D23">
        <w:t>1.a pants</w:t>
      </w:r>
      <w:r w:rsidR="00F25FC9" w:rsidRPr="00DC0D23">
        <w:t xml:space="preserve"> – 3.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4EA2F770" w14:textId="77777777" w:rsidTr="00AD09C9">
        <w:trPr>
          <w:trHeight w:val="240"/>
          <w:jc w:val="center"/>
        </w:trPr>
        <w:tc>
          <w:tcPr>
            <w:tcW w:w="9752" w:type="dxa"/>
            <w:gridSpan w:val="2"/>
            <w:tcBorders>
              <w:top w:val="nil"/>
              <w:left w:val="nil"/>
              <w:bottom w:val="nil"/>
              <w:right w:val="nil"/>
            </w:tcBorders>
          </w:tcPr>
          <w:p w14:paraId="5C47EEDA" w14:textId="77777777" w:rsidR="003B4857" w:rsidRPr="00DC0D23" w:rsidRDefault="003B4857" w:rsidP="00AD09C9"/>
        </w:tc>
      </w:tr>
      <w:tr w:rsidR="003B4857" w:rsidRPr="00DC0D23" w14:paraId="6997210A" w14:textId="77777777" w:rsidTr="00AD09C9">
        <w:trPr>
          <w:trHeight w:val="240"/>
          <w:jc w:val="center"/>
        </w:trPr>
        <w:tc>
          <w:tcPr>
            <w:tcW w:w="4876" w:type="dxa"/>
            <w:tcBorders>
              <w:top w:val="nil"/>
              <w:left w:val="nil"/>
              <w:bottom w:val="nil"/>
              <w:right w:val="nil"/>
            </w:tcBorders>
            <w:hideMark/>
          </w:tcPr>
          <w:p w14:paraId="5CFB6026"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32A47131" w14:textId="77777777" w:rsidR="003B4857" w:rsidRPr="00DC0D23" w:rsidRDefault="003B4857" w:rsidP="00AD09C9">
            <w:pPr>
              <w:pStyle w:val="AmColumnHeading"/>
            </w:pPr>
            <w:r w:rsidRPr="00DC0D23">
              <w:t>Grozījums</w:t>
            </w:r>
          </w:p>
        </w:tc>
      </w:tr>
      <w:tr w:rsidR="003B4857" w:rsidRPr="00DC0D23" w14:paraId="497DD4B6" w14:textId="77777777" w:rsidTr="00AD09C9">
        <w:trPr>
          <w:jc w:val="center"/>
        </w:trPr>
        <w:tc>
          <w:tcPr>
            <w:tcW w:w="4876" w:type="dxa"/>
            <w:tcBorders>
              <w:top w:val="nil"/>
              <w:left w:val="nil"/>
              <w:bottom w:val="nil"/>
              <w:right w:val="nil"/>
            </w:tcBorders>
            <w:hideMark/>
          </w:tcPr>
          <w:p w14:paraId="65DB7E55" w14:textId="77777777" w:rsidR="003B4857" w:rsidRPr="00DC0D23" w:rsidRDefault="003B4857" w:rsidP="00AD09C9">
            <w:pPr>
              <w:pStyle w:val="Normal6a"/>
            </w:pPr>
            <w:r w:rsidRPr="00DC0D23">
              <w:t>(1)</w:t>
            </w:r>
            <w:r w:rsidRPr="00DC0D23">
              <w:tab/>
            </w:r>
            <w:r w:rsidRPr="00DC0D23">
              <w:rPr>
                <w:b/>
                <w:bCs/>
                <w:i/>
                <w:iCs/>
              </w:rPr>
              <w:t>svītro</w:t>
            </w:r>
            <w:r w:rsidRPr="00DC0D23">
              <w:t xml:space="preserve"> 3. punkta otro teikumu;</w:t>
            </w:r>
          </w:p>
        </w:tc>
        <w:tc>
          <w:tcPr>
            <w:tcW w:w="4876" w:type="dxa"/>
            <w:tcBorders>
              <w:top w:val="nil"/>
              <w:left w:val="nil"/>
              <w:bottom w:val="nil"/>
              <w:right w:val="nil"/>
            </w:tcBorders>
            <w:hideMark/>
          </w:tcPr>
          <w:p w14:paraId="0E979BCC" w14:textId="77777777" w:rsidR="00F25FC9" w:rsidRPr="00DC0D23" w:rsidRDefault="003B4857" w:rsidP="00AD09C9">
            <w:pPr>
              <w:pStyle w:val="Normal6a"/>
              <w:rPr>
                <w:b/>
                <w:i/>
              </w:rPr>
            </w:pPr>
            <w:r w:rsidRPr="00DC0D23">
              <w:t>(1)</w:t>
            </w:r>
            <w:r w:rsidRPr="00DC0D23">
              <w:tab/>
              <w:t xml:space="preserve">panta 3. punkta otro teikumu </w:t>
            </w:r>
            <w:r w:rsidRPr="00DC0D23">
              <w:rPr>
                <w:b/>
                <w:bCs/>
                <w:i/>
                <w:iCs/>
              </w:rPr>
              <w:t>aizstāj ar šādu:</w:t>
            </w:r>
            <w:r w:rsidRPr="00DC0D23">
              <w:rPr>
                <w:b/>
                <w:i/>
              </w:rPr>
              <w:t xml:space="preserve"> </w:t>
            </w:r>
          </w:p>
          <w:p w14:paraId="308A6CD4" w14:textId="70AF4283" w:rsidR="003B4857" w:rsidRPr="00DC0D23" w:rsidRDefault="003B4857" w:rsidP="00AD09C9">
            <w:pPr>
              <w:pStyle w:val="Normal6a"/>
            </w:pPr>
            <w:r w:rsidRPr="00DC0D23">
              <w:rPr>
                <w:b/>
                <w:i/>
              </w:rPr>
              <w:t>“No 2034. gada 1. janvāra 50 % no minētajā daļā minētajām kvotām, kas nav atbrīvotas no rezerves, vairs nav derīgas. No 2036. gada 1. janvāra atlikušās minētajā daļā minētās kvotas, kas nav atbrīvotas no rezerves, vairs nav derīgas.”</w:t>
            </w:r>
          </w:p>
        </w:tc>
      </w:tr>
    </w:tbl>
    <w:p w14:paraId="7B561FD5" w14:textId="77777777" w:rsidR="003B4857" w:rsidRPr="00DC0D23" w:rsidRDefault="003B4857" w:rsidP="003B4857"/>
    <w:p w14:paraId="321026CA" w14:textId="77777777" w:rsidR="003B4857" w:rsidRPr="00DC0D23" w:rsidRDefault="003B4857" w:rsidP="003B4857">
      <w:pPr>
        <w:pStyle w:val="AmNumberTabs"/>
      </w:pPr>
      <w:r w:rsidRPr="00DC0D23">
        <w:t>Grozījums Nr.</w:t>
      </w:r>
      <w:r w:rsidRPr="00DC0D23">
        <w:tab/>
      </w:r>
      <w:r w:rsidRPr="00DC0D23">
        <w:tab/>
        <w:t>9</w:t>
      </w:r>
    </w:p>
    <w:p w14:paraId="30ACE954" w14:textId="77777777" w:rsidR="003B4857" w:rsidRPr="00DC0D23" w:rsidRDefault="003B4857" w:rsidP="003B4857">
      <w:pPr>
        <w:pStyle w:val="NormalBold"/>
      </w:pPr>
      <w:r w:rsidRPr="00DC0D23">
        <w:t>Lēmuma priekšlikums</w:t>
      </w:r>
    </w:p>
    <w:p w14:paraId="747FFC1A" w14:textId="77777777" w:rsidR="003B4857" w:rsidRPr="00DC0D23" w:rsidRDefault="003B4857" w:rsidP="003B4857">
      <w:pPr>
        <w:pStyle w:val="NormalBold"/>
      </w:pPr>
      <w:r w:rsidRPr="00DC0D23">
        <w:t>1. pants – 1. daļa – 4.a punkts (jauns)</w:t>
      </w:r>
    </w:p>
    <w:p w14:paraId="6CF76150" w14:textId="74BA6EB0" w:rsidR="003B4857" w:rsidRPr="00DC0D23" w:rsidRDefault="003B4857" w:rsidP="003B4857">
      <w:r w:rsidRPr="00DC0D23">
        <w:t>Lēmum</w:t>
      </w:r>
      <w:r w:rsidR="00F25FC9" w:rsidRPr="00DC0D23">
        <w:t>s</w:t>
      </w:r>
      <w:r w:rsidRPr="00DC0D23">
        <w:t xml:space="preserve"> (ES) 2015/1814 </w:t>
      </w:r>
    </w:p>
    <w:p w14:paraId="68973411" w14:textId="46A1321B" w:rsidR="00F25FC9" w:rsidRPr="00DC0D23" w:rsidRDefault="00F25FC9" w:rsidP="00F25FC9">
      <w:r w:rsidRPr="00DC0D23">
        <w:t>1.a pants – 7.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33EB09FE" w14:textId="77777777" w:rsidTr="00AD09C9">
        <w:trPr>
          <w:trHeight w:val="240"/>
          <w:jc w:val="center"/>
        </w:trPr>
        <w:tc>
          <w:tcPr>
            <w:tcW w:w="9752" w:type="dxa"/>
            <w:gridSpan w:val="2"/>
            <w:tcBorders>
              <w:top w:val="nil"/>
              <w:left w:val="nil"/>
              <w:bottom w:val="nil"/>
              <w:right w:val="nil"/>
            </w:tcBorders>
          </w:tcPr>
          <w:p w14:paraId="695D1B3E" w14:textId="77777777" w:rsidR="003B4857" w:rsidRPr="00DC0D23" w:rsidRDefault="003B4857" w:rsidP="00AD09C9"/>
        </w:tc>
      </w:tr>
      <w:tr w:rsidR="003B4857" w:rsidRPr="00DC0D23" w14:paraId="3D9241A7" w14:textId="77777777" w:rsidTr="00AD09C9">
        <w:trPr>
          <w:trHeight w:val="240"/>
          <w:jc w:val="center"/>
        </w:trPr>
        <w:tc>
          <w:tcPr>
            <w:tcW w:w="4876" w:type="dxa"/>
            <w:tcBorders>
              <w:top w:val="nil"/>
              <w:left w:val="nil"/>
              <w:bottom w:val="nil"/>
              <w:right w:val="nil"/>
            </w:tcBorders>
            <w:hideMark/>
          </w:tcPr>
          <w:p w14:paraId="5AEB2166" w14:textId="77777777" w:rsidR="003B4857" w:rsidRPr="00DC0D23" w:rsidRDefault="003B4857" w:rsidP="00AD09C9">
            <w:pPr>
              <w:pStyle w:val="AmColumnHeading"/>
            </w:pPr>
            <w:r w:rsidRPr="00DC0D23">
              <w:t>Spēkā esošais teksts</w:t>
            </w:r>
          </w:p>
        </w:tc>
        <w:tc>
          <w:tcPr>
            <w:tcW w:w="4876" w:type="dxa"/>
            <w:tcBorders>
              <w:top w:val="nil"/>
              <w:left w:val="nil"/>
              <w:bottom w:val="nil"/>
              <w:right w:val="nil"/>
            </w:tcBorders>
            <w:hideMark/>
          </w:tcPr>
          <w:p w14:paraId="096D34E1" w14:textId="77777777" w:rsidR="003B4857" w:rsidRPr="00DC0D23" w:rsidRDefault="003B4857" w:rsidP="00AD09C9">
            <w:pPr>
              <w:pStyle w:val="AmColumnHeading"/>
            </w:pPr>
            <w:r w:rsidRPr="00DC0D23">
              <w:t>Grozījums</w:t>
            </w:r>
          </w:p>
        </w:tc>
      </w:tr>
      <w:tr w:rsidR="003B4857" w:rsidRPr="00DC0D23" w14:paraId="614C0AF9" w14:textId="77777777" w:rsidTr="00AD09C9">
        <w:trPr>
          <w:jc w:val="center"/>
        </w:trPr>
        <w:tc>
          <w:tcPr>
            <w:tcW w:w="4876" w:type="dxa"/>
            <w:tcBorders>
              <w:top w:val="nil"/>
              <w:left w:val="nil"/>
              <w:bottom w:val="nil"/>
              <w:right w:val="nil"/>
            </w:tcBorders>
          </w:tcPr>
          <w:p w14:paraId="2EED7A10" w14:textId="77777777" w:rsidR="003B4857" w:rsidRPr="00DC0D23" w:rsidRDefault="003B4857" w:rsidP="00AD09C9">
            <w:pPr>
              <w:pStyle w:val="Normal6a"/>
            </w:pPr>
          </w:p>
        </w:tc>
        <w:tc>
          <w:tcPr>
            <w:tcW w:w="4876" w:type="dxa"/>
            <w:tcBorders>
              <w:top w:val="nil"/>
              <w:left w:val="nil"/>
              <w:bottom w:val="nil"/>
              <w:right w:val="nil"/>
            </w:tcBorders>
            <w:hideMark/>
          </w:tcPr>
          <w:p w14:paraId="67707BD8" w14:textId="77777777" w:rsidR="003B4857" w:rsidRPr="00DC0D23" w:rsidRDefault="003B4857" w:rsidP="00AD09C9">
            <w:pPr>
              <w:pStyle w:val="Normal6a"/>
            </w:pPr>
            <w:r w:rsidRPr="00DC0D23">
              <w:rPr>
                <w:b/>
                <w:i/>
              </w:rPr>
              <w:t>(4a)</w:t>
            </w:r>
            <w:r w:rsidRPr="00DC0D23">
              <w:tab/>
            </w:r>
            <w:r w:rsidRPr="00DC0D23">
              <w:rPr>
                <w:b/>
                <w:i/>
              </w:rPr>
              <w:t>panta 7. punkta otro teikumu aizstāj ar šādu:</w:t>
            </w:r>
          </w:p>
        </w:tc>
      </w:tr>
      <w:tr w:rsidR="003B4857" w:rsidRPr="00DC0D23" w14:paraId="056098AA" w14:textId="77777777" w:rsidTr="00AD09C9">
        <w:trPr>
          <w:jc w:val="center"/>
        </w:trPr>
        <w:tc>
          <w:tcPr>
            <w:tcW w:w="4876" w:type="dxa"/>
            <w:tcBorders>
              <w:top w:val="nil"/>
              <w:left w:val="nil"/>
              <w:bottom w:val="nil"/>
              <w:right w:val="nil"/>
            </w:tcBorders>
            <w:hideMark/>
          </w:tcPr>
          <w:p w14:paraId="3D4DD5D0" w14:textId="77777777" w:rsidR="003B4857" w:rsidRPr="00DC0D23" w:rsidRDefault="003B4857" w:rsidP="00AD09C9">
            <w:pPr>
              <w:pStyle w:val="Normal6a"/>
            </w:pPr>
            <w:r w:rsidRPr="00DC0D23">
              <w:t xml:space="preserve">No rezerves atbrīvojamos kvotu apjomus vienmērīgi sadala triju mēnešu periodā, kas sākas ne vēlāk ka </w:t>
            </w:r>
            <w:r w:rsidRPr="00DC0D23">
              <w:rPr>
                <w:b/>
                <w:i/>
              </w:rPr>
              <w:t>divus mēnešus</w:t>
            </w:r>
            <w:r w:rsidRPr="00DC0D23">
              <w:t xml:space="preserve"> pēc dienas, kad nosacījumi atbilstoši publikācijai minētajā sakarā Eiropas Savienības Oficiālajā Vēstnesī ir izpildīti saskaņā ar Direktīvas 2003/87/EK 30.h panta 8. punktu.</w:t>
            </w:r>
          </w:p>
        </w:tc>
        <w:tc>
          <w:tcPr>
            <w:tcW w:w="4876" w:type="dxa"/>
            <w:tcBorders>
              <w:top w:val="nil"/>
              <w:left w:val="nil"/>
              <w:bottom w:val="nil"/>
              <w:right w:val="nil"/>
            </w:tcBorders>
            <w:hideMark/>
          </w:tcPr>
          <w:p w14:paraId="6E1060DB" w14:textId="77777777" w:rsidR="003B4857" w:rsidRPr="00DC0D23" w:rsidRDefault="003B4857" w:rsidP="00AD09C9">
            <w:pPr>
              <w:pStyle w:val="Normal6a"/>
            </w:pPr>
            <w:r w:rsidRPr="00DC0D23">
              <w:t xml:space="preserve">“No rezerves atbrīvojamos kvotu apjomus vienmērīgi sadala triju mēnešu periodā, kas sākas ne vēlāk ka </w:t>
            </w:r>
            <w:r w:rsidRPr="00DC0D23">
              <w:rPr>
                <w:b/>
                <w:i/>
              </w:rPr>
              <w:t>30 dienas</w:t>
            </w:r>
            <w:r w:rsidRPr="00DC0D23">
              <w:t xml:space="preserve"> pēc dienas, kad nosacījumi atbilstoši publikācijai minētajā sakarā </w:t>
            </w:r>
            <w:r w:rsidRPr="00DC0D23">
              <w:rPr>
                <w:i/>
                <w:iCs/>
              </w:rPr>
              <w:t>Eiropas Savienības Oficiālajā Vēstnesī</w:t>
            </w:r>
            <w:r w:rsidRPr="00DC0D23">
              <w:t xml:space="preserve"> ir izpildīti saskaņā ar Direktīvas 2003/87/EK 30.h panta 8. punktu.”</w:t>
            </w:r>
          </w:p>
        </w:tc>
      </w:tr>
    </w:tbl>
    <w:p w14:paraId="65CD62D5" w14:textId="3F7C684A" w:rsidR="003B4857" w:rsidRPr="00DC0D23" w:rsidRDefault="003B4857" w:rsidP="003B4857">
      <w:pPr>
        <w:pStyle w:val="AmCrossRef"/>
      </w:pPr>
      <w:r w:rsidRPr="00DC0D23">
        <w:t>(32015D1814)</w:t>
      </w:r>
    </w:p>
    <w:p w14:paraId="1355849C" w14:textId="77777777" w:rsidR="003B4857" w:rsidRPr="00DC0D23" w:rsidRDefault="003B4857" w:rsidP="003B4857"/>
    <w:p w14:paraId="52CD187B" w14:textId="77777777" w:rsidR="003B4857" w:rsidRPr="00DC0D23" w:rsidRDefault="003B4857" w:rsidP="003B4857">
      <w:pPr>
        <w:pStyle w:val="AmNumberTabs"/>
      </w:pPr>
      <w:r w:rsidRPr="00DC0D23">
        <w:t>Grozījums Nr.</w:t>
      </w:r>
      <w:r w:rsidRPr="00DC0D23">
        <w:tab/>
      </w:r>
      <w:r w:rsidRPr="00DC0D23">
        <w:tab/>
        <w:t>10</w:t>
      </w:r>
    </w:p>
    <w:p w14:paraId="21310F49" w14:textId="77777777" w:rsidR="003B4857" w:rsidRPr="00DC0D23" w:rsidRDefault="003B4857" w:rsidP="003B4857">
      <w:pPr>
        <w:pStyle w:val="NormalBold"/>
      </w:pPr>
      <w:r w:rsidRPr="00DC0D23">
        <w:t>Lēmuma priekšlikums</w:t>
      </w:r>
    </w:p>
    <w:p w14:paraId="72242CDF" w14:textId="77777777" w:rsidR="003B4857" w:rsidRPr="00DC0D23" w:rsidRDefault="003B4857" w:rsidP="003B4857">
      <w:pPr>
        <w:pStyle w:val="NormalBold"/>
      </w:pPr>
      <w:r w:rsidRPr="00DC0D23">
        <w:t>1.a pants (jauns)</w:t>
      </w:r>
    </w:p>
    <w:p w14:paraId="0151B91F" w14:textId="77777777" w:rsidR="00F25FC9" w:rsidRPr="00DC0D23" w:rsidRDefault="00F25FC9" w:rsidP="00F25FC9">
      <w:r w:rsidRPr="00DC0D23">
        <w:t>Lēmums (ES) 2015/1814 </w:t>
      </w:r>
    </w:p>
    <w:p w14:paraId="37378439" w14:textId="3AAC7272" w:rsidR="00F25FC9" w:rsidRPr="00DC0D23" w:rsidRDefault="00F25FC9" w:rsidP="00F25FC9">
      <w:r w:rsidRPr="00DC0D23">
        <w:t>3. pants – 1.a. daļa (jauna)</w:t>
      </w:r>
    </w:p>
    <w:p w14:paraId="3C74C219" w14:textId="77777777" w:rsidR="00F25FC9" w:rsidRPr="00DC0D23" w:rsidRDefault="00F25FC9" w:rsidP="003B485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4857" w:rsidRPr="00DC0D23" w14:paraId="04B6A651" w14:textId="77777777" w:rsidTr="00AD09C9">
        <w:trPr>
          <w:trHeight w:val="240"/>
          <w:jc w:val="center"/>
        </w:trPr>
        <w:tc>
          <w:tcPr>
            <w:tcW w:w="9752" w:type="dxa"/>
            <w:gridSpan w:val="2"/>
            <w:tcBorders>
              <w:top w:val="nil"/>
              <w:left w:val="nil"/>
              <w:bottom w:val="nil"/>
              <w:right w:val="nil"/>
            </w:tcBorders>
          </w:tcPr>
          <w:p w14:paraId="70DA608B" w14:textId="77777777" w:rsidR="003B4857" w:rsidRPr="00DC0D23" w:rsidRDefault="003B4857" w:rsidP="00AD09C9"/>
        </w:tc>
      </w:tr>
      <w:tr w:rsidR="003B4857" w:rsidRPr="00DC0D23" w14:paraId="737DDE34" w14:textId="77777777" w:rsidTr="00AD09C9">
        <w:trPr>
          <w:trHeight w:val="240"/>
          <w:jc w:val="center"/>
        </w:trPr>
        <w:tc>
          <w:tcPr>
            <w:tcW w:w="4876" w:type="dxa"/>
            <w:tcBorders>
              <w:top w:val="nil"/>
              <w:left w:val="nil"/>
              <w:bottom w:val="nil"/>
              <w:right w:val="nil"/>
            </w:tcBorders>
            <w:hideMark/>
          </w:tcPr>
          <w:p w14:paraId="6E17219A" w14:textId="77777777" w:rsidR="003B4857" w:rsidRPr="00DC0D23" w:rsidRDefault="003B4857" w:rsidP="00AD09C9">
            <w:pPr>
              <w:pStyle w:val="AmColumnHeading"/>
            </w:pPr>
            <w:r w:rsidRPr="00DC0D23">
              <w:t>Komisijas ierosinātais teksts</w:t>
            </w:r>
          </w:p>
        </w:tc>
        <w:tc>
          <w:tcPr>
            <w:tcW w:w="4876" w:type="dxa"/>
            <w:tcBorders>
              <w:top w:val="nil"/>
              <w:left w:val="nil"/>
              <w:bottom w:val="nil"/>
              <w:right w:val="nil"/>
            </w:tcBorders>
            <w:hideMark/>
          </w:tcPr>
          <w:p w14:paraId="08710949" w14:textId="77777777" w:rsidR="003B4857" w:rsidRPr="00DC0D23" w:rsidRDefault="003B4857" w:rsidP="00AD09C9">
            <w:pPr>
              <w:pStyle w:val="AmColumnHeading"/>
            </w:pPr>
            <w:r w:rsidRPr="00DC0D23">
              <w:t>Grozījums</w:t>
            </w:r>
          </w:p>
        </w:tc>
      </w:tr>
      <w:tr w:rsidR="003B4857" w:rsidRPr="00DC0D23" w14:paraId="18EFA320" w14:textId="77777777" w:rsidTr="00AD09C9">
        <w:trPr>
          <w:jc w:val="center"/>
        </w:trPr>
        <w:tc>
          <w:tcPr>
            <w:tcW w:w="4876" w:type="dxa"/>
            <w:tcBorders>
              <w:top w:val="nil"/>
              <w:left w:val="nil"/>
              <w:bottom w:val="nil"/>
              <w:right w:val="nil"/>
            </w:tcBorders>
          </w:tcPr>
          <w:p w14:paraId="3EC262EF" w14:textId="77777777" w:rsidR="003B4857" w:rsidRPr="00DC0D23" w:rsidRDefault="003B4857" w:rsidP="00AD09C9">
            <w:pPr>
              <w:pStyle w:val="Normal6a"/>
            </w:pPr>
          </w:p>
        </w:tc>
        <w:tc>
          <w:tcPr>
            <w:tcW w:w="4876" w:type="dxa"/>
            <w:tcBorders>
              <w:top w:val="nil"/>
              <w:left w:val="nil"/>
              <w:bottom w:val="nil"/>
              <w:right w:val="nil"/>
            </w:tcBorders>
            <w:hideMark/>
          </w:tcPr>
          <w:p w14:paraId="425A2FFC" w14:textId="77777777" w:rsidR="003B4857" w:rsidRPr="00DC0D23" w:rsidRDefault="003B4857" w:rsidP="00AD09C9">
            <w:pPr>
              <w:pStyle w:val="Normal6a"/>
              <w:jc w:val="center"/>
            </w:pPr>
            <w:r w:rsidRPr="00DC0D23">
              <w:rPr>
                <w:b/>
                <w:i/>
              </w:rPr>
              <w:t>1.a pants</w:t>
            </w:r>
            <w:r w:rsidRPr="00DC0D23">
              <w:tab/>
            </w:r>
          </w:p>
        </w:tc>
      </w:tr>
      <w:tr w:rsidR="003B4857" w:rsidRPr="00DC0D23" w14:paraId="527E91A5" w14:textId="77777777" w:rsidTr="00AD09C9">
        <w:trPr>
          <w:jc w:val="center"/>
        </w:trPr>
        <w:tc>
          <w:tcPr>
            <w:tcW w:w="4876" w:type="dxa"/>
            <w:tcBorders>
              <w:top w:val="nil"/>
              <w:left w:val="nil"/>
              <w:bottom w:val="nil"/>
              <w:right w:val="nil"/>
            </w:tcBorders>
          </w:tcPr>
          <w:p w14:paraId="3C51CE87" w14:textId="77777777" w:rsidR="003B4857" w:rsidRPr="00DC0D23" w:rsidRDefault="003B4857" w:rsidP="00AD09C9">
            <w:pPr>
              <w:pStyle w:val="Normal6a"/>
            </w:pPr>
          </w:p>
        </w:tc>
        <w:tc>
          <w:tcPr>
            <w:tcW w:w="4876" w:type="dxa"/>
            <w:tcBorders>
              <w:top w:val="nil"/>
              <w:left w:val="nil"/>
              <w:bottom w:val="nil"/>
              <w:right w:val="nil"/>
            </w:tcBorders>
            <w:hideMark/>
          </w:tcPr>
          <w:p w14:paraId="296CEAF5" w14:textId="2F353A91" w:rsidR="003B4857" w:rsidRPr="00DC0D23" w:rsidRDefault="00F25FC9" w:rsidP="00AD09C9">
            <w:pPr>
              <w:pStyle w:val="Normal6a"/>
            </w:pPr>
            <w:r w:rsidRPr="00DC0D23">
              <w:rPr>
                <w:b/>
                <w:i/>
              </w:rPr>
              <w:t>L</w:t>
            </w:r>
            <w:r w:rsidR="003B4857" w:rsidRPr="00DC0D23">
              <w:rPr>
                <w:b/>
                <w:i/>
              </w:rPr>
              <w:t>ēmuma</w:t>
            </w:r>
            <w:r w:rsidRPr="00DC0D23">
              <w:rPr>
                <w:b/>
                <w:i/>
              </w:rPr>
              <w:t>(ES) 2015/1814</w:t>
            </w:r>
            <w:r w:rsidR="003B4857" w:rsidRPr="00DC0D23">
              <w:rPr>
                <w:b/>
                <w:i/>
              </w:rPr>
              <w:t xml:space="preserve"> 3. pantam pievieno šādu daļu:</w:t>
            </w:r>
          </w:p>
        </w:tc>
      </w:tr>
      <w:tr w:rsidR="003B4857" w:rsidRPr="00DC0D23" w14:paraId="48A1D693" w14:textId="77777777" w:rsidTr="00AD09C9">
        <w:trPr>
          <w:jc w:val="center"/>
        </w:trPr>
        <w:tc>
          <w:tcPr>
            <w:tcW w:w="4876" w:type="dxa"/>
            <w:tcBorders>
              <w:top w:val="nil"/>
              <w:left w:val="nil"/>
              <w:bottom w:val="nil"/>
              <w:right w:val="nil"/>
            </w:tcBorders>
          </w:tcPr>
          <w:p w14:paraId="5CA63C35" w14:textId="77777777" w:rsidR="003B4857" w:rsidRPr="00DC0D23" w:rsidRDefault="003B4857" w:rsidP="00AD09C9">
            <w:pPr>
              <w:pStyle w:val="Normal6a"/>
            </w:pPr>
          </w:p>
        </w:tc>
        <w:tc>
          <w:tcPr>
            <w:tcW w:w="4876" w:type="dxa"/>
            <w:tcBorders>
              <w:top w:val="nil"/>
              <w:left w:val="nil"/>
              <w:bottom w:val="nil"/>
              <w:right w:val="nil"/>
            </w:tcBorders>
            <w:hideMark/>
          </w:tcPr>
          <w:p w14:paraId="7060B237" w14:textId="7667ADD1" w:rsidR="003B4857" w:rsidRPr="00DC0D23" w:rsidRDefault="003B4857" w:rsidP="00AD09C9">
            <w:pPr>
              <w:pStyle w:val="Normal6a"/>
            </w:pPr>
            <w:r w:rsidRPr="00DC0D23">
              <w:rPr>
                <w:b/>
                <w:i/>
              </w:rPr>
              <w:t xml:space="preserve">“Četru gadu laikā no brīža, kad sāk darboties emisijas kvotu tirdzniecība ēku, autotransporta un papildu sektoros, kas noteikti Direktīvas 2003/87/EK </w:t>
            </w:r>
            <w:proofErr w:type="spellStart"/>
            <w:r w:rsidRPr="00DC0D23">
              <w:rPr>
                <w:b/>
                <w:i/>
              </w:rPr>
              <w:t>IVa</w:t>
            </w:r>
            <w:proofErr w:type="spellEnd"/>
            <w:r w:rsidRPr="00DC0D23">
              <w:rPr>
                <w:b/>
                <w:i/>
              </w:rPr>
              <w:t xml:space="preserve"> nodaļā, Komisija veic ietekmes novērtējumu, tostarp distributīvās ietekmes novērtējumu, un izvērtē saskaņā ar </w:t>
            </w:r>
            <w:r w:rsidR="00F25FC9" w:rsidRPr="00DC0D23">
              <w:rPr>
                <w:b/>
                <w:i/>
              </w:rPr>
              <w:t xml:space="preserve">šā lēmuma </w:t>
            </w:r>
            <w:r w:rsidRPr="00DC0D23">
              <w:rPr>
                <w:b/>
                <w:i/>
              </w:rPr>
              <w:t xml:space="preserve">1.a pantu rezervē atlikušo kvotu </w:t>
            </w:r>
            <w:proofErr w:type="spellStart"/>
            <w:r w:rsidRPr="00DC0D23">
              <w:rPr>
                <w:b/>
                <w:i/>
              </w:rPr>
              <w:t>vidisko</w:t>
            </w:r>
            <w:proofErr w:type="spellEnd"/>
            <w:r w:rsidRPr="00DC0D23">
              <w:rPr>
                <w:b/>
                <w:i/>
              </w:rPr>
              <w:t xml:space="preserve">, sociālo un ekonomisko ietekmi, kā arī nosaka, vai ir lietderīgi minētās kvotas daļēji vai pilnībā atzīt par nederīgām. Minētajam </w:t>
            </w:r>
            <w:proofErr w:type="spellStart"/>
            <w:r w:rsidRPr="00DC0D23">
              <w:rPr>
                <w:b/>
                <w:i/>
              </w:rPr>
              <w:t>izvērtējumam</w:t>
            </w:r>
            <w:proofErr w:type="spellEnd"/>
            <w:r w:rsidRPr="00DC0D23">
              <w:rPr>
                <w:b/>
                <w:i/>
              </w:rPr>
              <w:t xml:space="preserve"> attiecīgā gadījumā pievieno tiesību akta priekšlikumu.”</w:t>
            </w:r>
          </w:p>
        </w:tc>
      </w:tr>
    </w:tbl>
    <w:p w14:paraId="09E61296" w14:textId="4CECC747" w:rsidR="00E365E1" w:rsidRPr="00DC0D23" w:rsidRDefault="00E365E1" w:rsidP="00B75CE1"/>
    <w:sectPr w:rsidR="00E365E1" w:rsidRPr="00DC0D23" w:rsidSect="004760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A079" w14:textId="77777777" w:rsidR="00B75CE1" w:rsidRPr="004760EA" w:rsidRDefault="00B75CE1">
      <w:r w:rsidRPr="004760EA">
        <w:separator/>
      </w:r>
    </w:p>
  </w:endnote>
  <w:endnote w:type="continuationSeparator" w:id="0">
    <w:p w14:paraId="23D8A2F4" w14:textId="77777777" w:rsidR="00B75CE1" w:rsidRPr="004760EA" w:rsidRDefault="00B75CE1">
      <w:r w:rsidRPr="004760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83EB" w14:textId="77777777" w:rsidR="00064002" w:rsidRPr="004760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2743" w14:textId="77777777" w:rsidR="00064002" w:rsidRPr="004760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94797" w14:textId="77777777" w:rsidR="00064002" w:rsidRPr="004760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E711" w14:textId="77777777" w:rsidR="00B75CE1" w:rsidRPr="004760EA" w:rsidRDefault="00B75CE1">
      <w:r w:rsidRPr="004760EA">
        <w:separator/>
      </w:r>
    </w:p>
  </w:footnote>
  <w:footnote w:type="continuationSeparator" w:id="0">
    <w:p w14:paraId="48BEF841" w14:textId="77777777" w:rsidR="00B75CE1" w:rsidRPr="004760EA" w:rsidRDefault="00B75CE1">
      <w:r w:rsidRPr="004760EA">
        <w:continuationSeparator/>
      </w:r>
    </w:p>
  </w:footnote>
  <w:footnote w:id="1">
    <w:p w14:paraId="7FDC38B7" w14:textId="2FB452E4" w:rsidR="00BD6A03" w:rsidRPr="00757E54" w:rsidRDefault="00BD6A03" w:rsidP="00BD6A03">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098</w:t>
      </w:r>
      <w:r w:rsidRPr="00FC687C">
        <w:rPr>
          <w:lang w:val="hu-HU"/>
        </w:rPr>
        <w:t>/20</w:t>
      </w:r>
      <w:r>
        <w:rPr>
          <w:lang w:val="hu-HU"/>
        </w:rPr>
        <w:t>26)</w:t>
      </w:r>
      <w:r w:rsidRPr="00620150">
        <w:t>.</w:t>
      </w:r>
    </w:p>
    <w:p w14:paraId="3E78C655" w14:textId="77777777" w:rsidR="00BD6A03" w:rsidRPr="00757E54" w:rsidRDefault="00BD6A03" w:rsidP="00BD6A03">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D3598" w14:textId="77777777" w:rsidR="00064002" w:rsidRPr="004760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25E4" w14:textId="77777777" w:rsidR="00064002" w:rsidRPr="004760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868E" w14:textId="77777777" w:rsidR="00064002" w:rsidRPr="004760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8954091">
    <w:abstractNumId w:val="9"/>
  </w:num>
  <w:num w:numId="2" w16cid:durableId="1670713349">
    <w:abstractNumId w:val="9"/>
  </w:num>
  <w:num w:numId="3" w16cid:durableId="103154451">
    <w:abstractNumId w:val="7"/>
  </w:num>
  <w:num w:numId="4" w16cid:durableId="1204750013">
    <w:abstractNumId w:val="7"/>
  </w:num>
  <w:num w:numId="5" w16cid:durableId="1646472456">
    <w:abstractNumId w:val="6"/>
  </w:num>
  <w:num w:numId="6" w16cid:durableId="1265461957">
    <w:abstractNumId w:val="6"/>
  </w:num>
  <w:num w:numId="7" w16cid:durableId="496503705">
    <w:abstractNumId w:val="5"/>
  </w:num>
  <w:num w:numId="8" w16cid:durableId="515074831">
    <w:abstractNumId w:val="5"/>
  </w:num>
  <w:num w:numId="9" w16cid:durableId="948699507">
    <w:abstractNumId w:val="4"/>
  </w:num>
  <w:num w:numId="10" w16cid:durableId="733427244">
    <w:abstractNumId w:val="4"/>
  </w:num>
  <w:num w:numId="11" w16cid:durableId="321737123">
    <w:abstractNumId w:val="8"/>
  </w:num>
  <w:num w:numId="12" w16cid:durableId="907304560">
    <w:abstractNumId w:val="8"/>
  </w:num>
  <w:num w:numId="13" w16cid:durableId="1559320798">
    <w:abstractNumId w:val="3"/>
  </w:num>
  <w:num w:numId="14" w16cid:durableId="1780372896">
    <w:abstractNumId w:val="3"/>
  </w:num>
  <w:num w:numId="15" w16cid:durableId="1752774589">
    <w:abstractNumId w:val="2"/>
  </w:num>
  <w:num w:numId="16" w16cid:durableId="2034794176">
    <w:abstractNumId w:val="2"/>
  </w:num>
  <w:num w:numId="17" w16cid:durableId="2058822466">
    <w:abstractNumId w:val="1"/>
  </w:num>
  <w:num w:numId="18" w16cid:durableId="1746492814">
    <w:abstractNumId w:val="1"/>
  </w:num>
  <w:num w:numId="19" w16cid:durableId="1114519910">
    <w:abstractNumId w:val="0"/>
  </w:num>
  <w:num w:numId="20" w16cid:durableId="2092314274">
    <w:abstractNumId w:val="0"/>
  </w:num>
  <w:num w:numId="21" w16cid:durableId="1539581811">
    <w:abstractNumId w:val="9"/>
  </w:num>
  <w:num w:numId="22" w16cid:durableId="1824466368">
    <w:abstractNumId w:val="7"/>
  </w:num>
  <w:num w:numId="23" w16cid:durableId="1282037331">
    <w:abstractNumId w:val="6"/>
  </w:num>
  <w:num w:numId="24" w16cid:durableId="576944820">
    <w:abstractNumId w:val="5"/>
  </w:num>
  <w:num w:numId="25" w16cid:durableId="71123731">
    <w:abstractNumId w:val="4"/>
  </w:num>
  <w:num w:numId="26" w16cid:durableId="133374243">
    <w:abstractNumId w:val="8"/>
  </w:num>
  <w:num w:numId="27" w16cid:durableId="1782534271">
    <w:abstractNumId w:val="3"/>
  </w:num>
  <w:num w:numId="28" w16cid:durableId="1695686039">
    <w:abstractNumId w:val="2"/>
  </w:num>
  <w:num w:numId="29" w16cid:durableId="924651705">
    <w:abstractNumId w:val="1"/>
  </w:num>
  <w:num w:numId="30" w16cid:durableId="1865705660">
    <w:abstractNumId w:val="0"/>
  </w:num>
  <w:num w:numId="31" w16cid:durableId="1966081349">
    <w:abstractNumId w:val="9"/>
  </w:num>
  <w:num w:numId="32" w16cid:durableId="35279985">
    <w:abstractNumId w:val="7"/>
  </w:num>
  <w:num w:numId="33" w16cid:durableId="97680542">
    <w:abstractNumId w:val="6"/>
  </w:num>
  <w:num w:numId="34" w16cid:durableId="1693148400">
    <w:abstractNumId w:val="5"/>
  </w:num>
  <w:num w:numId="35" w16cid:durableId="2127506646">
    <w:abstractNumId w:val="4"/>
  </w:num>
  <w:num w:numId="36" w16cid:durableId="1369987505">
    <w:abstractNumId w:val="8"/>
  </w:num>
  <w:num w:numId="37" w16cid:durableId="231963819">
    <w:abstractNumId w:val="3"/>
  </w:num>
  <w:num w:numId="38" w16cid:durableId="1894386629">
    <w:abstractNumId w:val="2"/>
  </w:num>
  <w:num w:numId="39" w16cid:durableId="304362105">
    <w:abstractNumId w:val="1"/>
  </w:num>
  <w:num w:numId="40" w16cid:durableId="1576361304">
    <w:abstractNumId w:val="0"/>
  </w:num>
  <w:num w:numId="41" w16cid:durableId="2002154282">
    <w:abstractNumId w:val="10"/>
  </w:num>
  <w:num w:numId="42" w16cid:durableId="1930657667">
    <w:abstractNumId w:val="10"/>
  </w:num>
  <w:num w:numId="43" w16cid:durableId="2046246562">
    <w:abstractNumId w:val="10"/>
  </w:num>
  <w:num w:numId="44" w16cid:durableId="4946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LV"/>
    <w:docVar w:name="dvnumam" w:val="0"/>
    <w:docVar w:name="dvpe" w:val="781.492"/>
    <w:docVar w:name="dvrapporteur" w:val="Referente: "/>
    <w:docVar w:name="dvstar" w:val="***I"/>
    <w:docVar w:name="dvtitre" w:val="Eiropas Parlamenta 2026. gada XX. XXX normatīvā rezolūcija par priekšlikumu Eiropas Parlamenta un Padomes lēmumam, ar ko groza Lēmumu (ES) 2015/1814 attiecībā uz tirgus stabilitātes rezerves izmantošanu ēku, autotransporta un papildu sektoros(COM(2025)0738 – C10-0320/2025 – 2025/0380(COD))"/>
  </w:docVars>
  <w:rsids>
    <w:rsidRoot w:val="00B75CE1"/>
    <w:rsid w:val="00002272"/>
    <w:rsid w:val="00064002"/>
    <w:rsid w:val="000677B9"/>
    <w:rsid w:val="000831BA"/>
    <w:rsid w:val="000A42CC"/>
    <w:rsid w:val="000E7DD9"/>
    <w:rsid w:val="0010095E"/>
    <w:rsid w:val="00125B37"/>
    <w:rsid w:val="00187494"/>
    <w:rsid w:val="001F32AE"/>
    <w:rsid w:val="00221018"/>
    <w:rsid w:val="002767FF"/>
    <w:rsid w:val="002B18FE"/>
    <w:rsid w:val="002B5493"/>
    <w:rsid w:val="00343214"/>
    <w:rsid w:val="00361C00"/>
    <w:rsid w:val="00395FA1"/>
    <w:rsid w:val="003B4857"/>
    <w:rsid w:val="003E15D4"/>
    <w:rsid w:val="00411CCE"/>
    <w:rsid w:val="0041666E"/>
    <w:rsid w:val="00421060"/>
    <w:rsid w:val="00425439"/>
    <w:rsid w:val="00471C19"/>
    <w:rsid w:val="004760E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CE1"/>
    <w:rsid w:val="00BD48FE"/>
    <w:rsid w:val="00BD6A03"/>
    <w:rsid w:val="00BD7BD8"/>
    <w:rsid w:val="00BE6ADC"/>
    <w:rsid w:val="00C05BFE"/>
    <w:rsid w:val="00C23CD4"/>
    <w:rsid w:val="00C61C0C"/>
    <w:rsid w:val="00C7621D"/>
    <w:rsid w:val="00C941CB"/>
    <w:rsid w:val="00CC2357"/>
    <w:rsid w:val="00CE41D3"/>
    <w:rsid w:val="00CF071A"/>
    <w:rsid w:val="00D00EBA"/>
    <w:rsid w:val="00D058B8"/>
    <w:rsid w:val="00D56C11"/>
    <w:rsid w:val="00D56E8E"/>
    <w:rsid w:val="00D834A0"/>
    <w:rsid w:val="00D872DF"/>
    <w:rsid w:val="00D91E21"/>
    <w:rsid w:val="00DA7FCD"/>
    <w:rsid w:val="00DC0D23"/>
    <w:rsid w:val="00E365E1"/>
    <w:rsid w:val="00E820A4"/>
    <w:rsid w:val="00EB006A"/>
    <w:rsid w:val="00EB4772"/>
    <w:rsid w:val="00ED169E"/>
    <w:rsid w:val="00ED4235"/>
    <w:rsid w:val="00F04346"/>
    <w:rsid w:val="00F075DC"/>
    <w:rsid w:val="00F149E9"/>
    <w:rsid w:val="00F25FC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A89FB"/>
  <w15:chartTrackingRefBased/>
  <w15:docId w15:val="{A0728584-B30F-43F1-8BA6-B2BB6899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5FC9"/>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1,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B4857"/>
    <w:pPr>
      <w:spacing w:after="120"/>
    </w:pPr>
  </w:style>
  <w:style w:type="paragraph" w:customStyle="1" w:styleId="NormalBold">
    <w:name w:val="NormalBold"/>
    <w:basedOn w:val="Normal"/>
    <w:link w:val="NormalBoldChar"/>
    <w:rsid w:val="003B4857"/>
    <w:rPr>
      <w:b/>
    </w:rPr>
  </w:style>
  <w:style w:type="paragraph" w:customStyle="1" w:styleId="NormalBold12a">
    <w:name w:val="NormalBold12a"/>
    <w:basedOn w:val="Normal"/>
    <w:rsid w:val="003B4857"/>
    <w:pPr>
      <w:spacing w:after="240"/>
    </w:pPr>
    <w:rPr>
      <w:b/>
    </w:rPr>
  </w:style>
  <w:style w:type="paragraph" w:customStyle="1" w:styleId="NormalHanging12a">
    <w:name w:val="NormalHanging12a"/>
    <w:basedOn w:val="Normal"/>
    <w:rsid w:val="003B4857"/>
    <w:pPr>
      <w:spacing w:after="240"/>
      <w:ind w:left="567" w:hanging="567"/>
    </w:pPr>
  </w:style>
  <w:style w:type="paragraph" w:customStyle="1" w:styleId="AmCrossRef">
    <w:name w:val="AmCrossRef"/>
    <w:basedOn w:val="Normal"/>
    <w:rsid w:val="003B4857"/>
    <w:pPr>
      <w:spacing w:before="240" w:after="240"/>
      <w:jc w:val="center"/>
    </w:pPr>
    <w:rPr>
      <w:i/>
    </w:rPr>
  </w:style>
  <w:style w:type="paragraph" w:customStyle="1" w:styleId="AmColumnHeading">
    <w:name w:val="AmColumnHeading"/>
    <w:basedOn w:val="Normal"/>
    <w:rsid w:val="003B4857"/>
    <w:pPr>
      <w:spacing w:after="240"/>
      <w:jc w:val="center"/>
    </w:pPr>
    <w:rPr>
      <w:i/>
    </w:rPr>
  </w:style>
  <w:style w:type="paragraph" w:customStyle="1" w:styleId="AmNumberTabs">
    <w:name w:val="AmNumberTabs"/>
    <w:basedOn w:val="Normal"/>
    <w:rsid w:val="003B48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B4857"/>
    <w:pPr>
      <w:spacing w:before="480" w:after="240"/>
    </w:pPr>
  </w:style>
  <w:style w:type="character" w:styleId="Hyperlink">
    <w:name w:val="Hyperlink"/>
    <w:basedOn w:val="DefaultParagraphFont"/>
    <w:rsid w:val="003B4857"/>
    <w:rPr>
      <w:color w:val="0563C1" w:themeColor="hyperlink"/>
      <w:u w:val="single"/>
    </w:rPr>
  </w:style>
  <w:style w:type="character" w:customStyle="1" w:styleId="NormalBoldChar">
    <w:name w:val="NormalBold Char"/>
    <w:basedOn w:val="DefaultParagraphFont"/>
    <w:link w:val="NormalBold"/>
    <w:locked/>
    <w:rsid w:val="003B4857"/>
    <w:rPr>
      <w:b/>
      <w:sz w:val="24"/>
      <w:lang w:val="lv-LV"/>
    </w:rPr>
  </w:style>
  <w:style w:type="paragraph" w:styleId="Revision">
    <w:name w:val="Revision"/>
    <w:hidden/>
    <w:uiPriority w:val="99"/>
    <w:semiHidden/>
    <w:rsid w:val="00F25FC9"/>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BD6A03"/>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1276</Words>
  <Characters>8709</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2026-04-29T14:02:00Z</dcterms:created>
  <dcterms:modified xsi:type="dcterms:W3CDTF">2026-04-29T14:02:00Z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A10-0098/2026</vt:lpwstr>
  </property>
  <property fmtid="{D5CDD505-2E9C-101B-9397-08002B2CF9AE}" pid="4" name="&lt;Type&gt;">
    <vt:lpwstr>RR</vt:lpwstr>
  </property>
</Properties>
</file>