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49C4" w14:paraId="3A65DF46" w14:textId="77777777" w:rsidTr="0010095E">
        <w:trPr>
          <w:trHeight w:hRule="exact" w:val="1418"/>
        </w:trPr>
        <w:tc>
          <w:tcPr>
            <w:tcW w:w="6804" w:type="dxa"/>
            <w:shd w:val="clear" w:color="auto" w:fill="auto"/>
            <w:vAlign w:val="center"/>
          </w:tcPr>
          <w:p w14:paraId="0AD7BF0A" w14:textId="77777777" w:rsidR="00751A4A" w:rsidRPr="00F949C4" w:rsidRDefault="0043059A" w:rsidP="006A2F73">
            <w:pPr>
              <w:pStyle w:val="EPName"/>
              <w:ind w:left="567" w:hanging="567"/>
            </w:pPr>
            <w:r w:rsidRPr="00F949C4">
              <w:t>Parlament Europejski</w:t>
            </w:r>
          </w:p>
          <w:p w14:paraId="11C8A7A5" w14:textId="77777777" w:rsidR="00751A4A" w:rsidRPr="00F949C4" w:rsidRDefault="005F1B17" w:rsidP="005F1B17">
            <w:pPr>
              <w:pStyle w:val="EPTerm"/>
              <w:rPr>
                <w:rStyle w:val="HideTWBExt"/>
                <w:noProof w:val="0"/>
                <w:vanish w:val="0"/>
                <w:color w:val="auto"/>
              </w:rPr>
            </w:pPr>
            <w:r w:rsidRPr="00F949C4">
              <w:t>2024</w:t>
            </w:r>
            <w:r w:rsidR="00817416" w:rsidRPr="00F949C4">
              <w:t>-202</w:t>
            </w:r>
            <w:r w:rsidRPr="00F949C4">
              <w:t>9</w:t>
            </w:r>
          </w:p>
        </w:tc>
        <w:tc>
          <w:tcPr>
            <w:tcW w:w="2268" w:type="dxa"/>
            <w:shd w:val="clear" w:color="auto" w:fill="auto"/>
          </w:tcPr>
          <w:p w14:paraId="59D42395" w14:textId="77777777" w:rsidR="00751A4A" w:rsidRPr="00F949C4" w:rsidRDefault="00187494" w:rsidP="0010095E">
            <w:pPr>
              <w:pStyle w:val="EPLogo"/>
            </w:pPr>
            <w:r w:rsidRPr="00F949C4">
              <w:rPr>
                <w:noProof/>
                <w:lang w:eastAsia="ja-JP"/>
              </w:rPr>
              <w:drawing>
                <wp:inline distT="0" distB="0" distL="0" distR="0" wp14:anchorId="5A1E978E" wp14:editId="62A903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335997" w14:textId="77777777" w:rsidR="00D058B8" w:rsidRPr="00F949C4" w:rsidRDefault="00D058B8" w:rsidP="004C5D52">
      <w:pPr>
        <w:pStyle w:val="LineTop"/>
      </w:pPr>
    </w:p>
    <w:p w14:paraId="5A00FBE7" w14:textId="77777777" w:rsidR="00680577" w:rsidRPr="00F949C4" w:rsidRDefault="0043059A" w:rsidP="00680577">
      <w:pPr>
        <w:pStyle w:val="EPBodyTA1"/>
      </w:pPr>
      <w:r w:rsidRPr="00F949C4">
        <w:t>TEKSTY PRZYJĘTE</w:t>
      </w:r>
    </w:p>
    <w:p w14:paraId="72CCA51B" w14:textId="77777777" w:rsidR="00D058B8" w:rsidRPr="00F949C4" w:rsidRDefault="00D058B8" w:rsidP="00D058B8">
      <w:pPr>
        <w:pStyle w:val="LineBottom"/>
      </w:pPr>
    </w:p>
    <w:p w14:paraId="2FE6F4FF" w14:textId="7DBDF087" w:rsidR="0043059A" w:rsidRPr="00F949C4" w:rsidRDefault="0043059A" w:rsidP="0043059A">
      <w:pPr>
        <w:pStyle w:val="ATHeading1"/>
      </w:pPr>
      <w:bookmarkStart w:id="0" w:name="TANumber"/>
      <w:r w:rsidRPr="00F949C4">
        <w:t>P10_TA(2026)0</w:t>
      </w:r>
      <w:bookmarkEnd w:id="0"/>
      <w:r w:rsidR="00573A31">
        <w:t>139</w:t>
      </w:r>
    </w:p>
    <w:p w14:paraId="4A519B99" w14:textId="0526CBD6" w:rsidR="0043059A" w:rsidRPr="00F949C4" w:rsidRDefault="0089474B" w:rsidP="0089474B">
      <w:pPr>
        <w:pStyle w:val="ATHeading2"/>
      </w:pPr>
      <w:r w:rsidRPr="0089474B">
        <w:rPr>
          <w:bCs/>
        </w:rPr>
        <w:t>Rezerwa stabilności rynkowej dla sektora budowlanego, sektora transportu drogowego i sektorów</w:t>
      </w:r>
      <w:r>
        <w:rPr>
          <w:bCs/>
        </w:rPr>
        <w:t xml:space="preserve"> </w:t>
      </w:r>
      <w:r w:rsidRPr="0089474B">
        <w:rPr>
          <w:bCs/>
        </w:rPr>
        <w:t>dodatkowych</w:t>
      </w:r>
    </w:p>
    <w:p w14:paraId="37CB28EE" w14:textId="77777777" w:rsidR="0043059A" w:rsidRPr="00F949C4" w:rsidRDefault="0043059A" w:rsidP="0043059A">
      <w:pPr>
        <w:rPr>
          <w:i/>
          <w:vanish/>
        </w:rPr>
      </w:pPr>
      <w:r w:rsidRPr="00F949C4">
        <w:rPr>
          <w:i/>
        </w:rPr>
        <w:fldChar w:fldCharType="begin"/>
      </w:r>
      <w:r w:rsidRPr="00F949C4">
        <w:rPr>
          <w:i/>
        </w:rPr>
        <w:instrText xml:space="preserve"> TC"(</w:instrText>
      </w:r>
      <w:bookmarkStart w:id="1" w:name="DocNumber"/>
      <w:r w:rsidRPr="00F949C4">
        <w:rPr>
          <w:i/>
        </w:rPr>
        <w:instrText>A10-0098/2026</w:instrText>
      </w:r>
      <w:bookmarkEnd w:id="1"/>
      <w:r w:rsidRPr="00F949C4">
        <w:rPr>
          <w:i/>
        </w:rPr>
        <w:instrText xml:space="preserve"> - Sprawozdawca: Danuše Nerudová)"\l3 \n&gt; \* MERGEFORMAT </w:instrText>
      </w:r>
      <w:r w:rsidRPr="00F949C4">
        <w:rPr>
          <w:i/>
        </w:rPr>
        <w:fldChar w:fldCharType="end"/>
      </w:r>
    </w:p>
    <w:p w14:paraId="07EDFEF7" w14:textId="77777777" w:rsidR="0043059A" w:rsidRPr="00F949C4" w:rsidRDefault="0043059A" w:rsidP="0043059A">
      <w:pPr>
        <w:rPr>
          <w:vanish/>
        </w:rPr>
      </w:pPr>
      <w:bookmarkStart w:id="2" w:name="Commission"/>
      <w:r w:rsidRPr="00F949C4">
        <w:rPr>
          <w:vanish/>
        </w:rPr>
        <w:t>Komisja Ochrony Środowiska Naturalnego, Klimatu i Bezpieczeństwa Żywności</w:t>
      </w:r>
      <w:bookmarkEnd w:id="2"/>
    </w:p>
    <w:p w14:paraId="505B0EAA" w14:textId="5EB957D1" w:rsidR="0043059A" w:rsidRPr="00F949C4" w:rsidRDefault="0043059A" w:rsidP="0043059A">
      <w:pPr>
        <w:rPr>
          <w:vanish/>
        </w:rPr>
      </w:pPr>
      <w:bookmarkStart w:id="3" w:name="PE"/>
      <w:r w:rsidRPr="00F949C4">
        <w:rPr>
          <w:vanish/>
        </w:rPr>
        <w:t>PE78</w:t>
      </w:r>
      <w:r w:rsidR="0089474B">
        <w:rPr>
          <w:vanish/>
        </w:rPr>
        <w:t>3</w:t>
      </w:r>
      <w:r w:rsidRPr="00F949C4">
        <w:rPr>
          <w:vanish/>
        </w:rPr>
        <w:t>.</w:t>
      </w:r>
      <w:r w:rsidR="0089474B">
        <w:rPr>
          <w:vanish/>
        </w:rPr>
        <w:t>023</w:t>
      </w:r>
      <w:bookmarkEnd w:id="3"/>
    </w:p>
    <w:p w14:paraId="504E6DCB" w14:textId="61BE5CAB" w:rsidR="0043059A" w:rsidRPr="006A2F73" w:rsidRDefault="00F70426" w:rsidP="0043059A">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89474B">
        <w:t>29 kwietnia</w:t>
      </w:r>
      <w:r w:rsidR="0043059A" w:rsidRPr="00F949C4">
        <w:t xml:space="preserve"> 2026 r. w sprawie wniosku dotyczącego decyzji Parlamentu Europejskiego i Rady zmieniającej decyzję (UE) 2015/1814 w odniesieniu do rezerwy stabilności rynkowej dla sektora budowlanego, sektora transportu drogowego i sektorów dodatkowych</w:t>
      </w:r>
      <w:bookmarkEnd w:id="4"/>
      <w:r w:rsidR="0043059A" w:rsidRPr="00F949C4">
        <w:t xml:space="preserve"> </w:t>
      </w:r>
      <w:bookmarkStart w:id="5" w:name="References"/>
      <w:r w:rsidR="0043059A" w:rsidRPr="00F949C4">
        <w:t>(COM(2025)0738 – C10-0320/2025 – 2025/0380(COD))</w:t>
      </w:r>
      <w:bookmarkEnd w:id="5"/>
      <w:r w:rsidRPr="00CD2102">
        <w:rPr>
          <w:rStyle w:val="FootnoteReference"/>
          <w:lang w:val="en-GB"/>
        </w:rPr>
        <w:footnoteReference w:id="1"/>
      </w:r>
    </w:p>
    <w:p w14:paraId="5057CEEA" w14:textId="77777777" w:rsidR="0030692C" w:rsidRPr="00F949C4" w:rsidRDefault="0030692C" w:rsidP="0030692C">
      <w:pPr>
        <w:pStyle w:val="NormalBold"/>
      </w:pPr>
      <w:r w:rsidRPr="00F949C4">
        <w:t>(Zwykła procedura ustawodawcza: pierwsze czytanie)</w:t>
      </w:r>
    </w:p>
    <w:p w14:paraId="4D78C614" w14:textId="6BFAF6C4" w:rsidR="0030692C" w:rsidRPr="00F949C4" w:rsidRDefault="0030692C" w:rsidP="0030692C">
      <w:pPr>
        <w:pStyle w:val="NormalHanging12a"/>
      </w:pPr>
      <w:r w:rsidRPr="00F949C4">
        <w:br w:type="page"/>
      </w:r>
    </w:p>
    <w:p w14:paraId="2D53BBDE" w14:textId="77777777" w:rsidR="0030692C" w:rsidRPr="00F949C4" w:rsidRDefault="0030692C" w:rsidP="0030692C">
      <w:pPr>
        <w:pStyle w:val="NormalHanging12a"/>
      </w:pPr>
    </w:p>
    <w:p w14:paraId="005AFBE2" w14:textId="77777777" w:rsidR="0030692C" w:rsidRPr="00F949C4" w:rsidRDefault="0030692C" w:rsidP="0030692C"/>
    <w:p w14:paraId="3D7DC479" w14:textId="77777777" w:rsidR="0030692C" w:rsidRPr="00F949C4" w:rsidRDefault="0030692C" w:rsidP="0030692C">
      <w:pPr>
        <w:pStyle w:val="AmNumberTabs"/>
        <w:keepNext/>
      </w:pPr>
      <w:r w:rsidRPr="00F949C4">
        <w:t>Poprawka</w:t>
      </w:r>
      <w:r w:rsidRPr="00F949C4">
        <w:tab/>
      </w:r>
      <w:r w:rsidRPr="00F949C4">
        <w:tab/>
        <w:t>1</w:t>
      </w:r>
    </w:p>
    <w:p w14:paraId="1CE738B7" w14:textId="77777777" w:rsidR="0030692C" w:rsidRPr="00F949C4" w:rsidRDefault="0030692C" w:rsidP="0030692C">
      <w:pPr>
        <w:pStyle w:val="NormalBold"/>
      </w:pPr>
      <w:r w:rsidRPr="00F949C4">
        <w:t>Wniosek dotyczący decyzji</w:t>
      </w:r>
    </w:p>
    <w:p w14:paraId="6D7795C6" w14:textId="77777777" w:rsidR="0030692C" w:rsidRPr="00F949C4" w:rsidRDefault="0030692C" w:rsidP="0030692C">
      <w:pPr>
        <w:pStyle w:val="NormalBold"/>
      </w:pPr>
      <w:r w:rsidRPr="00F949C4">
        <w:t>Motyw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36753DB9" w14:textId="77777777" w:rsidTr="004C048D">
        <w:trPr>
          <w:trHeight w:val="240"/>
          <w:jc w:val="center"/>
        </w:trPr>
        <w:tc>
          <w:tcPr>
            <w:tcW w:w="9752" w:type="dxa"/>
            <w:gridSpan w:val="2"/>
            <w:tcBorders>
              <w:top w:val="nil"/>
              <w:left w:val="nil"/>
              <w:bottom w:val="nil"/>
              <w:right w:val="nil"/>
            </w:tcBorders>
          </w:tcPr>
          <w:p w14:paraId="1FB9D035" w14:textId="77777777" w:rsidR="0030692C" w:rsidRPr="00F949C4" w:rsidRDefault="0030692C" w:rsidP="004C048D"/>
        </w:tc>
      </w:tr>
      <w:tr w:rsidR="0030692C" w:rsidRPr="00F949C4" w14:paraId="3D8FF396" w14:textId="77777777" w:rsidTr="004C048D">
        <w:trPr>
          <w:trHeight w:val="240"/>
          <w:jc w:val="center"/>
        </w:trPr>
        <w:tc>
          <w:tcPr>
            <w:tcW w:w="4876" w:type="dxa"/>
            <w:tcBorders>
              <w:top w:val="nil"/>
              <w:left w:val="nil"/>
              <w:bottom w:val="nil"/>
              <w:right w:val="nil"/>
            </w:tcBorders>
            <w:hideMark/>
          </w:tcPr>
          <w:p w14:paraId="4ACDAC16"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4F4FA594" w14:textId="77777777" w:rsidR="0030692C" w:rsidRPr="00F949C4" w:rsidRDefault="0030692C" w:rsidP="004C048D">
            <w:pPr>
              <w:pStyle w:val="AmColumnHeading"/>
            </w:pPr>
            <w:r w:rsidRPr="00F949C4">
              <w:t>Poprawka</w:t>
            </w:r>
          </w:p>
        </w:tc>
      </w:tr>
      <w:tr w:rsidR="0030692C" w:rsidRPr="00F949C4" w14:paraId="52FE310B" w14:textId="77777777" w:rsidTr="004C048D">
        <w:trPr>
          <w:jc w:val="center"/>
        </w:trPr>
        <w:tc>
          <w:tcPr>
            <w:tcW w:w="4876" w:type="dxa"/>
            <w:tcBorders>
              <w:top w:val="nil"/>
              <w:left w:val="nil"/>
              <w:bottom w:val="nil"/>
              <w:right w:val="nil"/>
            </w:tcBorders>
          </w:tcPr>
          <w:p w14:paraId="56808CA5" w14:textId="77777777" w:rsidR="0030692C" w:rsidRPr="00F949C4" w:rsidRDefault="0030692C" w:rsidP="004C048D">
            <w:pPr>
              <w:pStyle w:val="Normal6a"/>
            </w:pPr>
          </w:p>
        </w:tc>
        <w:tc>
          <w:tcPr>
            <w:tcW w:w="4876" w:type="dxa"/>
            <w:tcBorders>
              <w:top w:val="nil"/>
              <w:left w:val="nil"/>
              <w:bottom w:val="nil"/>
              <w:right w:val="nil"/>
            </w:tcBorders>
            <w:hideMark/>
          </w:tcPr>
          <w:p w14:paraId="1CA076E7" w14:textId="77777777" w:rsidR="0030692C" w:rsidRPr="00F949C4" w:rsidRDefault="0030692C" w:rsidP="004C048D">
            <w:pPr>
              <w:pStyle w:val="Normal6a"/>
            </w:pPr>
            <w:r w:rsidRPr="00F949C4">
              <w:rPr>
                <w:b/>
                <w:i/>
              </w:rPr>
              <w:t>(1a)</w:t>
            </w:r>
            <w:r w:rsidRPr="00F949C4">
              <w:tab/>
            </w:r>
            <w:r w:rsidRPr="00F949C4">
              <w:rPr>
                <w:b/>
                <w:i/>
              </w:rPr>
              <w:t>12 grudnia 2019 r. Rada Europejska zatwierdziła cel, którym jest osiągnięcie do 2050 r. neutralności klimatycznej w Unii, zgodnie z celami porozumienia paryskiego.</w:t>
            </w:r>
          </w:p>
        </w:tc>
      </w:tr>
    </w:tbl>
    <w:p w14:paraId="7CAC4484" w14:textId="77777777" w:rsidR="0030692C" w:rsidRPr="00F949C4" w:rsidRDefault="0030692C" w:rsidP="0030692C"/>
    <w:p w14:paraId="77CD6DC4" w14:textId="77777777" w:rsidR="0030692C" w:rsidRPr="00F949C4" w:rsidRDefault="0030692C" w:rsidP="0030692C">
      <w:pPr>
        <w:pStyle w:val="AmNumberTabs"/>
      </w:pPr>
      <w:r w:rsidRPr="00F949C4">
        <w:t>Poprawka</w:t>
      </w:r>
      <w:r w:rsidRPr="00F949C4">
        <w:tab/>
      </w:r>
      <w:r w:rsidRPr="00F949C4">
        <w:tab/>
        <w:t>2</w:t>
      </w:r>
    </w:p>
    <w:p w14:paraId="1EF8F51C" w14:textId="77777777" w:rsidR="0030692C" w:rsidRPr="00F949C4" w:rsidRDefault="0030692C" w:rsidP="0030692C">
      <w:pPr>
        <w:pStyle w:val="NormalBold"/>
      </w:pPr>
      <w:r w:rsidRPr="00F949C4">
        <w:t>Wniosek dotyczący decyzji</w:t>
      </w:r>
    </w:p>
    <w:p w14:paraId="4FE00538" w14:textId="77777777" w:rsidR="0030692C" w:rsidRPr="00F949C4" w:rsidRDefault="0030692C" w:rsidP="0030692C">
      <w:pPr>
        <w:pStyle w:val="NormalBold"/>
      </w:pPr>
      <w:r w:rsidRPr="00F949C4">
        <w:t>Motyw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6DFBF699" w14:textId="77777777" w:rsidTr="004C048D">
        <w:trPr>
          <w:trHeight w:val="240"/>
          <w:jc w:val="center"/>
        </w:trPr>
        <w:tc>
          <w:tcPr>
            <w:tcW w:w="9752" w:type="dxa"/>
            <w:gridSpan w:val="2"/>
            <w:tcBorders>
              <w:top w:val="nil"/>
              <w:left w:val="nil"/>
              <w:bottom w:val="nil"/>
              <w:right w:val="nil"/>
            </w:tcBorders>
          </w:tcPr>
          <w:p w14:paraId="60350B36" w14:textId="77777777" w:rsidR="0030692C" w:rsidRPr="00F949C4" w:rsidRDefault="0030692C" w:rsidP="004C048D"/>
        </w:tc>
      </w:tr>
      <w:tr w:rsidR="0030692C" w:rsidRPr="00F949C4" w14:paraId="0AD50697" w14:textId="77777777" w:rsidTr="004C048D">
        <w:trPr>
          <w:trHeight w:val="240"/>
          <w:jc w:val="center"/>
        </w:trPr>
        <w:tc>
          <w:tcPr>
            <w:tcW w:w="4876" w:type="dxa"/>
            <w:tcBorders>
              <w:top w:val="nil"/>
              <w:left w:val="nil"/>
              <w:bottom w:val="nil"/>
              <w:right w:val="nil"/>
            </w:tcBorders>
            <w:hideMark/>
          </w:tcPr>
          <w:p w14:paraId="76303F91"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3403A4C6" w14:textId="77777777" w:rsidR="0030692C" w:rsidRPr="00F949C4" w:rsidRDefault="0030692C" w:rsidP="004C048D">
            <w:pPr>
              <w:pStyle w:val="AmColumnHeading"/>
            </w:pPr>
            <w:r w:rsidRPr="00F949C4">
              <w:t>Poprawka</w:t>
            </w:r>
          </w:p>
        </w:tc>
      </w:tr>
      <w:tr w:rsidR="0030692C" w:rsidRPr="00F949C4" w14:paraId="3587708A" w14:textId="77777777" w:rsidTr="004C048D">
        <w:trPr>
          <w:jc w:val="center"/>
        </w:trPr>
        <w:tc>
          <w:tcPr>
            <w:tcW w:w="4876" w:type="dxa"/>
            <w:tcBorders>
              <w:top w:val="nil"/>
              <w:left w:val="nil"/>
              <w:bottom w:val="nil"/>
              <w:right w:val="nil"/>
            </w:tcBorders>
            <w:hideMark/>
          </w:tcPr>
          <w:p w14:paraId="296A8D59" w14:textId="77777777" w:rsidR="0030692C" w:rsidRPr="00F949C4" w:rsidRDefault="0030692C" w:rsidP="004C048D">
            <w:pPr>
              <w:pStyle w:val="Normal6a"/>
            </w:pPr>
            <w:r w:rsidRPr="00F949C4">
              <w:t>(3)</w:t>
            </w:r>
            <w:r w:rsidRPr="00F949C4">
              <w:tab/>
              <w:t>Przeprowadzona analiza przewidywanego funkcjonowania rezerwy, z uwzględnieniem najnowszych informacji, wskazuje, że ukierunkowane zmiany niektórych parametrów przyczyniłyby się do zwiększenia przewidywalności rynku i stabilności zmian cen w pierwszych latach funkcjonowania nowego systemu.</w:t>
            </w:r>
          </w:p>
        </w:tc>
        <w:tc>
          <w:tcPr>
            <w:tcW w:w="4876" w:type="dxa"/>
            <w:tcBorders>
              <w:top w:val="nil"/>
              <w:left w:val="nil"/>
              <w:bottom w:val="nil"/>
              <w:right w:val="nil"/>
            </w:tcBorders>
            <w:hideMark/>
          </w:tcPr>
          <w:p w14:paraId="77BD5589" w14:textId="77777777" w:rsidR="0030692C" w:rsidRPr="00F949C4" w:rsidRDefault="0030692C" w:rsidP="004C048D">
            <w:pPr>
              <w:pStyle w:val="Normal6a"/>
            </w:pPr>
            <w:r w:rsidRPr="00F949C4">
              <w:t>(3)</w:t>
            </w:r>
            <w:r w:rsidRPr="00F949C4">
              <w:tab/>
              <w:t xml:space="preserve">Przeprowadzona analiza przewidywanego funkcjonowania rezerwy, z uwzględnieniem najnowszych informacji, wskazuje, że ukierunkowane zmiany niektórych parametrów przyczyniłyby się do zwiększenia przewidywalności rynku i stabilności zmian cen w pierwszych latach funkcjonowania nowego systemu. </w:t>
            </w:r>
            <w:r w:rsidRPr="00F949C4">
              <w:rPr>
                <w:b/>
                <w:i/>
              </w:rPr>
              <w:t>Aby zmiany nie utrudniały wysiłków Unii na rzecz dekarbonizacji, konieczne są dodatkowe działania państw członkowskich. Według Europejskiego Banku Centralnego zielone inwestycje w Unii utrzymują się poniżej poziomów wymaganych do osiągnięcia celu dekarbonizacji na 2030 r. W związku z tym państwa członkowskie muszą zachować czujność wobec ryzyka luki w zielonym finansowaniu.</w:t>
            </w:r>
          </w:p>
        </w:tc>
      </w:tr>
    </w:tbl>
    <w:p w14:paraId="27F53D12" w14:textId="77777777" w:rsidR="0030692C" w:rsidRPr="00F949C4" w:rsidRDefault="0030692C" w:rsidP="0030692C"/>
    <w:p w14:paraId="06349457" w14:textId="77777777" w:rsidR="0030692C" w:rsidRPr="00F949C4" w:rsidRDefault="0030692C" w:rsidP="0030692C">
      <w:pPr>
        <w:pStyle w:val="AmNumberTabs"/>
      </w:pPr>
      <w:r w:rsidRPr="00F949C4">
        <w:t>Poprawka</w:t>
      </w:r>
      <w:r w:rsidRPr="00F949C4">
        <w:tab/>
      </w:r>
      <w:r w:rsidRPr="00F949C4">
        <w:tab/>
        <w:t>3</w:t>
      </w:r>
    </w:p>
    <w:p w14:paraId="2A2B74F2" w14:textId="77777777" w:rsidR="0030692C" w:rsidRPr="00F949C4" w:rsidRDefault="0030692C" w:rsidP="0030692C">
      <w:pPr>
        <w:pStyle w:val="NormalBold"/>
      </w:pPr>
      <w:r w:rsidRPr="00F949C4">
        <w:t>Wniosek dotyczący decyzji</w:t>
      </w:r>
    </w:p>
    <w:p w14:paraId="60322940" w14:textId="77777777" w:rsidR="0030692C" w:rsidRPr="00F949C4" w:rsidRDefault="0030692C" w:rsidP="0030692C">
      <w:pPr>
        <w:pStyle w:val="NormalBold"/>
      </w:pPr>
      <w:r w:rsidRPr="00F949C4">
        <w:t>Motyw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6FE36829" w14:textId="77777777" w:rsidTr="004C048D">
        <w:trPr>
          <w:trHeight w:val="240"/>
          <w:jc w:val="center"/>
        </w:trPr>
        <w:tc>
          <w:tcPr>
            <w:tcW w:w="9752" w:type="dxa"/>
            <w:gridSpan w:val="2"/>
            <w:tcBorders>
              <w:top w:val="nil"/>
              <w:left w:val="nil"/>
              <w:bottom w:val="nil"/>
              <w:right w:val="nil"/>
            </w:tcBorders>
          </w:tcPr>
          <w:p w14:paraId="7F656512" w14:textId="77777777" w:rsidR="0030692C" w:rsidRPr="00F949C4" w:rsidRDefault="0030692C" w:rsidP="004C048D"/>
        </w:tc>
      </w:tr>
      <w:tr w:rsidR="0030692C" w:rsidRPr="00F949C4" w14:paraId="684ACDED" w14:textId="77777777" w:rsidTr="004C048D">
        <w:trPr>
          <w:trHeight w:val="240"/>
          <w:jc w:val="center"/>
        </w:trPr>
        <w:tc>
          <w:tcPr>
            <w:tcW w:w="4876" w:type="dxa"/>
            <w:tcBorders>
              <w:top w:val="nil"/>
              <w:left w:val="nil"/>
              <w:bottom w:val="nil"/>
              <w:right w:val="nil"/>
            </w:tcBorders>
            <w:hideMark/>
          </w:tcPr>
          <w:p w14:paraId="021FDA38"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1B034A6C" w14:textId="77777777" w:rsidR="0030692C" w:rsidRPr="00F949C4" w:rsidRDefault="0030692C" w:rsidP="004C048D">
            <w:pPr>
              <w:pStyle w:val="AmColumnHeading"/>
            </w:pPr>
            <w:r w:rsidRPr="00F949C4">
              <w:t>Poprawka</w:t>
            </w:r>
          </w:p>
        </w:tc>
      </w:tr>
      <w:tr w:rsidR="0030692C" w:rsidRPr="00F949C4" w14:paraId="476EC887" w14:textId="77777777" w:rsidTr="004C048D">
        <w:trPr>
          <w:jc w:val="center"/>
        </w:trPr>
        <w:tc>
          <w:tcPr>
            <w:tcW w:w="4876" w:type="dxa"/>
            <w:tcBorders>
              <w:top w:val="nil"/>
              <w:left w:val="nil"/>
              <w:bottom w:val="nil"/>
              <w:right w:val="nil"/>
            </w:tcBorders>
          </w:tcPr>
          <w:p w14:paraId="18CAF2E3" w14:textId="77777777" w:rsidR="0030692C" w:rsidRPr="00F949C4" w:rsidRDefault="0030692C" w:rsidP="004C048D">
            <w:pPr>
              <w:pStyle w:val="Normal6a"/>
            </w:pPr>
          </w:p>
        </w:tc>
        <w:tc>
          <w:tcPr>
            <w:tcW w:w="4876" w:type="dxa"/>
            <w:tcBorders>
              <w:top w:val="nil"/>
              <w:left w:val="nil"/>
              <w:bottom w:val="nil"/>
              <w:right w:val="nil"/>
            </w:tcBorders>
            <w:hideMark/>
          </w:tcPr>
          <w:p w14:paraId="3CD4B69F" w14:textId="77777777" w:rsidR="0030692C" w:rsidRPr="00F949C4" w:rsidRDefault="0030692C" w:rsidP="004C048D">
            <w:pPr>
              <w:pStyle w:val="Normal6a"/>
            </w:pPr>
            <w:r w:rsidRPr="00F949C4">
              <w:rPr>
                <w:b/>
                <w:i/>
              </w:rPr>
              <w:t>(3a)</w:t>
            </w:r>
            <w:r w:rsidRPr="00F949C4">
              <w:tab/>
            </w:r>
            <w:r w:rsidRPr="00F949C4">
              <w:rPr>
                <w:b/>
                <w:i/>
              </w:rPr>
              <w:t xml:space="preserve">Wdrożeniu systemu handlu uprawnieniami do emisji w odniesieniu do sektora budowlanego, sektora transportu drogowego i sektorów dodatkowych muszą towarzyszyć uzupełniające środki dekarbonizacji, które są najskuteczniejszym narzędziem pomagającym gospodarstwom domowym zredukować zależność od paliw kopalnych i łagodzącym negatywny wpływ ETS2 na konsumentów, biorąc pod </w:t>
            </w:r>
            <w:proofErr w:type="gramStart"/>
            <w:r w:rsidRPr="00F949C4">
              <w:rPr>
                <w:b/>
                <w:i/>
              </w:rPr>
              <w:t>uwagę</w:t>
            </w:r>
            <w:proofErr w:type="gramEnd"/>
            <w:r w:rsidRPr="00F949C4">
              <w:rPr>
                <w:b/>
                <w:i/>
              </w:rPr>
              <w:t xml:space="preserve"> że popyt na paliwa w budynkach i transporcie jest zasadniczo nieelastyczny w krótkiej perspektywie. Państwa członkowskie są zobowiązane do wykorzystania dochodów ze sprzedaży na aukcji uprawnień do emisji do celów określonych w art. 30d ust. 6 dyrektywy 2003/87/</w:t>
            </w:r>
            <w:proofErr w:type="gramStart"/>
            <w:r w:rsidRPr="00F949C4">
              <w:rPr>
                <w:b/>
                <w:i/>
              </w:rPr>
              <w:t>WE,</w:t>
            </w:r>
            <w:proofErr w:type="gramEnd"/>
            <w:r w:rsidRPr="00F949C4">
              <w:rPr>
                <w:b/>
                <w:i/>
              </w:rPr>
              <w:t xml:space="preserve"> i priorytetowo traktować działania, które mogą przyczynić się do rozwiązania społecznych problemów spowodowanych handlem uprawnieniami do emisji w ramach ETS2. W związku z tym właściwe byłoby, aby państwa członkowskie wykorzystywały dochody ze sprzedaży na aukcji uprawnień uwolnionych z rezerwy do uzupełnienia swoich planów społeczno-klimatycznych. Równie ważne jest, aby Komisja uzupełniła swoją analizę ostatecznych zaktualizowanych krajowych planów w dziedzinie energii i klimatu identyfikacją – dla każdego państwa członkowskiego – sektorowych środków dekarbonizacji i lepszych metod wykorzystania dochodów z ETS, które mogłyby pomóc w zmniejszeniu zapotrzebowania na uprawnienia z ETS2. Ważne jest również wzmocnienie instrumentu przedpłaty EBI i rozważenie dodatkowych środków, które zwiększą budżet Społecznego Funduszu Klimatycznego, aby zapewnić na czas wsparcie finansowe gospodarstwom domowym na poziomie odzwierciedlającym zmiany cen ETS2. Komisja musi wziąć pod uwagę konieczność przedłużenia okresu obowiązywania Społecznego Funduszu Klimatycznego.</w:t>
            </w:r>
          </w:p>
        </w:tc>
      </w:tr>
    </w:tbl>
    <w:p w14:paraId="000FC9EC" w14:textId="77777777" w:rsidR="0030692C" w:rsidRPr="00F949C4" w:rsidRDefault="0030692C" w:rsidP="0030692C"/>
    <w:p w14:paraId="78C22544" w14:textId="77777777" w:rsidR="0030692C" w:rsidRPr="00F949C4" w:rsidRDefault="0030692C" w:rsidP="0030692C">
      <w:pPr>
        <w:pStyle w:val="AmNumberTabs"/>
      </w:pPr>
      <w:r w:rsidRPr="00F949C4">
        <w:lastRenderedPageBreak/>
        <w:t>Poprawka</w:t>
      </w:r>
      <w:r w:rsidRPr="00F949C4">
        <w:tab/>
      </w:r>
      <w:r w:rsidRPr="00F949C4">
        <w:tab/>
        <w:t>4</w:t>
      </w:r>
    </w:p>
    <w:p w14:paraId="4B1CAD4C" w14:textId="77777777" w:rsidR="0030692C" w:rsidRPr="00F949C4" w:rsidRDefault="0030692C" w:rsidP="0030692C">
      <w:pPr>
        <w:pStyle w:val="NormalBold"/>
      </w:pPr>
      <w:r w:rsidRPr="00F949C4">
        <w:t>Wniosek dotyczący decyzji</w:t>
      </w:r>
    </w:p>
    <w:p w14:paraId="26310D02" w14:textId="77777777" w:rsidR="0030692C" w:rsidRPr="00F949C4" w:rsidRDefault="0030692C" w:rsidP="0030692C">
      <w:pPr>
        <w:pStyle w:val="NormalBold"/>
      </w:pPr>
      <w:r w:rsidRPr="00F949C4">
        <w:t>Motyw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4816F5F1" w14:textId="77777777" w:rsidTr="004C048D">
        <w:trPr>
          <w:trHeight w:val="240"/>
          <w:jc w:val="center"/>
        </w:trPr>
        <w:tc>
          <w:tcPr>
            <w:tcW w:w="9752" w:type="dxa"/>
            <w:gridSpan w:val="2"/>
            <w:tcBorders>
              <w:top w:val="nil"/>
              <w:left w:val="nil"/>
              <w:bottom w:val="nil"/>
              <w:right w:val="nil"/>
            </w:tcBorders>
          </w:tcPr>
          <w:p w14:paraId="42CCDBBF" w14:textId="77777777" w:rsidR="0030692C" w:rsidRPr="00F949C4" w:rsidRDefault="0030692C" w:rsidP="004C048D"/>
        </w:tc>
      </w:tr>
      <w:tr w:rsidR="0030692C" w:rsidRPr="00F949C4" w14:paraId="181F4343" w14:textId="77777777" w:rsidTr="004C048D">
        <w:trPr>
          <w:trHeight w:val="240"/>
          <w:jc w:val="center"/>
        </w:trPr>
        <w:tc>
          <w:tcPr>
            <w:tcW w:w="4876" w:type="dxa"/>
            <w:tcBorders>
              <w:top w:val="nil"/>
              <w:left w:val="nil"/>
              <w:bottom w:val="nil"/>
              <w:right w:val="nil"/>
            </w:tcBorders>
            <w:hideMark/>
          </w:tcPr>
          <w:p w14:paraId="33E60A4C"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1B25E718" w14:textId="77777777" w:rsidR="0030692C" w:rsidRPr="00F949C4" w:rsidRDefault="0030692C" w:rsidP="004C048D">
            <w:pPr>
              <w:pStyle w:val="AmColumnHeading"/>
            </w:pPr>
            <w:r w:rsidRPr="00F949C4">
              <w:t>Poprawka</w:t>
            </w:r>
          </w:p>
        </w:tc>
      </w:tr>
      <w:tr w:rsidR="0030692C" w:rsidRPr="00F949C4" w14:paraId="1B1CD03A" w14:textId="77777777" w:rsidTr="004C048D">
        <w:trPr>
          <w:jc w:val="center"/>
        </w:trPr>
        <w:tc>
          <w:tcPr>
            <w:tcW w:w="4876" w:type="dxa"/>
            <w:tcBorders>
              <w:top w:val="nil"/>
              <w:left w:val="nil"/>
              <w:bottom w:val="nil"/>
              <w:right w:val="nil"/>
            </w:tcBorders>
            <w:hideMark/>
          </w:tcPr>
          <w:p w14:paraId="02641605" w14:textId="77777777" w:rsidR="0030692C" w:rsidRPr="00F949C4" w:rsidRDefault="0030692C" w:rsidP="004C048D">
            <w:pPr>
              <w:pStyle w:val="Normal6a"/>
            </w:pPr>
            <w:r w:rsidRPr="00F949C4">
              <w:t>(4)</w:t>
            </w:r>
            <w:r w:rsidRPr="00F949C4">
              <w:tab/>
              <w:t xml:space="preserve">Aby zwiększyć długoterminową przewidywalność rynku, uprawnienia umieszczone w rezerwie dla sektora budowlanego, sektora transportu drogowego i sektorów dodatkowych, które to uprawnienia nie zostały uwolnione, powinny zachować ważność </w:t>
            </w:r>
            <w:r w:rsidRPr="00F949C4">
              <w:rPr>
                <w:b/>
                <w:i/>
              </w:rPr>
              <w:t>po dniu</w:t>
            </w:r>
            <w:r w:rsidRPr="00F949C4">
              <w:t xml:space="preserve"> 31 grudnia </w:t>
            </w:r>
            <w:r w:rsidRPr="00F949C4">
              <w:rPr>
                <w:b/>
                <w:i/>
              </w:rPr>
              <w:t>2030</w:t>
            </w:r>
            <w:r w:rsidRPr="00F949C4">
              <w:t> r.</w:t>
            </w:r>
          </w:p>
        </w:tc>
        <w:tc>
          <w:tcPr>
            <w:tcW w:w="4876" w:type="dxa"/>
            <w:tcBorders>
              <w:top w:val="nil"/>
              <w:left w:val="nil"/>
              <w:bottom w:val="nil"/>
              <w:right w:val="nil"/>
            </w:tcBorders>
            <w:hideMark/>
          </w:tcPr>
          <w:p w14:paraId="54AD6587" w14:textId="77777777" w:rsidR="0030692C" w:rsidRPr="00F949C4" w:rsidRDefault="0030692C" w:rsidP="004C048D">
            <w:pPr>
              <w:pStyle w:val="Normal6a"/>
            </w:pPr>
            <w:r w:rsidRPr="00F949C4">
              <w:t>(4)</w:t>
            </w:r>
            <w:r w:rsidRPr="00F949C4">
              <w:tab/>
              <w:t xml:space="preserve">Aby zwiększyć długoterminową przewidywalność rynku, uprawnienia umieszczone w rezerwie dla sektora budowlanego, sektora transportu drogowego i sektorów dodatkowych, które to uprawnienia nie zostały uwolnione, powinny zachować ważność </w:t>
            </w:r>
            <w:r w:rsidRPr="00F949C4">
              <w:rPr>
                <w:b/>
                <w:i/>
              </w:rPr>
              <w:t>do</w:t>
            </w:r>
            <w:r w:rsidRPr="00F949C4">
              <w:t xml:space="preserve"> 31 grudnia </w:t>
            </w:r>
            <w:r w:rsidRPr="00F949C4">
              <w:rPr>
                <w:b/>
                <w:i/>
              </w:rPr>
              <w:t>2033</w:t>
            </w:r>
            <w:r w:rsidRPr="00F949C4">
              <w:t> r</w:t>
            </w:r>
            <w:r w:rsidRPr="00F949C4">
              <w:rPr>
                <w:b/>
                <w:i/>
              </w:rPr>
              <w:t>. i częściowo do 31 grudnia 2035 r.</w:t>
            </w:r>
            <w:r w:rsidRPr="00F949C4">
              <w:t xml:space="preserve"> </w:t>
            </w:r>
            <w:r w:rsidRPr="00F949C4">
              <w:rPr>
                <w:b/>
                <w:i/>
              </w:rPr>
              <w:t xml:space="preserve">W ciągu czterech lat od uruchomienia ETS2 Komisja powinna przeprowadzić ocenę skutków, w tym ocenę skutków </w:t>
            </w:r>
            <w:proofErr w:type="gramStart"/>
            <w:r w:rsidRPr="00F949C4">
              <w:rPr>
                <w:b/>
                <w:i/>
              </w:rPr>
              <w:t>dystrybucyjnych,</w:t>
            </w:r>
            <w:proofErr w:type="gramEnd"/>
            <w:r w:rsidRPr="00F949C4">
              <w:rPr>
                <w:b/>
                <w:i/>
              </w:rPr>
              <w:t xml:space="preserve"> oraz oszacować środowiskowe, społeczne i gospodarcze skutki pozostałych uprawnień znajdujących się w rezerwie.</w:t>
            </w:r>
          </w:p>
        </w:tc>
      </w:tr>
    </w:tbl>
    <w:p w14:paraId="3B6D05EE" w14:textId="77777777" w:rsidR="0030692C" w:rsidRPr="00F949C4" w:rsidRDefault="0030692C" w:rsidP="0030692C"/>
    <w:p w14:paraId="60895287" w14:textId="77777777" w:rsidR="0030692C" w:rsidRPr="00F949C4" w:rsidRDefault="0030692C" w:rsidP="0030692C">
      <w:pPr>
        <w:pStyle w:val="AmNumberTabs"/>
      </w:pPr>
      <w:r w:rsidRPr="00F949C4">
        <w:t>Poprawka</w:t>
      </w:r>
      <w:r w:rsidRPr="00F949C4">
        <w:tab/>
      </w:r>
      <w:r w:rsidRPr="00F949C4">
        <w:tab/>
        <w:t>5</w:t>
      </w:r>
    </w:p>
    <w:p w14:paraId="0F2FE16F" w14:textId="77777777" w:rsidR="0030692C" w:rsidRPr="00F949C4" w:rsidRDefault="0030692C" w:rsidP="0030692C">
      <w:pPr>
        <w:pStyle w:val="NormalBold"/>
      </w:pPr>
      <w:r w:rsidRPr="00F949C4">
        <w:t>Wniosek dotyczący decyzji</w:t>
      </w:r>
    </w:p>
    <w:p w14:paraId="3AE81161" w14:textId="77777777" w:rsidR="0030692C" w:rsidRPr="00F949C4" w:rsidRDefault="0030692C" w:rsidP="0030692C">
      <w:pPr>
        <w:pStyle w:val="NormalBold"/>
      </w:pPr>
      <w:r w:rsidRPr="00F949C4">
        <w:t>Motyw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44A5CCE9" w14:textId="77777777" w:rsidTr="004C048D">
        <w:trPr>
          <w:trHeight w:val="240"/>
          <w:jc w:val="center"/>
        </w:trPr>
        <w:tc>
          <w:tcPr>
            <w:tcW w:w="9752" w:type="dxa"/>
            <w:gridSpan w:val="2"/>
            <w:tcBorders>
              <w:top w:val="nil"/>
              <w:left w:val="nil"/>
              <w:bottom w:val="nil"/>
              <w:right w:val="nil"/>
            </w:tcBorders>
          </w:tcPr>
          <w:p w14:paraId="73EF7699" w14:textId="77777777" w:rsidR="0030692C" w:rsidRPr="00F949C4" w:rsidRDefault="0030692C" w:rsidP="004C048D"/>
        </w:tc>
      </w:tr>
      <w:tr w:rsidR="0030692C" w:rsidRPr="00F949C4" w14:paraId="254FC55A" w14:textId="77777777" w:rsidTr="004C048D">
        <w:trPr>
          <w:trHeight w:val="240"/>
          <w:jc w:val="center"/>
        </w:trPr>
        <w:tc>
          <w:tcPr>
            <w:tcW w:w="4876" w:type="dxa"/>
            <w:tcBorders>
              <w:top w:val="nil"/>
              <w:left w:val="nil"/>
              <w:bottom w:val="nil"/>
              <w:right w:val="nil"/>
            </w:tcBorders>
            <w:hideMark/>
          </w:tcPr>
          <w:p w14:paraId="27B2CDE7"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1191E6CB" w14:textId="77777777" w:rsidR="0030692C" w:rsidRPr="00F949C4" w:rsidRDefault="0030692C" w:rsidP="004C048D">
            <w:pPr>
              <w:pStyle w:val="AmColumnHeading"/>
            </w:pPr>
            <w:r w:rsidRPr="00F949C4">
              <w:t>Poprawka</w:t>
            </w:r>
          </w:p>
        </w:tc>
      </w:tr>
      <w:tr w:rsidR="0030692C" w:rsidRPr="00F949C4" w14:paraId="68080701" w14:textId="77777777" w:rsidTr="004C048D">
        <w:trPr>
          <w:jc w:val="center"/>
        </w:trPr>
        <w:tc>
          <w:tcPr>
            <w:tcW w:w="4876" w:type="dxa"/>
            <w:tcBorders>
              <w:top w:val="nil"/>
              <w:left w:val="nil"/>
              <w:bottom w:val="nil"/>
              <w:right w:val="nil"/>
            </w:tcBorders>
            <w:hideMark/>
          </w:tcPr>
          <w:p w14:paraId="0052CBBD" w14:textId="77777777" w:rsidR="0030692C" w:rsidRPr="00F949C4" w:rsidRDefault="0030692C" w:rsidP="004C048D">
            <w:pPr>
              <w:pStyle w:val="Normal6a"/>
            </w:pPr>
            <w:r w:rsidRPr="00F949C4">
              <w:t>(6)</w:t>
            </w:r>
            <w:r w:rsidRPr="00F949C4">
              <w:tab/>
              <w:t>W celu dalszej poprawy zdolności reagowania mechanizmu na nieuzasadnione wahania cen i zwiększenia przewidywalności rynku należy ostrożnie wzmocnić mechanizm mający na celu zwiększenie stabilności cen w pierwszych trzech latach funkcjonowania systemu handlu uprawnieniami do emisji w odniesieniu do sektora budowlanego, sektora transportu drogowego i sektorów dodatkowych. Mogłoby to wiązać się z uwolnieniem większej liczby uprawnień na rynku</w:t>
            </w:r>
            <w:r w:rsidRPr="00F949C4">
              <w:rPr>
                <w:b/>
                <w:i/>
              </w:rPr>
              <w:t>.</w:t>
            </w:r>
            <w:r w:rsidRPr="00F949C4">
              <w:t xml:space="preserve"> Jeżeli środek jest stosowany dwukrotnie w tym samym okresie 12 miesięcy, dodatkowe uwolnienie powinno nastąpić dwukrotnie.</w:t>
            </w:r>
          </w:p>
        </w:tc>
        <w:tc>
          <w:tcPr>
            <w:tcW w:w="4876" w:type="dxa"/>
            <w:tcBorders>
              <w:top w:val="nil"/>
              <w:left w:val="nil"/>
              <w:bottom w:val="nil"/>
              <w:right w:val="nil"/>
            </w:tcBorders>
            <w:hideMark/>
          </w:tcPr>
          <w:p w14:paraId="035ED46D" w14:textId="77777777" w:rsidR="0030692C" w:rsidRPr="00F949C4" w:rsidRDefault="0030692C" w:rsidP="004C048D">
            <w:pPr>
              <w:pStyle w:val="Normal6a"/>
            </w:pPr>
            <w:r w:rsidRPr="00F949C4">
              <w:t>(6)</w:t>
            </w:r>
            <w:r w:rsidRPr="00F949C4">
              <w:tab/>
              <w:t xml:space="preserve">W celu dalszej poprawy zdolności reagowania mechanizmu na nieuzasadnione wahania cen i zwiększenia przewidywalności rynku należy ostrożnie wzmocnić mechanizm mający na celu zwiększenie stabilności cen w pierwszych trzech latach funkcjonowania systemu handlu uprawnieniami do emisji w odniesieniu do sektora budowlanego, sektora transportu drogowego i sektorów dodatkowych. Mogłoby to wiązać się z </w:t>
            </w:r>
            <w:r w:rsidRPr="00F949C4">
              <w:rPr>
                <w:b/>
                <w:i/>
              </w:rPr>
              <w:t>natychmiastowym</w:t>
            </w:r>
            <w:r w:rsidRPr="00F949C4">
              <w:t xml:space="preserve"> uwolnieniem większej liczby uprawnień na rynku. Jeżeli środek jest stosowany dwukrotnie w tym samym okresie 12 miesięcy, dodatkowe uwolnienie powinno nastąpić dwukrotnie.</w:t>
            </w:r>
          </w:p>
        </w:tc>
      </w:tr>
    </w:tbl>
    <w:p w14:paraId="17019C6D" w14:textId="77777777" w:rsidR="0030692C" w:rsidRPr="00F949C4" w:rsidRDefault="0030692C" w:rsidP="0030692C"/>
    <w:p w14:paraId="33DAB3E0" w14:textId="77777777" w:rsidR="0030692C" w:rsidRPr="00F949C4" w:rsidRDefault="0030692C" w:rsidP="0030692C">
      <w:pPr>
        <w:pStyle w:val="AmNumberTabs"/>
      </w:pPr>
      <w:r w:rsidRPr="00F949C4">
        <w:t>Poprawka</w:t>
      </w:r>
      <w:r w:rsidRPr="00F949C4">
        <w:tab/>
      </w:r>
      <w:r w:rsidRPr="00F949C4">
        <w:tab/>
        <w:t>6</w:t>
      </w:r>
    </w:p>
    <w:p w14:paraId="68336DA4" w14:textId="77777777" w:rsidR="0030692C" w:rsidRPr="00F949C4" w:rsidRDefault="0030692C" w:rsidP="0030692C">
      <w:pPr>
        <w:pStyle w:val="NormalBold"/>
      </w:pPr>
      <w:r w:rsidRPr="00F949C4">
        <w:t>Wniosek dotyczący decyzji</w:t>
      </w:r>
    </w:p>
    <w:p w14:paraId="1802218B" w14:textId="77777777" w:rsidR="0030692C" w:rsidRPr="00F949C4" w:rsidRDefault="0030692C" w:rsidP="0030692C">
      <w:pPr>
        <w:pStyle w:val="NormalBold"/>
      </w:pPr>
      <w:r w:rsidRPr="00F949C4">
        <w:t>Motyw 6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7E8F524D" w14:textId="77777777" w:rsidTr="004C048D">
        <w:trPr>
          <w:trHeight w:val="240"/>
          <w:jc w:val="center"/>
        </w:trPr>
        <w:tc>
          <w:tcPr>
            <w:tcW w:w="9752" w:type="dxa"/>
            <w:gridSpan w:val="2"/>
            <w:tcBorders>
              <w:top w:val="nil"/>
              <w:left w:val="nil"/>
              <w:bottom w:val="nil"/>
              <w:right w:val="nil"/>
            </w:tcBorders>
          </w:tcPr>
          <w:p w14:paraId="24CD99BB" w14:textId="77777777" w:rsidR="0030692C" w:rsidRPr="00F949C4" w:rsidRDefault="0030692C" w:rsidP="004C048D"/>
        </w:tc>
      </w:tr>
      <w:tr w:rsidR="0030692C" w:rsidRPr="00F949C4" w14:paraId="7C4CD5EF" w14:textId="77777777" w:rsidTr="004C048D">
        <w:trPr>
          <w:trHeight w:val="240"/>
          <w:jc w:val="center"/>
        </w:trPr>
        <w:tc>
          <w:tcPr>
            <w:tcW w:w="4876" w:type="dxa"/>
            <w:tcBorders>
              <w:top w:val="nil"/>
              <w:left w:val="nil"/>
              <w:bottom w:val="nil"/>
              <w:right w:val="nil"/>
            </w:tcBorders>
            <w:hideMark/>
          </w:tcPr>
          <w:p w14:paraId="5B555D17"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74E124C7" w14:textId="77777777" w:rsidR="0030692C" w:rsidRPr="00F949C4" w:rsidRDefault="0030692C" w:rsidP="004C048D">
            <w:pPr>
              <w:pStyle w:val="AmColumnHeading"/>
            </w:pPr>
            <w:r w:rsidRPr="00F949C4">
              <w:t>Poprawka</w:t>
            </w:r>
          </w:p>
        </w:tc>
      </w:tr>
      <w:tr w:rsidR="0030692C" w:rsidRPr="00F949C4" w14:paraId="4A1C6AEC" w14:textId="77777777" w:rsidTr="004C048D">
        <w:trPr>
          <w:jc w:val="center"/>
        </w:trPr>
        <w:tc>
          <w:tcPr>
            <w:tcW w:w="4876" w:type="dxa"/>
            <w:tcBorders>
              <w:top w:val="nil"/>
              <w:left w:val="nil"/>
              <w:bottom w:val="nil"/>
              <w:right w:val="nil"/>
            </w:tcBorders>
          </w:tcPr>
          <w:p w14:paraId="2AB8248B" w14:textId="77777777" w:rsidR="0030692C" w:rsidRPr="00F949C4" w:rsidRDefault="0030692C" w:rsidP="004C048D">
            <w:pPr>
              <w:pStyle w:val="Normal6a"/>
            </w:pPr>
          </w:p>
        </w:tc>
        <w:tc>
          <w:tcPr>
            <w:tcW w:w="4876" w:type="dxa"/>
            <w:tcBorders>
              <w:top w:val="nil"/>
              <w:left w:val="nil"/>
              <w:bottom w:val="nil"/>
              <w:right w:val="nil"/>
            </w:tcBorders>
            <w:hideMark/>
          </w:tcPr>
          <w:p w14:paraId="755E9F91" w14:textId="73728EBD" w:rsidR="0030692C" w:rsidRPr="00F949C4" w:rsidRDefault="0030692C" w:rsidP="004C048D">
            <w:pPr>
              <w:pStyle w:val="Normal6a"/>
            </w:pPr>
            <w:r w:rsidRPr="00F949C4">
              <w:rPr>
                <w:b/>
                <w:i/>
              </w:rPr>
              <w:t>(6a)</w:t>
            </w:r>
            <w:r w:rsidRPr="00F949C4">
              <w:tab/>
            </w:r>
            <w:r w:rsidRPr="00F949C4">
              <w:rPr>
                <w:b/>
                <w:i/>
              </w:rPr>
              <w:t xml:space="preserve">Zbyt wysoki poziom cen uprawnień w systemie handlu uprawnieniami do emisji w odniesieniu do sektora budowlanego, sektora transportu drogowego i sektorów dodatkowych może nadal mieć nieproporcjonalny wpływ na gospodarstwa domowe znajdujące się w trudnej sytuacji, a nadmierne wahania cen mogą występować częściej niż dwa razy do roku. W kontekście przeglądu dyrektywy Parlamentu Europejskiego i Rady 2003/87/WE konieczne jest rozważenie dodatkowych osłon socjalnych, a Komisja może rozważyć silniejsze instrumenty ograniczania cen, aby zagwarantować stabilność cen w perspektywie długoterminowej. W związku z tym Komisja mogłaby rozważyć listę propozycji, takich jak wzmocnienie i przedłużenie na okres po 31 grudnia 2029 r. mechanizmu nadmiernego wzrostu cen w wysokości 45 EUR ustalonego w cenach z 2026 r. oraz odpowiednie dostosowanie rezerwy stabilności rynkowej, w tym częstotliwości i wolumenu uwolnień uprawnień oraz wolumenu rezerwy, w razie potrzeby, oceniając wykonalność zezwolenia państwom członkowskim na tymczasowe niestosowanie systemu do budynków mieszkalnych w drodze odstępstwa, pod warunkiem że wykażą one, że są w stanie osiągnąć cele w zakresie wspólnego wysiłku redukcyjnego poprzez wprowadzenie innych środków, oraz pod warunkiem że dokonały transpozycji dyrektywy Parlamentu Europejskiego i Rady (UE) 2024/1275 do prawa krajowego, i zadbały o wykorzystanie dochodów z handlu uprawnieniami do emisji na wsparcie bezpośrednie, takie jak dywidendy klimatyczne, bez konieczności udowodnienia pozytywnego wpływu na środowisko lub wprowadzenia innych środków w celu zminimalizowania kosztów przenoszonych na gospodarstwa domowe znajdujące się w trudnej sytuacji. </w:t>
            </w:r>
            <w:r w:rsidRPr="00F949C4">
              <w:rPr>
                <w:b/>
                <w:i/>
              </w:rPr>
              <w:lastRenderedPageBreak/>
              <w:t>Propozycje należy poddać należytej ocenie pod kątem ich skutków społecznych i środowiskowych do 1 marca 2027 r., a jednocześnie zadbać, aby nie szkodziły osiągnięciu unijnych celów klimatycznych określonych w rozporządzeniu Parlamentu Europejskiego i Rady (UE) 2021/1119.</w:t>
            </w:r>
          </w:p>
        </w:tc>
      </w:tr>
    </w:tbl>
    <w:p w14:paraId="3F3EB348" w14:textId="77777777" w:rsidR="0030692C" w:rsidRPr="00F949C4" w:rsidRDefault="0030692C" w:rsidP="0030692C"/>
    <w:p w14:paraId="637098F0" w14:textId="77777777" w:rsidR="0030692C" w:rsidRPr="00F949C4" w:rsidRDefault="0030692C" w:rsidP="0030692C">
      <w:pPr>
        <w:pStyle w:val="AmNumberTabs"/>
      </w:pPr>
      <w:r w:rsidRPr="00F949C4">
        <w:t>Poprawka</w:t>
      </w:r>
      <w:r w:rsidRPr="00F949C4">
        <w:tab/>
      </w:r>
      <w:r w:rsidRPr="00F949C4">
        <w:tab/>
        <w:t>7</w:t>
      </w:r>
    </w:p>
    <w:p w14:paraId="71A80979" w14:textId="77777777" w:rsidR="0030692C" w:rsidRPr="00F949C4" w:rsidRDefault="0030692C" w:rsidP="0030692C">
      <w:pPr>
        <w:pStyle w:val="NormalBold"/>
      </w:pPr>
      <w:r w:rsidRPr="00F949C4">
        <w:t>Wniosek dotyczący decyzji</w:t>
      </w:r>
    </w:p>
    <w:p w14:paraId="56806270" w14:textId="77777777" w:rsidR="0030692C" w:rsidRPr="00F949C4" w:rsidRDefault="0030692C" w:rsidP="0030692C">
      <w:pPr>
        <w:pStyle w:val="NormalBold"/>
      </w:pPr>
      <w:r w:rsidRPr="00F949C4">
        <w:t>Motyw 6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2E11C1F4" w14:textId="77777777" w:rsidTr="004C048D">
        <w:trPr>
          <w:trHeight w:val="240"/>
          <w:jc w:val="center"/>
        </w:trPr>
        <w:tc>
          <w:tcPr>
            <w:tcW w:w="9752" w:type="dxa"/>
            <w:gridSpan w:val="2"/>
            <w:tcBorders>
              <w:top w:val="nil"/>
              <w:left w:val="nil"/>
              <w:bottom w:val="nil"/>
              <w:right w:val="nil"/>
            </w:tcBorders>
          </w:tcPr>
          <w:p w14:paraId="164D49B7" w14:textId="77777777" w:rsidR="0030692C" w:rsidRPr="00F949C4" w:rsidRDefault="0030692C" w:rsidP="004C048D"/>
        </w:tc>
      </w:tr>
      <w:tr w:rsidR="0030692C" w:rsidRPr="00F949C4" w14:paraId="73B11ADA" w14:textId="77777777" w:rsidTr="004C048D">
        <w:trPr>
          <w:trHeight w:val="240"/>
          <w:jc w:val="center"/>
        </w:trPr>
        <w:tc>
          <w:tcPr>
            <w:tcW w:w="4876" w:type="dxa"/>
            <w:tcBorders>
              <w:top w:val="nil"/>
              <w:left w:val="nil"/>
              <w:bottom w:val="nil"/>
              <w:right w:val="nil"/>
            </w:tcBorders>
            <w:hideMark/>
          </w:tcPr>
          <w:p w14:paraId="7A4A8AA0"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18B505ED" w14:textId="77777777" w:rsidR="0030692C" w:rsidRPr="00F949C4" w:rsidRDefault="0030692C" w:rsidP="004C048D">
            <w:pPr>
              <w:pStyle w:val="AmColumnHeading"/>
            </w:pPr>
            <w:r w:rsidRPr="00F949C4">
              <w:t>Poprawka</w:t>
            </w:r>
          </w:p>
        </w:tc>
      </w:tr>
      <w:tr w:rsidR="0030692C" w:rsidRPr="00F949C4" w14:paraId="01406FC4" w14:textId="77777777" w:rsidTr="004C048D">
        <w:trPr>
          <w:jc w:val="center"/>
        </w:trPr>
        <w:tc>
          <w:tcPr>
            <w:tcW w:w="4876" w:type="dxa"/>
            <w:tcBorders>
              <w:top w:val="nil"/>
              <w:left w:val="nil"/>
              <w:bottom w:val="nil"/>
              <w:right w:val="nil"/>
            </w:tcBorders>
          </w:tcPr>
          <w:p w14:paraId="6C602184" w14:textId="77777777" w:rsidR="0030692C" w:rsidRPr="00F949C4" w:rsidRDefault="0030692C" w:rsidP="004C048D">
            <w:pPr>
              <w:pStyle w:val="Normal6a"/>
            </w:pPr>
          </w:p>
        </w:tc>
        <w:tc>
          <w:tcPr>
            <w:tcW w:w="4876" w:type="dxa"/>
            <w:tcBorders>
              <w:top w:val="nil"/>
              <w:left w:val="nil"/>
              <w:bottom w:val="nil"/>
              <w:right w:val="nil"/>
            </w:tcBorders>
            <w:hideMark/>
          </w:tcPr>
          <w:p w14:paraId="3EF2BCC4" w14:textId="53F9A6AD" w:rsidR="0030692C" w:rsidRPr="00F949C4" w:rsidRDefault="0030692C" w:rsidP="004C048D">
            <w:pPr>
              <w:pStyle w:val="Normal6a"/>
            </w:pPr>
            <w:r w:rsidRPr="00F949C4">
              <w:rPr>
                <w:b/>
                <w:i/>
              </w:rPr>
              <w:t>(6b)</w:t>
            </w:r>
            <w:r w:rsidRPr="00F949C4">
              <w:tab/>
            </w:r>
            <w:r w:rsidRPr="00F949C4">
              <w:rPr>
                <w:b/>
                <w:i/>
              </w:rPr>
              <w:t>W następstwie zmiany rezerwy stabilności rynkowej przewidzianej w niniejszej decyzji zmieniającej Komisja powinna przeprowadzić ocenę skutków systemu handlu uprawnieniami do emisji w odniesieniu do sektora budowlanego, sektora transportu drogowego i sektorów dodatkowych, aby ocenić jego skutki społeczne i wpływ na osiągnięcie celów klimatycznych, a także ocenę skutków dystrybucyjnych liczby gospodarstw domowych znajdujących się w trudnej sytuacji, którym w tym terminie udostępniono wsparcie ze Społecznego Funduszu Klimatycznego i instrumentu przedpłatowego</w:t>
            </w:r>
            <w:r w:rsidR="0089474B">
              <w:rPr>
                <w:b/>
                <w:i/>
              </w:rPr>
              <w:t xml:space="preserve"> EBI</w:t>
            </w:r>
            <w:r w:rsidRPr="00F949C4">
              <w:rPr>
                <w:b/>
                <w:i/>
              </w:rPr>
              <w:t>, w tym, w miarę możliwości, w podziale na typy obszarów geograficznych, dystrybucję dochodów i płeć, przy czym należy również rozważyć dodatkowe środki w trosce zarówno o integralność środowiskową, jak i sprawiedliwość społeczną ETS2.</w:t>
            </w:r>
          </w:p>
        </w:tc>
      </w:tr>
    </w:tbl>
    <w:p w14:paraId="200C6D66" w14:textId="77777777" w:rsidR="0030692C" w:rsidRPr="00F949C4" w:rsidRDefault="0030692C" w:rsidP="0030692C"/>
    <w:p w14:paraId="17CDA891" w14:textId="77777777" w:rsidR="0030692C" w:rsidRPr="00F949C4" w:rsidRDefault="0030692C" w:rsidP="0030692C">
      <w:pPr>
        <w:pStyle w:val="AmNumberTabs"/>
      </w:pPr>
      <w:r w:rsidRPr="00F949C4">
        <w:t>Poprawka</w:t>
      </w:r>
      <w:r w:rsidRPr="00F949C4">
        <w:tab/>
      </w:r>
      <w:r w:rsidRPr="00F949C4">
        <w:tab/>
        <w:t>8</w:t>
      </w:r>
    </w:p>
    <w:p w14:paraId="47C87EBB" w14:textId="77777777" w:rsidR="0030692C" w:rsidRPr="00F949C4" w:rsidRDefault="0030692C" w:rsidP="0030692C">
      <w:pPr>
        <w:pStyle w:val="NormalBold"/>
      </w:pPr>
      <w:r w:rsidRPr="00F949C4">
        <w:t>Wniosek dotyczący decyzji</w:t>
      </w:r>
    </w:p>
    <w:p w14:paraId="71B2A907" w14:textId="77777777" w:rsidR="0030692C" w:rsidRPr="00F949C4" w:rsidRDefault="0030692C" w:rsidP="0030692C">
      <w:pPr>
        <w:pStyle w:val="NormalBold"/>
      </w:pPr>
      <w:r w:rsidRPr="00F949C4">
        <w:t>Artykuł 1 – akapit 1 – punkt 1</w:t>
      </w:r>
    </w:p>
    <w:p w14:paraId="22A50CFA" w14:textId="0ED05CFE" w:rsidR="0089474B" w:rsidRDefault="0089474B" w:rsidP="0030692C">
      <w:r w:rsidRPr="00703923">
        <w:rPr>
          <w:bCs/>
        </w:rPr>
        <w:t>Decyzja (UE) 2015/1814</w:t>
      </w:r>
    </w:p>
    <w:p w14:paraId="6E0B7903" w14:textId="0CDAECE9" w:rsidR="0030692C" w:rsidRPr="00F949C4" w:rsidRDefault="0030692C" w:rsidP="0030692C">
      <w:r w:rsidRPr="00F949C4">
        <w:t xml:space="preserve">Art. 1a </w:t>
      </w:r>
      <w:r w:rsidR="0089474B" w:rsidRPr="00703923">
        <w:t>– akapit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10F9FE50" w14:textId="77777777" w:rsidTr="00703923">
        <w:trPr>
          <w:trHeight w:val="240"/>
          <w:jc w:val="center"/>
        </w:trPr>
        <w:tc>
          <w:tcPr>
            <w:tcW w:w="9752" w:type="dxa"/>
            <w:gridSpan w:val="2"/>
            <w:tcBorders>
              <w:top w:val="nil"/>
              <w:left w:val="nil"/>
              <w:bottom w:val="nil"/>
              <w:right w:val="nil"/>
            </w:tcBorders>
          </w:tcPr>
          <w:p w14:paraId="492E5184" w14:textId="77777777" w:rsidR="0030692C" w:rsidRPr="00F949C4" w:rsidRDefault="0030692C" w:rsidP="004C048D"/>
        </w:tc>
      </w:tr>
      <w:tr w:rsidR="0030692C" w:rsidRPr="00F949C4" w14:paraId="665A30F4" w14:textId="77777777" w:rsidTr="00703923">
        <w:trPr>
          <w:trHeight w:val="240"/>
          <w:jc w:val="center"/>
        </w:trPr>
        <w:tc>
          <w:tcPr>
            <w:tcW w:w="4876" w:type="dxa"/>
            <w:tcBorders>
              <w:top w:val="nil"/>
              <w:left w:val="nil"/>
              <w:bottom w:val="nil"/>
              <w:right w:val="nil"/>
            </w:tcBorders>
            <w:hideMark/>
          </w:tcPr>
          <w:p w14:paraId="619DEFDE"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03080952" w14:textId="77777777" w:rsidR="0030692C" w:rsidRPr="00F949C4" w:rsidRDefault="0030692C" w:rsidP="004C048D">
            <w:pPr>
              <w:pStyle w:val="AmColumnHeading"/>
            </w:pPr>
            <w:r w:rsidRPr="00F949C4">
              <w:t>Poprawka</w:t>
            </w:r>
          </w:p>
        </w:tc>
      </w:tr>
      <w:tr w:rsidR="0030692C" w:rsidRPr="00F949C4" w14:paraId="3157C063" w14:textId="77777777" w:rsidTr="00703923">
        <w:trPr>
          <w:jc w:val="center"/>
        </w:trPr>
        <w:tc>
          <w:tcPr>
            <w:tcW w:w="4876" w:type="dxa"/>
            <w:tcBorders>
              <w:top w:val="nil"/>
              <w:left w:val="nil"/>
              <w:bottom w:val="nil"/>
              <w:right w:val="nil"/>
            </w:tcBorders>
            <w:hideMark/>
          </w:tcPr>
          <w:p w14:paraId="2D14FA41" w14:textId="77777777" w:rsidR="0030692C" w:rsidRPr="00F949C4" w:rsidRDefault="0030692C" w:rsidP="004C048D">
            <w:pPr>
              <w:pStyle w:val="Normal6a"/>
            </w:pPr>
            <w:r w:rsidRPr="00F949C4">
              <w:t>1)</w:t>
            </w:r>
            <w:r w:rsidRPr="00F949C4">
              <w:tab/>
              <w:t>w ust. 3 skreśla się zdanie drugie;</w:t>
            </w:r>
          </w:p>
        </w:tc>
        <w:tc>
          <w:tcPr>
            <w:tcW w:w="4876" w:type="dxa"/>
            <w:tcBorders>
              <w:top w:val="nil"/>
              <w:left w:val="nil"/>
              <w:bottom w:val="nil"/>
              <w:right w:val="nil"/>
            </w:tcBorders>
            <w:hideMark/>
          </w:tcPr>
          <w:p w14:paraId="18D15287" w14:textId="45BF710C" w:rsidR="0030692C" w:rsidRPr="00F949C4" w:rsidRDefault="0030692C" w:rsidP="004C048D">
            <w:pPr>
              <w:pStyle w:val="Normal6a"/>
            </w:pPr>
            <w:r w:rsidRPr="00F949C4">
              <w:t>1)</w:t>
            </w:r>
            <w:r w:rsidRPr="00F949C4">
              <w:tab/>
              <w:t xml:space="preserve">w ust. 3 zdanie drugie otrzymuje </w:t>
            </w:r>
            <w:r w:rsidRPr="00F949C4">
              <w:lastRenderedPageBreak/>
              <w:t>brzmienie:</w:t>
            </w:r>
            <w:r w:rsidRPr="00F949C4">
              <w:rPr>
                <w:b/>
                <w:i/>
              </w:rPr>
              <w:t xml:space="preserve"> </w:t>
            </w:r>
          </w:p>
        </w:tc>
      </w:tr>
      <w:tr w:rsidR="0089474B" w:rsidRPr="00F949C4" w14:paraId="29760C92" w14:textId="77777777" w:rsidTr="00703923">
        <w:trPr>
          <w:jc w:val="center"/>
        </w:trPr>
        <w:tc>
          <w:tcPr>
            <w:tcW w:w="4876" w:type="dxa"/>
            <w:tcBorders>
              <w:top w:val="nil"/>
              <w:left w:val="nil"/>
              <w:bottom w:val="nil"/>
              <w:right w:val="nil"/>
            </w:tcBorders>
          </w:tcPr>
          <w:p w14:paraId="1F3038B1" w14:textId="77777777" w:rsidR="0089474B" w:rsidRPr="00F949C4" w:rsidRDefault="0089474B" w:rsidP="004C048D">
            <w:pPr>
              <w:pStyle w:val="Normal6a"/>
            </w:pPr>
          </w:p>
        </w:tc>
        <w:tc>
          <w:tcPr>
            <w:tcW w:w="4876" w:type="dxa"/>
            <w:tcBorders>
              <w:top w:val="nil"/>
              <w:left w:val="nil"/>
              <w:bottom w:val="nil"/>
              <w:right w:val="nil"/>
            </w:tcBorders>
          </w:tcPr>
          <w:p w14:paraId="17FB9454" w14:textId="62B989F8" w:rsidR="0089474B" w:rsidRPr="00F949C4" w:rsidRDefault="0089474B" w:rsidP="004C048D">
            <w:pPr>
              <w:pStyle w:val="Normal6a"/>
            </w:pPr>
            <w:r w:rsidRPr="00F949C4">
              <w:rPr>
                <w:b/>
                <w:i/>
              </w:rPr>
              <w:t>„Od dnia 1 stycznia 2034 r. 50 % nieuwolnionych z rezerwy uprawnień, o których mowa w tym akapicie, traci ważność. Od dnia 1 stycznia 2036 r. pozostałe uprawnienia, o których mowa w tym akapicie, tracą ważność.”;</w:t>
            </w:r>
          </w:p>
        </w:tc>
      </w:tr>
    </w:tbl>
    <w:p w14:paraId="0E7C6A6A" w14:textId="77777777" w:rsidR="0030692C" w:rsidRPr="00F949C4" w:rsidRDefault="0030692C" w:rsidP="0030692C"/>
    <w:p w14:paraId="560B0CD1" w14:textId="77777777" w:rsidR="0030692C" w:rsidRPr="00F949C4" w:rsidRDefault="0030692C" w:rsidP="0030692C">
      <w:pPr>
        <w:pStyle w:val="AmNumberTabs"/>
      </w:pPr>
      <w:r w:rsidRPr="00F949C4">
        <w:t>Poprawka</w:t>
      </w:r>
      <w:r w:rsidRPr="00F949C4">
        <w:tab/>
      </w:r>
      <w:r w:rsidRPr="00F949C4">
        <w:tab/>
        <w:t>9</w:t>
      </w:r>
    </w:p>
    <w:p w14:paraId="00F7A37E" w14:textId="77777777" w:rsidR="0030692C" w:rsidRPr="00F949C4" w:rsidRDefault="0030692C" w:rsidP="0030692C">
      <w:pPr>
        <w:pStyle w:val="NormalBold"/>
      </w:pPr>
      <w:r w:rsidRPr="00F949C4">
        <w:t>Wniosek dotyczący decyzji</w:t>
      </w:r>
    </w:p>
    <w:p w14:paraId="3747CC06" w14:textId="77777777" w:rsidR="0030692C" w:rsidRPr="00F949C4" w:rsidRDefault="0030692C" w:rsidP="0030692C">
      <w:pPr>
        <w:pStyle w:val="NormalBold"/>
      </w:pPr>
      <w:r w:rsidRPr="00F949C4">
        <w:t>Artykuł 1 – akapit 1 – punkt 4 a (nowy)</w:t>
      </w:r>
    </w:p>
    <w:p w14:paraId="5222F8F2" w14:textId="3590EEB7" w:rsidR="0089474B" w:rsidRDefault="0089474B" w:rsidP="0030692C">
      <w:r w:rsidRPr="004C048D">
        <w:rPr>
          <w:bCs/>
        </w:rPr>
        <w:t>Decyzja (UE) 2015/1814</w:t>
      </w:r>
    </w:p>
    <w:p w14:paraId="586AE54F" w14:textId="5C60C15C" w:rsidR="0030692C" w:rsidRPr="00F949C4" w:rsidRDefault="0030692C" w:rsidP="0030692C">
      <w:r w:rsidRPr="00F949C4">
        <w:t xml:space="preserve">Art. 1a </w:t>
      </w:r>
      <w:r w:rsidR="0089474B" w:rsidRPr="00703923">
        <w:t>– akapit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52B91474" w14:textId="77777777" w:rsidTr="004C048D">
        <w:trPr>
          <w:trHeight w:val="240"/>
          <w:jc w:val="center"/>
        </w:trPr>
        <w:tc>
          <w:tcPr>
            <w:tcW w:w="9752" w:type="dxa"/>
            <w:gridSpan w:val="2"/>
            <w:tcBorders>
              <w:top w:val="nil"/>
              <w:left w:val="nil"/>
              <w:bottom w:val="nil"/>
              <w:right w:val="nil"/>
            </w:tcBorders>
          </w:tcPr>
          <w:p w14:paraId="17EBF8EB" w14:textId="77777777" w:rsidR="0030692C" w:rsidRPr="00F949C4" w:rsidRDefault="0030692C" w:rsidP="004C048D"/>
        </w:tc>
      </w:tr>
      <w:tr w:rsidR="0030692C" w:rsidRPr="00F949C4" w14:paraId="09EC717E" w14:textId="77777777" w:rsidTr="004C048D">
        <w:trPr>
          <w:trHeight w:val="240"/>
          <w:jc w:val="center"/>
        </w:trPr>
        <w:tc>
          <w:tcPr>
            <w:tcW w:w="4876" w:type="dxa"/>
            <w:tcBorders>
              <w:top w:val="nil"/>
              <w:left w:val="nil"/>
              <w:bottom w:val="nil"/>
              <w:right w:val="nil"/>
            </w:tcBorders>
            <w:hideMark/>
          </w:tcPr>
          <w:p w14:paraId="2152921D" w14:textId="77777777" w:rsidR="0030692C" w:rsidRPr="00F949C4" w:rsidRDefault="0030692C" w:rsidP="004C048D">
            <w:pPr>
              <w:pStyle w:val="AmColumnHeading"/>
            </w:pPr>
            <w:r w:rsidRPr="00F949C4">
              <w:t>Tekst obowiązujący</w:t>
            </w:r>
          </w:p>
        </w:tc>
        <w:tc>
          <w:tcPr>
            <w:tcW w:w="4876" w:type="dxa"/>
            <w:tcBorders>
              <w:top w:val="nil"/>
              <w:left w:val="nil"/>
              <w:bottom w:val="nil"/>
              <w:right w:val="nil"/>
            </w:tcBorders>
            <w:hideMark/>
          </w:tcPr>
          <w:p w14:paraId="77BC328E" w14:textId="77777777" w:rsidR="0030692C" w:rsidRPr="00F949C4" w:rsidRDefault="0030692C" w:rsidP="004C048D">
            <w:pPr>
              <w:pStyle w:val="AmColumnHeading"/>
            </w:pPr>
            <w:r w:rsidRPr="00F949C4">
              <w:t>Poprawka</w:t>
            </w:r>
          </w:p>
        </w:tc>
      </w:tr>
      <w:tr w:rsidR="0030692C" w:rsidRPr="00F949C4" w14:paraId="63446DA0" w14:textId="77777777" w:rsidTr="004C048D">
        <w:trPr>
          <w:jc w:val="center"/>
        </w:trPr>
        <w:tc>
          <w:tcPr>
            <w:tcW w:w="4876" w:type="dxa"/>
            <w:tcBorders>
              <w:top w:val="nil"/>
              <w:left w:val="nil"/>
              <w:bottom w:val="nil"/>
              <w:right w:val="nil"/>
            </w:tcBorders>
          </w:tcPr>
          <w:p w14:paraId="4ECAA4A5" w14:textId="77777777" w:rsidR="0030692C" w:rsidRPr="00F949C4" w:rsidRDefault="0030692C" w:rsidP="004C048D">
            <w:pPr>
              <w:pStyle w:val="Normal6a"/>
            </w:pPr>
          </w:p>
        </w:tc>
        <w:tc>
          <w:tcPr>
            <w:tcW w:w="4876" w:type="dxa"/>
            <w:tcBorders>
              <w:top w:val="nil"/>
              <w:left w:val="nil"/>
              <w:bottom w:val="nil"/>
              <w:right w:val="nil"/>
            </w:tcBorders>
            <w:hideMark/>
          </w:tcPr>
          <w:p w14:paraId="4F1B3EC8" w14:textId="77777777" w:rsidR="0030692C" w:rsidRPr="00F949C4" w:rsidRDefault="0030692C" w:rsidP="004C048D">
            <w:pPr>
              <w:pStyle w:val="Normal6a"/>
            </w:pPr>
            <w:r w:rsidRPr="00F949C4">
              <w:rPr>
                <w:b/>
                <w:i/>
              </w:rPr>
              <w:t>4a)</w:t>
            </w:r>
            <w:r w:rsidRPr="00F949C4">
              <w:tab/>
            </w:r>
            <w:r w:rsidRPr="00F949C4">
              <w:rPr>
                <w:b/>
                <w:i/>
              </w:rPr>
              <w:t>w ust. 7 zdanie drugie otrzymuje brzmienie:</w:t>
            </w:r>
          </w:p>
        </w:tc>
      </w:tr>
      <w:tr w:rsidR="0030692C" w:rsidRPr="00F949C4" w14:paraId="32638743" w14:textId="77777777" w:rsidTr="004C048D">
        <w:trPr>
          <w:jc w:val="center"/>
        </w:trPr>
        <w:tc>
          <w:tcPr>
            <w:tcW w:w="4876" w:type="dxa"/>
            <w:tcBorders>
              <w:top w:val="nil"/>
              <w:left w:val="nil"/>
              <w:bottom w:val="nil"/>
              <w:right w:val="nil"/>
            </w:tcBorders>
            <w:hideMark/>
          </w:tcPr>
          <w:p w14:paraId="532E6D56" w14:textId="77777777" w:rsidR="0030692C" w:rsidRPr="00F949C4" w:rsidRDefault="0030692C" w:rsidP="004C048D">
            <w:pPr>
              <w:pStyle w:val="Normal6a"/>
            </w:pPr>
            <w:r w:rsidRPr="00F949C4">
              <w:t xml:space="preserve">Liczba, która ma zostać uwolniona z rezerwy, jest rozdzielana równomiernie przez okres trzech miesięcy, rozpoczynający się nie później niż </w:t>
            </w:r>
            <w:r w:rsidRPr="00F949C4">
              <w:rPr>
                <w:b/>
                <w:i/>
              </w:rPr>
              <w:t>dwa miesiące</w:t>
            </w:r>
            <w:r w:rsidRPr="00F949C4">
              <w:t xml:space="preserve"> od daty spełnienia warunków opublikowanej w Dzienniku Urzędowym Unii Europejskiej zgodnie z art. 30h ust. 8 dyrektywy 2003/87/WE.</w:t>
            </w:r>
          </w:p>
        </w:tc>
        <w:tc>
          <w:tcPr>
            <w:tcW w:w="4876" w:type="dxa"/>
            <w:tcBorders>
              <w:top w:val="nil"/>
              <w:left w:val="nil"/>
              <w:bottom w:val="nil"/>
              <w:right w:val="nil"/>
            </w:tcBorders>
            <w:hideMark/>
          </w:tcPr>
          <w:p w14:paraId="372570C2" w14:textId="77777777" w:rsidR="0030692C" w:rsidRPr="00F949C4" w:rsidRDefault="0030692C" w:rsidP="004C048D">
            <w:pPr>
              <w:pStyle w:val="Normal6a"/>
            </w:pPr>
            <w:r w:rsidRPr="00F949C4">
              <w:t xml:space="preserve">Liczba, która ma zostać uwolniona z rezerwy, jest rozdzielana równomiernie przez okres trzech miesięcy, rozpoczynający się nie później niż </w:t>
            </w:r>
            <w:r w:rsidRPr="00F949C4">
              <w:rPr>
                <w:b/>
                <w:i/>
              </w:rPr>
              <w:t>30 dni</w:t>
            </w:r>
            <w:r w:rsidRPr="00F949C4">
              <w:t xml:space="preserve"> od daty spełnienia warunków opublikowanej w Dzienniku Urzędowym Unii Europejskiej zgodnie z art. 30h ust. 8 dyrektywy 2003/87/WE.</w:t>
            </w:r>
          </w:p>
        </w:tc>
      </w:tr>
    </w:tbl>
    <w:p w14:paraId="1A96DA33" w14:textId="77777777" w:rsidR="0030692C" w:rsidRPr="00F949C4" w:rsidRDefault="0030692C" w:rsidP="0030692C"/>
    <w:p w14:paraId="283D8835" w14:textId="77777777" w:rsidR="0030692C" w:rsidRPr="00F949C4" w:rsidRDefault="0030692C" w:rsidP="0030692C">
      <w:pPr>
        <w:pStyle w:val="AmNumberTabs"/>
      </w:pPr>
      <w:r w:rsidRPr="00F949C4">
        <w:t>Poprawka</w:t>
      </w:r>
      <w:r w:rsidRPr="00F949C4">
        <w:tab/>
      </w:r>
      <w:r w:rsidRPr="00F949C4">
        <w:tab/>
        <w:t>10</w:t>
      </w:r>
    </w:p>
    <w:p w14:paraId="5B9F1D23" w14:textId="77777777" w:rsidR="0030692C" w:rsidRDefault="0030692C" w:rsidP="0030692C">
      <w:pPr>
        <w:pStyle w:val="NormalBold"/>
      </w:pPr>
      <w:r w:rsidRPr="00F949C4">
        <w:t>Wniosek dotyczący decyzji</w:t>
      </w:r>
    </w:p>
    <w:p w14:paraId="741BCDAC" w14:textId="6301E7DA" w:rsidR="00250B66" w:rsidRPr="00250B66" w:rsidRDefault="00250B66" w:rsidP="00250B66">
      <w:pPr>
        <w:pStyle w:val="NormalBold"/>
        <w:rPr>
          <w:lang w:val="en-GB"/>
        </w:rPr>
      </w:pPr>
      <w:r w:rsidRPr="00F949C4">
        <w:t>Artykuł</w:t>
      </w:r>
      <w:r w:rsidRPr="00250B66">
        <w:rPr>
          <w:lang w:val="en-GB"/>
        </w:rPr>
        <w:t xml:space="preserve"> 1 a (</w:t>
      </w:r>
      <w:proofErr w:type="spellStart"/>
      <w:r w:rsidRPr="00250B66">
        <w:rPr>
          <w:lang w:val="en-GB"/>
        </w:rPr>
        <w:t>n</w:t>
      </w:r>
      <w:r>
        <w:rPr>
          <w:lang w:val="en-GB"/>
        </w:rPr>
        <w:t>owy</w:t>
      </w:r>
      <w:proofErr w:type="spellEnd"/>
      <w:r w:rsidRPr="00250B66">
        <w:rPr>
          <w:lang w:val="en-GB"/>
        </w:rPr>
        <w:t>)</w:t>
      </w:r>
    </w:p>
    <w:p w14:paraId="2829A604" w14:textId="5DBFCCB3" w:rsidR="0089474B" w:rsidRPr="00250B66" w:rsidRDefault="0089474B" w:rsidP="0030692C">
      <w:pPr>
        <w:pStyle w:val="NormalBold"/>
        <w:rPr>
          <w:lang w:val="en-GB"/>
        </w:rPr>
      </w:pPr>
      <w:proofErr w:type="spellStart"/>
      <w:r w:rsidRPr="00250B66">
        <w:rPr>
          <w:b w:val="0"/>
          <w:bCs/>
          <w:lang w:val="en-GB"/>
        </w:rPr>
        <w:t>Dec</w:t>
      </w:r>
      <w:r w:rsidRPr="00250B66">
        <w:rPr>
          <w:b w:val="0"/>
          <w:lang w:val="en-GB"/>
        </w:rPr>
        <w:t>yzja</w:t>
      </w:r>
      <w:proofErr w:type="spellEnd"/>
      <w:r w:rsidRPr="00250B66">
        <w:rPr>
          <w:b w:val="0"/>
          <w:bCs/>
          <w:lang w:val="en-GB"/>
        </w:rPr>
        <w:t xml:space="preserve"> (U</w:t>
      </w:r>
      <w:r w:rsidRPr="00250B66">
        <w:rPr>
          <w:bCs/>
          <w:lang w:val="en-GB"/>
        </w:rPr>
        <w:t>E</w:t>
      </w:r>
      <w:r w:rsidRPr="00250B66">
        <w:rPr>
          <w:b w:val="0"/>
          <w:bCs/>
          <w:lang w:val="en-GB"/>
        </w:rPr>
        <w:t>) 2015/1814</w:t>
      </w:r>
    </w:p>
    <w:p w14:paraId="022DB74A" w14:textId="06E6C4C3" w:rsidR="0030692C" w:rsidRPr="00703923" w:rsidRDefault="0030692C" w:rsidP="0030692C">
      <w:pPr>
        <w:pStyle w:val="NormalBold"/>
        <w:rPr>
          <w:b w:val="0"/>
          <w:bCs/>
        </w:rPr>
      </w:pPr>
      <w:r w:rsidRPr="00703923">
        <w:rPr>
          <w:b w:val="0"/>
          <w:bCs/>
        </w:rPr>
        <w:t xml:space="preserve">Artykuł </w:t>
      </w:r>
      <w:r w:rsidR="0089474B" w:rsidRPr="00703923">
        <w:rPr>
          <w:b w:val="0"/>
          <w:bCs/>
        </w:rPr>
        <w:t xml:space="preserve">3 – akapit 1 </w:t>
      </w:r>
      <w:r w:rsidRPr="00703923">
        <w:rPr>
          <w:b w:val="0"/>
          <w:bCs/>
        </w:rPr>
        <w:t>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692C" w:rsidRPr="00F949C4" w14:paraId="76A42FA8" w14:textId="77777777" w:rsidTr="004C048D">
        <w:trPr>
          <w:trHeight w:val="240"/>
          <w:jc w:val="center"/>
        </w:trPr>
        <w:tc>
          <w:tcPr>
            <w:tcW w:w="9752" w:type="dxa"/>
            <w:gridSpan w:val="2"/>
            <w:tcBorders>
              <w:top w:val="nil"/>
              <w:left w:val="nil"/>
              <w:bottom w:val="nil"/>
              <w:right w:val="nil"/>
            </w:tcBorders>
          </w:tcPr>
          <w:p w14:paraId="2EDD30C1" w14:textId="77777777" w:rsidR="0030692C" w:rsidRPr="00F949C4" w:rsidRDefault="0030692C" w:rsidP="004C048D"/>
        </w:tc>
      </w:tr>
      <w:tr w:rsidR="0030692C" w:rsidRPr="00F949C4" w14:paraId="030E74A4" w14:textId="77777777" w:rsidTr="004C048D">
        <w:trPr>
          <w:trHeight w:val="240"/>
          <w:jc w:val="center"/>
        </w:trPr>
        <w:tc>
          <w:tcPr>
            <w:tcW w:w="4876" w:type="dxa"/>
            <w:tcBorders>
              <w:top w:val="nil"/>
              <w:left w:val="nil"/>
              <w:bottom w:val="nil"/>
              <w:right w:val="nil"/>
            </w:tcBorders>
            <w:hideMark/>
          </w:tcPr>
          <w:p w14:paraId="13C5452F" w14:textId="77777777" w:rsidR="0030692C" w:rsidRPr="00F949C4" w:rsidRDefault="0030692C" w:rsidP="004C048D">
            <w:pPr>
              <w:pStyle w:val="AmColumnHeading"/>
            </w:pPr>
            <w:r w:rsidRPr="00F949C4">
              <w:t>Tekst proponowany przez Komisję</w:t>
            </w:r>
          </w:p>
        </w:tc>
        <w:tc>
          <w:tcPr>
            <w:tcW w:w="4876" w:type="dxa"/>
            <w:tcBorders>
              <w:top w:val="nil"/>
              <w:left w:val="nil"/>
              <w:bottom w:val="nil"/>
              <w:right w:val="nil"/>
            </w:tcBorders>
            <w:hideMark/>
          </w:tcPr>
          <w:p w14:paraId="11FBC703" w14:textId="77777777" w:rsidR="0030692C" w:rsidRPr="00F949C4" w:rsidRDefault="0030692C" w:rsidP="004C048D">
            <w:pPr>
              <w:pStyle w:val="AmColumnHeading"/>
            </w:pPr>
            <w:r w:rsidRPr="00F949C4">
              <w:t>Poprawka</w:t>
            </w:r>
          </w:p>
        </w:tc>
      </w:tr>
      <w:tr w:rsidR="0030692C" w:rsidRPr="00F949C4" w14:paraId="1BEAAAC0" w14:textId="77777777" w:rsidTr="004C048D">
        <w:trPr>
          <w:jc w:val="center"/>
        </w:trPr>
        <w:tc>
          <w:tcPr>
            <w:tcW w:w="4876" w:type="dxa"/>
            <w:tcBorders>
              <w:top w:val="nil"/>
              <w:left w:val="nil"/>
              <w:bottom w:val="nil"/>
              <w:right w:val="nil"/>
            </w:tcBorders>
          </w:tcPr>
          <w:p w14:paraId="5C9D740B" w14:textId="77777777" w:rsidR="0030692C" w:rsidRPr="00F949C4" w:rsidRDefault="0030692C" w:rsidP="004C048D">
            <w:pPr>
              <w:pStyle w:val="Normal6a"/>
            </w:pPr>
          </w:p>
        </w:tc>
        <w:tc>
          <w:tcPr>
            <w:tcW w:w="4876" w:type="dxa"/>
            <w:tcBorders>
              <w:top w:val="nil"/>
              <w:left w:val="nil"/>
              <w:bottom w:val="nil"/>
              <w:right w:val="nil"/>
            </w:tcBorders>
            <w:hideMark/>
          </w:tcPr>
          <w:p w14:paraId="1F79BA3E" w14:textId="77777777" w:rsidR="0030692C" w:rsidRPr="00F949C4" w:rsidRDefault="0030692C" w:rsidP="004C048D">
            <w:pPr>
              <w:pStyle w:val="Normal6a"/>
              <w:jc w:val="center"/>
            </w:pPr>
            <w:r w:rsidRPr="00F949C4">
              <w:rPr>
                <w:b/>
                <w:i/>
              </w:rPr>
              <w:t>Artykuł 1a</w:t>
            </w:r>
            <w:r w:rsidRPr="00F949C4">
              <w:tab/>
            </w:r>
          </w:p>
        </w:tc>
      </w:tr>
      <w:tr w:rsidR="0030692C" w:rsidRPr="00F949C4" w14:paraId="6BADE3FC" w14:textId="77777777" w:rsidTr="004C048D">
        <w:trPr>
          <w:jc w:val="center"/>
        </w:trPr>
        <w:tc>
          <w:tcPr>
            <w:tcW w:w="4876" w:type="dxa"/>
            <w:tcBorders>
              <w:top w:val="nil"/>
              <w:left w:val="nil"/>
              <w:bottom w:val="nil"/>
              <w:right w:val="nil"/>
            </w:tcBorders>
          </w:tcPr>
          <w:p w14:paraId="14A55381" w14:textId="77777777" w:rsidR="0030692C" w:rsidRPr="00F949C4" w:rsidRDefault="0030692C" w:rsidP="004C048D">
            <w:pPr>
              <w:pStyle w:val="Normal6a"/>
            </w:pPr>
          </w:p>
        </w:tc>
        <w:tc>
          <w:tcPr>
            <w:tcW w:w="4876" w:type="dxa"/>
            <w:tcBorders>
              <w:top w:val="nil"/>
              <w:left w:val="nil"/>
              <w:bottom w:val="nil"/>
              <w:right w:val="nil"/>
            </w:tcBorders>
            <w:hideMark/>
          </w:tcPr>
          <w:p w14:paraId="258147D8" w14:textId="0345AD79" w:rsidR="0030692C" w:rsidRPr="00F949C4" w:rsidRDefault="0030692C" w:rsidP="004C048D">
            <w:pPr>
              <w:pStyle w:val="Normal6a"/>
            </w:pPr>
            <w:r w:rsidRPr="00F949C4">
              <w:rPr>
                <w:b/>
                <w:i/>
              </w:rPr>
              <w:t xml:space="preserve">w art. 3 </w:t>
            </w:r>
            <w:r w:rsidR="00846320">
              <w:rPr>
                <w:b/>
                <w:i/>
              </w:rPr>
              <w:t>decyzji (UE) 2015/1814</w:t>
            </w:r>
            <w:r w:rsidRPr="00F949C4">
              <w:rPr>
                <w:b/>
                <w:i/>
              </w:rPr>
              <w:t>dodaje się akapit w brzmieniu:</w:t>
            </w:r>
          </w:p>
        </w:tc>
      </w:tr>
      <w:tr w:rsidR="0030692C" w:rsidRPr="00F949C4" w14:paraId="6EAB0F62" w14:textId="77777777" w:rsidTr="004C048D">
        <w:trPr>
          <w:jc w:val="center"/>
        </w:trPr>
        <w:tc>
          <w:tcPr>
            <w:tcW w:w="4876" w:type="dxa"/>
            <w:tcBorders>
              <w:top w:val="nil"/>
              <w:left w:val="nil"/>
              <w:bottom w:val="nil"/>
              <w:right w:val="nil"/>
            </w:tcBorders>
          </w:tcPr>
          <w:p w14:paraId="0910356F" w14:textId="77777777" w:rsidR="0030692C" w:rsidRPr="00F949C4" w:rsidRDefault="0030692C" w:rsidP="004C048D">
            <w:pPr>
              <w:pStyle w:val="Normal6a"/>
            </w:pPr>
          </w:p>
        </w:tc>
        <w:tc>
          <w:tcPr>
            <w:tcW w:w="4876" w:type="dxa"/>
            <w:tcBorders>
              <w:top w:val="nil"/>
              <w:left w:val="nil"/>
              <w:bottom w:val="nil"/>
              <w:right w:val="nil"/>
            </w:tcBorders>
            <w:hideMark/>
          </w:tcPr>
          <w:p w14:paraId="4DDE929A" w14:textId="5E171440" w:rsidR="0030692C" w:rsidRPr="00F949C4" w:rsidRDefault="0030692C" w:rsidP="004C048D">
            <w:pPr>
              <w:pStyle w:val="Normal6a"/>
            </w:pPr>
            <w:r w:rsidRPr="00F949C4">
              <w:rPr>
                <w:b/>
                <w:i/>
              </w:rPr>
              <w:t xml:space="preserve">„W ciągu czterech lat od rozpoczęcia funkcjonowania systemu handlu uprawnieniami do emisji w odniesieniu do sektora budowlanego, sektora transportu drogowego i sektorów dodatkowych określonego w rozdziale </w:t>
            </w:r>
            <w:proofErr w:type="spellStart"/>
            <w:r w:rsidRPr="00F949C4">
              <w:rPr>
                <w:b/>
                <w:i/>
              </w:rPr>
              <w:t>IVa</w:t>
            </w:r>
            <w:proofErr w:type="spellEnd"/>
            <w:r w:rsidRPr="00F949C4">
              <w:rPr>
                <w:b/>
                <w:i/>
              </w:rPr>
              <w:t xml:space="preserve"> dyrektywy 2003/87/WE Komisja przeprowadza ocenę skutków, w tym ocenę skutków </w:t>
            </w:r>
            <w:r w:rsidRPr="00F949C4">
              <w:rPr>
                <w:b/>
                <w:i/>
              </w:rPr>
              <w:lastRenderedPageBreak/>
              <w:t>dystrybucyjnych, oraz ocenę środowiskowych, społecznych i gospodarczych skutków pozostałych uprawnień znajdujących się w rezerwie na mocy art. 1a</w:t>
            </w:r>
            <w:r w:rsidR="00846320">
              <w:rPr>
                <w:b/>
                <w:i/>
              </w:rPr>
              <w:t xml:space="preserve"> niniejszej decyzji</w:t>
            </w:r>
            <w:r w:rsidRPr="00F949C4">
              <w:rPr>
                <w:b/>
                <w:i/>
              </w:rPr>
              <w:t>, a także określa stosowność częściowego lub całkowitego unieważnienia tych uprawnień. W stosownych przypadkach ocenie może towarzyszyć wniosek ustawodawczy.”</w:t>
            </w:r>
            <w:r w:rsidR="00846320">
              <w:rPr>
                <w:b/>
                <w:i/>
              </w:rPr>
              <w:t>.</w:t>
            </w:r>
          </w:p>
        </w:tc>
      </w:tr>
    </w:tbl>
    <w:p w14:paraId="18015F05" w14:textId="2342B9A2" w:rsidR="00E365E1" w:rsidRPr="00F949C4" w:rsidRDefault="00E365E1" w:rsidP="0043059A"/>
    <w:sectPr w:rsidR="00E365E1" w:rsidRPr="00F949C4" w:rsidSect="00F949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E45B5" w14:textId="77777777" w:rsidR="0043059A" w:rsidRPr="00F949C4" w:rsidRDefault="0043059A">
      <w:r w:rsidRPr="00F949C4">
        <w:separator/>
      </w:r>
    </w:p>
  </w:endnote>
  <w:endnote w:type="continuationSeparator" w:id="0">
    <w:p w14:paraId="6AD30C38" w14:textId="77777777" w:rsidR="0043059A" w:rsidRPr="00F949C4" w:rsidRDefault="0043059A">
      <w:r w:rsidRPr="00F949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478C" w14:textId="77777777" w:rsidR="00064002" w:rsidRPr="00F949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7959" w14:textId="77777777" w:rsidR="00064002" w:rsidRPr="00F949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4456" w14:textId="77777777" w:rsidR="00064002" w:rsidRPr="00F949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D192F" w14:textId="77777777" w:rsidR="0043059A" w:rsidRPr="00F949C4" w:rsidRDefault="0043059A">
      <w:r w:rsidRPr="00F949C4">
        <w:separator/>
      </w:r>
    </w:p>
  </w:footnote>
  <w:footnote w:type="continuationSeparator" w:id="0">
    <w:p w14:paraId="15095361" w14:textId="77777777" w:rsidR="0043059A" w:rsidRPr="00F949C4" w:rsidRDefault="0043059A">
      <w:r w:rsidRPr="00F949C4">
        <w:continuationSeparator/>
      </w:r>
    </w:p>
  </w:footnote>
  <w:footnote w:id="1">
    <w:p w14:paraId="7E15E7E1" w14:textId="6B8431A1" w:rsidR="00F70426" w:rsidRPr="006A2F73" w:rsidRDefault="00F70426" w:rsidP="006A2F73">
      <w:pPr>
        <w:pStyle w:val="FootnoteText"/>
        <w:ind w:left="567" w:hanging="567"/>
        <w:rPr>
          <w:sz w:val="24"/>
          <w:szCs w:val="24"/>
          <w:lang w:val="pl-PL"/>
        </w:rPr>
      </w:pPr>
      <w:r w:rsidRPr="006A2F73">
        <w:rPr>
          <w:rStyle w:val="FootnoteReference"/>
          <w:sz w:val="24"/>
          <w:szCs w:val="24"/>
        </w:rPr>
        <w:footnoteRef/>
      </w:r>
      <w:r w:rsidRPr="006A2F73">
        <w:rPr>
          <w:sz w:val="24"/>
          <w:szCs w:val="24"/>
          <w:lang w:val="pl-PL"/>
        </w:rPr>
        <w:t xml:space="preserve"> </w:t>
      </w:r>
      <w:r w:rsidRPr="006A2F73">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6A2F73">
        <w:rPr>
          <w:sz w:val="24"/>
          <w:szCs w:val="24"/>
          <w:lang w:val="pl-PL"/>
        </w:rPr>
        <w:t xml:space="preserve"> ust. 4 akapit czwarty Regulaminu (A</w:t>
      </w:r>
      <w:r>
        <w:rPr>
          <w:sz w:val="24"/>
          <w:szCs w:val="24"/>
          <w:lang w:val="pl-PL"/>
        </w:rPr>
        <w:t>10</w:t>
      </w:r>
      <w:r w:rsidRPr="006A2F73">
        <w:rPr>
          <w:sz w:val="24"/>
          <w:szCs w:val="24"/>
          <w:lang w:val="pl-PL"/>
        </w:rPr>
        <w:t>-00</w:t>
      </w:r>
      <w:r>
        <w:rPr>
          <w:sz w:val="24"/>
          <w:szCs w:val="24"/>
          <w:lang w:val="pl-PL"/>
        </w:rPr>
        <w:t>98</w:t>
      </w:r>
      <w:r w:rsidRPr="006A2F73">
        <w:rPr>
          <w:sz w:val="24"/>
          <w:szCs w:val="24"/>
          <w:lang w:val="pl-PL"/>
        </w:rPr>
        <w:t>/202</w:t>
      </w:r>
      <w:r>
        <w:rPr>
          <w:sz w:val="24"/>
          <w:szCs w:val="24"/>
          <w:lang w:val="pl-PL"/>
        </w:rPr>
        <w:t>6</w:t>
      </w:r>
      <w:r w:rsidRPr="006A2F73">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3579" w14:textId="77777777" w:rsidR="00064002" w:rsidRPr="00F949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C826" w14:textId="77777777" w:rsidR="00064002" w:rsidRPr="00F949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F89B" w14:textId="77777777" w:rsidR="00064002" w:rsidRPr="00F949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4542180">
    <w:abstractNumId w:val="9"/>
  </w:num>
  <w:num w:numId="2" w16cid:durableId="489834865">
    <w:abstractNumId w:val="9"/>
  </w:num>
  <w:num w:numId="3" w16cid:durableId="576281237">
    <w:abstractNumId w:val="7"/>
  </w:num>
  <w:num w:numId="4" w16cid:durableId="2048336194">
    <w:abstractNumId w:val="7"/>
  </w:num>
  <w:num w:numId="5" w16cid:durableId="1129470179">
    <w:abstractNumId w:val="6"/>
  </w:num>
  <w:num w:numId="6" w16cid:durableId="1634019649">
    <w:abstractNumId w:val="6"/>
  </w:num>
  <w:num w:numId="7" w16cid:durableId="2099977878">
    <w:abstractNumId w:val="5"/>
  </w:num>
  <w:num w:numId="8" w16cid:durableId="138620356">
    <w:abstractNumId w:val="5"/>
  </w:num>
  <w:num w:numId="9" w16cid:durableId="1227498362">
    <w:abstractNumId w:val="4"/>
  </w:num>
  <w:num w:numId="10" w16cid:durableId="1931771692">
    <w:abstractNumId w:val="4"/>
  </w:num>
  <w:num w:numId="11" w16cid:durableId="1724476104">
    <w:abstractNumId w:val="8"/>
  </w:num>
  <w:num w:numId="12" w16cid:durableId="531265633">
    <w:abstractNumId w:val="8"/>
  </w:num>
  <w:num w:numId="13" w16cid:durableId="2133668531">
    <w:abstractNumId w:val="3"/>
  </w:num>
  <w:num w:numId="14" w16cid:durableId="3946578">
    <w:abstractNumId w:val="3"/>
  </w:num>
  <w:num w:numId="15" w16cid:durableId="1243218545">
    <w:abstractNumId w:val="2"/>
  </w:num>
  <w:num w:numId="16" w16cid:durableId="1935430980">
    <w:abstractNumId w:val="2"/>
  </w:num>
  <w:num w:numId="17" w16cid:durableId="2143960360">
    <w:abstractNumId w:val="1"/>
  </w:num>
  <w:num w:numId="18" w16cid:durableId="1730960898">
    <w:abstractNumId w:val="1"/>
  </w:num>
  <w:num w:numId="19" w16cid:durableId="239798284">
    <w:abstractNumId w:val="0"/>
  </w:num>
  <w:num w:numId="20" w16cid:durableId="1028408738">
    <w:abstractNumId w:val="0"/>
  </w:num>
  <w:num w:numId="21" w16cid:durableId="420182930">
    <w:abstractNumId w:val="9"/>
  </w:num>
  <w:num w:numId="22" w16cid:durableId="1059286721">
    <w:abstractNumId w:val="7"/>
  </w:num>
  <w:num w:numId="23" w16cid:durableId="1352223691">
    <w:abstractNumId w:val="6"/>
  </w:num>
  <w:num w:numId="24" w16cid:durableId="2096243853">
    <w:abstractNumId w:val="5"/>
  </w:num>
  <w:num w:numId="25" w16cid:durableId="149248976">
    <w:abstractNumId w:val="4"/>
  </w:num>
  <w:num w:numId="26" w16cid:durableId="829950374">
    <w:abstractNumId w:val="8"/>
  </w:num>
  <w:num w:numId="27" w16cid:durableId="575633831">
    <w:abstractNumId w:val="3"/>
  </w:num>
  <w:num w:numId="28" w16cid:durableId="1649362119">
    <w:abstractNumId w:val="2"/>
  </w:num>
  <w:num w:numId="29" w16cid:durableId="623776645">
    <w:abstractNumId w:val="1"/>
  </w:num>
  <w:num w:numId="30" w16cid:durableId="1740781987">
    <w:abstractNumId w:val="0"/>
  </w:num>
  <w:num w:numId="31" w16cid:durableId="2053772257">
    <w:abstractNumId w:val="9"/>
  </w:num>
  <w:num w:numId="32" w16cid:durableId="101264793">
    <w:abstractNumId w:val="7"/>
  </w:num>
  <w:num w:numId="33" w16cid:durableId="2127002597">
    <w:abstractNumId w:val="6"/>
  </w:num>
  <w:num w:numId="34" w16cid:durableId="734208811">
    <w:abstractNumId w:val="5"/>
  </w:num>
  <w:num w:numId="35" w16cid:durableId="524905393">
    <w:abstractNumId w:val="4"/>
  </w:num>
  <w:num w:numId="36" w16cid:durableId="528878129">
    <w:abstractNumId w:val="8"/>
  </w:num>
  <w:num w:numId="37" w16cid:durableId="143593551">
    <w:abstractNumId w:val="3"/>
  </w:num>
  <w:num w:numId="38" w16cid:durableId="1071080113">
    <w:abstractNumId w:val="2"/>
  </w:num>
  <w:num w:numId="39" w16cid:durableId="277028004">
    <w:abstractNumId w:val="1"/>
  </w:num>
  <w:num w:numId="40" w16cid:durableId="1258826517">
    <w:abstractNumId w:val="0"/>
  </w:num>
  <w:num w:numId="41" w16cid:durableId="1591237468">
    <w:abstractNumId w:val="10"/>
  </w:num>
  <w:num w:numId="42" w16cid:durableId="2020739357">
    <w:abstractNumId w:val="10"/>
  </w:num>
  <w:num w:numId="43" w16cid:durableId="1187253624">
    <w:abstractNumId w:val="10"/>
  </w:num>
  <w:num w:numId="44" w16cid:durableId="19936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PL"/>
    <w:docVar w:name="dvnumam" w:val="10"/>
    <w:docVar w:name="dvpe" w:val="781.492"/>
    <w:docVar w:name="dvrapporteur" w:val="Sprawozdawca: "/>
    <w:docVar w:name="dvstar" w:val="***I"/>
    <w:docVar w:name="dvtitre" w:val="Rezolucja ustawodawcza Parlamentu Europejskiego z dnia  2026 r. w sprawie wniosku dotyczącego decyzji Parlamentu Europejskiego i Rady zmieniającej decyzję (UE) 2015/1814 w odniesieniu do rezerwy stabilności rynkowej dla sektora budowlanego, sektora transportu drogowego i sektorów dodatkowych(COM(2025)0738 – C10-0320/2025 – 2025/0380(COD))"/>
  </w:docVars>
  <w:rsids>
    <w:rsidRoot w:val="0043059A"/>
    <w:rsid w:val="00002272"/>
    <w:rsid w:val="00064002"/>
    <w:rsid w:val="000677B9"/>
    <w:rsid w:val="000831BA"/>
    <w:rsid w:val="000A42CC"/>
    <w:rsid w:val="000E7DD9"/>
    <w:rsid w:val="0010095E"/>
    <w:rsid w:val="00111CB0"/>
    <w:rsid w:val="00125B37"/>
    <w:rsid w:val="00187494"/>
    <w:rsid w:val="001F32AE"/>
    <w:rsid w:val="00250B66"/>
    <w:rsid w:val="002767FF"/>
    <w:rsid w:val="002B18FE"/>
    <w:rsid w:val="002B5493"/>
    <w:rsid w:val="0030692C"/>
    <w:rsid w:val="00343214"/>
    <w:rsid w:val="00361C00"/>
    <w:rsid w:val="00395FA1"/>
    <w:rsid w:val="003E15D4"/>
    <w:rsid w:val="003E4446"/>
    <w:rsid w:val="00411CCE"/>
    <w:rsid w:val="0041666E"/>
    <w:rsid w:val="00421060"/>
    <w:rsid w:val="0043059A"/>
    <w:rsid w:val="00471C19"/>
    <w:rsid w:val="004867E3"/>
    <w:rsid w:val="00494A28"/>
    <w:rsid w:val="004C0004"/>
    <w:rsid w:val="004C5D52"/>
    <w:rsid w:val="0050519A"/>
    <w:rsid w:val="005072A1"/>
    <w:rsid w:val="00514517"/>
    <w:rsid w:val="00545827"/>
    <w:rsid w:val="00560270"/>
    <w:rsid w:val="00573A31"/>
    <w:rsid w:val="005C2568"/>
    <w:rsid w:val="005F1B17"/>
    <w:rsid w:val="006037C0"/>
    <w:rsid w:val="006631B6"/>
    <w:rsid w:val="00680577"/>
    <w:rsid w:val="006A2F73"/>
    <w:rsid w:val="006D7006"/>
    <w:rsid w:val="006F74FA"/>
    <w:rsid w:val="00703923"/>
    <w:rsid w:val="00731ADD"/>
    <w:rsid w:val="00734777"/>
    <w:rsid w:val="00747932"/>
    <w:rsid w:val="00751A4A"/>
    <w:rsid w:val="00756632"/>
    <w:rsid w:val="00762C74"/>
    <w:rsid w:val="00786EC0"/>
    <w:rsid w:val="007D1690"/>
    <w:rsid w:val="007E22AD"/>
    <w:rsid w:val="00817416"/>
    <w:rsid w:val="00842779"/>
    <w:rsid w:val="00846320"/>
    <w:rsid w:val="00865F67"/>
    <w:rsid w:val="00881A7B"/>
    <w:rsid w:val="008840E5"/>
    <w:rsid w:val="00887B3E"/>
    <w:rsid w:val="0089474B"/>
    <w:rsid w:val="008C2AC6"/>
    <w:rsid w:val="00930C23"/>
    <w:rsid w:val="0093193B"/>
    <w:rsid w:val="009509D8"/>
    <w:rsid w:val="00950B64"/>
    <w:rsid w:val="00981893"/>
    <w:rsid w:val="00A1687D"/>
    <w:rsid w:val="00A21337"/>
    <w:rsid w:val="00A43E52"/>
    <w:rsid w:val="00A4678D"/>
    <w:rsid w:val="00A778C7"/>
    <w:rsid w:val="00AB441E"/>
    <w:rsid w:val="00AB6293"/>
    <w:rsid w:val="00AC474D"/>
    <w:rsid w:val="00AE0928"/>
    <w:rsid w:val="00AF3B82"/>
    <w:rsid w:val="00B12E95"/>
    <w:rsid w:val="00B22876"/>
    <w:rsid w:val="00B558F0"/>
    <w:rsid w:val="00BD48FE"/>
    <w:rsid w:val="00BD7BD8"/>
    <w:rsid w:val="00BE6ADC"/>
    <w:rsid w:val="00C05BFE"/>
    <w:rsid w:val="00C23CD4"/>
    <w:rsid w:val="00C61C0C"/>
    <w:rsid w:val="00C941CB"/>
    <w:rsid w:val="00CC2357"/>
    <w:rsid w:val="00CE46F2"/>
    <w:rsid w:val="00CF071A"/>
    <w:rsid w:val="00D058B8"/>
    <w:rsid w:val="00D56C11"/>
    <w:rsid w:val="00D834A0"/>
    <w:rsid w:val="00D872DF"/>
    <w:rsid w:val="00D91E21"/>
    <w:rsid w:val="00DA67AB"/>
    <w:rsid w:val="00DA7FCD"/>
    <w:rsid w:val="00E365E1"/>
    <w:rsid w:val="00E820A4"/>
    <w:rsid w:val="00EB006A"/>
    <w:rsid w:val="00EB4772"/>
    <w:rsid w:val="00ED169E"/>
    <w:rsid w:val="00ED4235"/>
    <w:rsid w:val="00F04346"/>
    <w:rsid w:val="00F075DC"/>
    <w:rsid w:val="00F149E9"/>
    <w:rsid w:val="00F5134D"/>
    <w:rsid w:val="00F70426"/>
    <w:rsid w:val="00F74202"/>
    <w:rsid w:val="00F87713"/>
    <w:rsid w:val="00F949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1B5D3"/>
  <w15:chartTrackingRefBased/>
  <w15:docId w15:val="{F974F3E2-31A2-4EAC-BEB1-BAB3509C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0692C"/>
    <w:pPr>
      <w:spacing w:after="120"/>
    </w:pPr>
  </w:style>
  <w:style w:type="paragraph" w:customStyle="1" w:styleId="NormalBold">
    <w:name w:val="NormalBold"/>
    <w:basedOn w:val="Normal"/>
    <w:link w:val="NormalBoldChar"/>
    <w:rsid w:val="0030692C"/>
    <w:rPr>
      <w:b/>
    </w:rPr>
  </w:style>
  <w:style w:type="paragraph" w:customStyle="1" w:styleId="NormalHanging12a">
    <w:name w:val="NormalHanging12a"/>
    <w:basedOn w:val="Normal"/>
    <w:rsid w:val="0030692C"/>
    <w:pPr>
      <w:spacing w:after="240"/>
      <w:ind w:left="567" w:hanging="567"/>
    </w:pPr>
  </w:style>
  <w:style w:type="paragraph" w:customStyle="1" w:styleId="AmCrossRef">
    <w:name w:val="AmCrossRef"/>
    <w:basedOn w:val="Normal"/>
    <w:rsid w:val="0030692C"/>
    <w:pPr>
      <w:spacing w:before="240" w:after="240"/>
      <w:jc w:val="center"/>
    </w:pPr>
    <w:rPr>
      <w:i/>
    </w:rPr>
  </w:style>
  <w:style w:type="paragraph" w:customStyle="1" w:styleId="AmColumnHeading">
    <w:name w:val="AmColumnHeading"/>
    <w:basedOn w:val="Normal"/>
    <w:rsid w:val="0030692C"/>
    <w:pPr>
      <w:spacing w:after="240"/>
      <w:jc w:val="center"/>
    </w:pPr>
    <w:rPr>
      <w:i/>
    </w:rPr>
  </w:style>
  <w:style w:type="paragraph" w:customStyle="1" w:styleId="AmNumberTabs">
    <w:name w:val="AmNumberTabs"/>
    <w:basedOn w:val="Normal"/>
    <w:rsid w:val="003069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0692C"/>
    <w:pPr>
      <w:spacing w:before="480" w:after="240"/>
    </w:pPr>
  </w:style>
  <w:style w:type="character" w:styleId="Hyperlink">
    <w:name w:val="Hyperlink"/>
    <w:basedOn w:val="DefaultParagraphFont"/>
    <w:rsid w:val="0030692C"/>
    <w:rPr>
      <w:color w:val="0563C1" w:themeColor="hyperlink"/>
      <w:u w:val="single"/>
    </w:rPr>
  </w:style>
  <w:style w:type="character" w:customStyle="1" w:styleId="NormalBoldChar">
    <w:name w:val="NormalBold Char"/>
    <w:basedOn w:val="DefaultParagraphFont"/>
    <w:link w:val="NormalBold"/>
    <w:locked/>
    <w:rsid w:val="0030692C"/>
    <w:rPr>
      <w:b/>
      <w:sz w:val="24"/>
      <w:lang w:val="pl-PL"/>
    </w:rPr>
  </w:style>
  <w:style w:type="paragraph" w:styleId="Revision">
    <w:name w:val="Revision"/>
    <w:hidden/>
    <w:uiPriority w:val="99"/>
    <w:semiHidden/>
    <w:rsid w:val="0089474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1418</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2026-07-17T12:03:00Z</dcterms:created>
  <dcterms:modified xsi:type="dcterms:W3CDTF">2026-07-17T12:03:00Z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P10_TA(2026)0139_</vt:lpwstr>
  </property>
  <property fmtid="{D5CDD505-2E9C-101B-9397-08002B2CF9AE}" pid="4" name="&lt;Type&gt;">
    <vt:lpwstr>RR</vt:lpwstr>
  </property>
</Properties>
</file>