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645C" w14:paraId="10B1A00A" w14:textId="77777777" w:rsidTr="0010095E">
        <w:trPr>
          <w:trHeight w:hRule="exact" w:val="1418"/>
        </w:trPr>
        <w:tc>
          <w:tcPr>
            <w:tcW w:w="6804" w:type="dxa"/>
            <w:shd w:val="clear" w:color="auto" w:fill="auto"/>
            <w:vAlign w:val="center"/>
          </w:tcPr>
          <w:p w14:paraId="3A804DC7" w14:textId="77777777" w:rsidR="00751A4A" w:rsidRPr="0081645C" w:rsidRDefault="00BD1C8E" w:rsidP="0010095E">
            <w:pPr>
              <w:pStyle w:val="EPName"/>
            </w:pPr>
            <w:r w:rsidRPr="0081645C">
              <w:t xml:space="preserve">Parlamento </w:t>
            </w:r>
            <w:proofErr w:type="gramStart"/>
            <w:r w:rsidRPr="0081645C">
              <w:t>Europeu</w:t>
            </w:r>
            <w:proofErr w:type="gramEnd"/>
          </w:p>
          <w:p w14:paraId="6734A162" w14:textId="77777777" w:rsidR="00751A4A" w:rsidRPr="0081645C" w:rsidRDefault="005F1B17" w:rsidP="005F1B17">
            <w:pPr>
              <w:pStyle w:val="EPTerm"/>
              <w:rPr>
                <w:rStyle w:val="HideTWBExt"/>
                <w:noProof w:val="0"/>
                <w:vanish w:val="0"/>
                <w:color w:val="auto"/>
              </w:rPr>
            </w:pPr>
            <w:r w:rsidRPr="0081645C">
              <w:t>2024</w:t>
            </w:r>
            <w:r w:rsidR="00817416" w:rsidRPr="0081645C">
              <w:t>-202</w:t>
            </w:r>
            <w:r w:rsidRPr="0081645C">
              <w:t>9</w:t>
            </w:r>
          </w:p>
        </w:tc>
        <w:tc>
          <w:tcPr>
            <w:tcW w:w="2268" w:type="dxa"/>
            <w:shd w:val="clear" w:color="auto" w:fill="auto"/>
          </w:tcPr>
          <w:p w14:paraId="6920217D" w14:textId="77777777" w:rsidR="00751A4A" w:rsidRPr="0081645C" w:rsidRDefault="00187494" w:rsidP="0010095E">
            <w:pPr>
              <w:pStyle w:val="EPLogo"/>
            </w:pPr>
            <w:r w:rsidRPr="0081645C">
              <w:rPr>
                <w:noProof/>
                <w:lang w:eastAsia="ja-JP"/>
              </w:rPr>
              <w:drawing>
                <wp:inline distT="0" distB="0" distL="0" distR="0" wp14:anchorId="3C811927" wp14:editId="3FAEBB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555B21" w14:textId="77777777" w:rsidR="00D058B8" w:rsidRPr="0081645C" w:rsidRDefault="00D058B8" w:rsidP="004C5D52">
      <w:pPr>
        <w:pStyle w:val="LineTop"/>
      </w:pPr>
    </w:p>
    <w:p w14:paraId="2A95BD02" w14:textId="77777777" w:rsidR="00680577" w:rsidRPr="0081645C" w:rsidRDefault="00BD1C8E" w:rsidP="00680577">
      <w:pPr>
        <w:pStyle w:val="EPBodyTA1"/>
      </w:pPr>
      <w:r w:rsidRPr="0081645C">
        <w:t>TEXTOS APROVADOS</w:t>
      </w:r>
    </w:p>
    <w:p w14:paraId="4D80BC29" w14:textId="77777777" w:rsidR="00D058B8" w:rsidRPr="0081645C" w:rsidRDefault="00D058B8" w:rsidP="00D058B8">
      <w:pPr>
        <w:pStyle w:val="LineBottom"/>
      </w:pPr>
    </w:p>
    <w:p w14:paraId="5EBF40D7" w14:textId="13094BC6" w:rsidR="00BD1C8E" w:rsidRPr="0081645C" w:rsidRDefault="00BD1C8E" w:rsidP="00BD1C8E">
      <w:pPr>
        <w:pStyle w:val="ATHeading1"/>
      </w:pPr>
      <w:bookmarkStart w:id="0" w:name="TANumber"/>
      <w:r w:rsidRPr="0081645C">
        <w:t>P10_</w:t>
      </w:r>
      <w:proofErr w:type="gramStart"/>
      <w:r w:rsidRPr="0081645C">
        <w:t>TA(</w:t>
      </w:r>
      <w:proofErr w:type="gramEnd"/>
      <w:r w:rsidRPr="0081645C">
        <w:t>2026)</w:t>
      </w:r>
      <w:bookmarkEnd w:id="0"/>
      <w:r w:rsidR="0081645C" w:rsidRPr="0081645C">
        <w:t>0139</w:t>
      </w:r>
    </w:p>
    <w:p w14:paraId="6A27710A" w14:textId="4781570F" w:rsidR="00BD1C8E" w:rsidRPr="0081645C" w:rsidRDefault="00BD1C8E" w:rsidP="00BD1C8E">
      <w:pPr>
        <w:pStyle w:val="ATHeading2"/>
      </w:pPr>
      <w:bookmarkStart w:id="1" w:name="title"/>
      <w:r w:rsidRPr="0081645C">
        <w:t xml:space="preserve">Reserva de estabilização do mercado para os </w:t>
      </w:r>
      <w:r w:rsidR="001C1C7D" w:rsidRPr="0081645C">
        <w:t xml:space="preserve">setores dos </w:t>
      </w:r>
      <w:r w:rsidRPr="0081645C">
        <w:t xml:space="preserve">edifícios, </w:t>
      </w:r>
      <w:r w:rsidR="001C1C7D" w:rsidRPr="0081645C">
        <w:t>d</w:t>
      </w:r>
      <w:r w:rsidRPr="0081645C">
        <w:t>o transporte rodoviário e outros setores</w:t>
      </w:r>
      <w:bookmarkEnd w:id="1"/>
    </w:p>
    <w:p w14:paraId="06286CEB" w14:textId="77777777" w:rsidR="00BD1C8E" w:rsidRPr="0081645C" w:rsidRDefault="00BD1C8E" w:rsidP="00BD1C8E">
      <w:pPr>
        <w:rPr>
          <w:i/>
          <w:vanish/>
        </w:rPr>
      </w:pPr>
      <w:r w:rsidRPr="0081645C">
        <w:rPr>
          <w:i/>
        </w:rPr>
        <w:fldChar w:fldCharType="begin"/>
      </w:r>
      <w:r w:rsidRPr="0081645C">
        <w:rPr>
          <w:i/>
        </w:rPr>
        <w:instrText xml:space="preserve"> TC"(</w:instrText>
      </w:r>
      <w:bookmarkStart w:id="2" w:name="DocNumber"/>
      <w:r w:rsidRPr="0081645C">
        <w:rPr>
          <w:i/>
        </w:rPr>
        <w:instrText>A10-0098/2026</w:instrText>
      </w:r>
      <w:bookmarkEnd w:id="2"/>
      <w:r w:rsidRPr="0081645C">
        <w:rPr>
          <w:i/>
        </w:rPr>
        <w:instrText xml:space="preserve"> - Relatora: Danuše Nerudová)"\l3 \n&gt; \* MERGEFORMAT </w:instrText>
      </w:r>
      <w:r w:rsidRPr="0081645C">
        <w:rPr>
          <w:i/>
        </w:rPr>
        <w:fldChar w:fldCharType="end"/>
      </w:r>
    </w:p>
    <w:p w14:paraId="57E73681" w14:textId="77777777" w:rsidR="00BD1C8E" w:rsidRPr="0081645C" w:rsidRDefault="00BD1C8E" w:rsidP="00BD1C8E">
      <w:pPr>
        <w:rPr>
          <w:vanish/>
        </w:rPr>
      </w:pPr>
      <w:bookmarkStart w:id="3" w:name="Commission"/>
      <w:r w:rsidRPr="0081645C">
        <w:rPr>
          <w:vanish/>
        </w:rPr>
        <w:t>Comissão do Ambiente, do Clima e da Segurança Alimentar</w:t>
      </w:r>
      <w:bookmarkEnd w:id="3"/>
    </w:p>
    <w:p w14:paraId="5C22E979" w14:textId="45802F0E" w:rsidR="00BD1C8E" w:rsidRPr="0081645C" w:rsidRDefault="00BD1C8E" w:rsidP="00BD1C8E">
      <w:pPr>
        <w:rPr>
          <w:vanish/>
        </w:rPr>
      </w:pPr>
      <w:bookmarkStart w:id="4" w:name="PE"/>
      <w:r w:rsidRPr="0081645C">
        <w:rPr>
          <w:vanish/>
        </w:rPr>
        <w:t>PE78</w:t>
      </w:r>
      <w:r w:rsidR="00EB7A5F" w:rsidRPr="0081645C">
        <w:rPr>
          <w:vanish/>
        </w:rPr>
        <w:t>3</w:t>
      </w:r>
      <w:r w:rsidRPr="0081645C">
        <w:rPr>
          <w:vanish/>
        </w:rPr>
        <w:t>.</w:t>
      </w:r>
      <w:bookmarkEnd w:id="4"/>
      <w:r w:rsidR="00E74EEE" w:rsidRPr="0081645C">
        <w:rPr>
          <w:vanish/>
        </w:rPr>
        <w:t>023</w:t>
      </w:r>
    </w:p>
    <w:p w14:paraId="06330038" w14:textId="508DCFE4" w:rsidR="00BD1C8E" w:rsidRPr="0081645C" w:rsidRDefault="00C86A3B" w:rsidP="00BD1C8E">
      <w:pPr>
        <w:pStyle w:val="ATHeading3"/>
      </w:pPr>
      <w:bookmarkStart w:id="5" w:name="_Hlk228370210"/>
      <w:bookmarkStart w:id="6" w:name="Sujet"/>
      <w:r w:rsidRPr="00C86A3B">
        <w:t xml:space="preserve">Alterações aprovadas pelo </w:t>
      </w:r>
      <w:bookmarkEnd w:id="5"/>
      <w:r w:rsidR="00BD1C8E" w:rsidRPr="0081645C">
        <w:t xml:space="preserve">Parlamento Europeu, </w:t>
      </w:r>
      <w:r>
        <w:t>em</w:t>
      </w:r>
      <w:r w:rsidRPr="0081645C">
        <w:t xml:space="preserve"> </w:t>
      </w:r>
      <w:r w:rsidR="00E74EEE" w:rsidRPr="0081645C">
        <w:t xml:space="preserve">29 </w:t>
      </w:r>
      <w:r w:rsidR="00BD1C8E" w:rsidRPr="0081645C">
        <w:t xml:space="preserve">de </w:t>
      </w:r>
      <w:r w:rsidR="00E74EEE" w:rsidRPr="0081645C">
        <w:t xml:space="preserve">abril </w:t>
      </w:r>
      <w:r w:rsidR="00BD1C8E" w:rsidRPr="0081645C">
        <w:t xml:space="preserve">de 2026, sobre a proposta de decisão do Parlamento Europeu e do Conselho que altera a Decisão (UE) 2015/1814 no respeitante </w:t>
      </w:r>
      <w:r w:rsidR="00E74EEE" w:rsidRPr="0081645C">
        <w:t>à</w:t>
      </w:r>
      <w:r w:rsidR="00BD1C8E" w:rsidRPr="0081645C">
        <w:t xml:space="preserve"> reserva de estabilização do mercado para os setores dos edifícios, do transporte rodoviário e outros setores</w:t>
      </w:r>
      <w:bookmarkEnd w:id="6"/>
      <w:r w:rsidR="00BD1C8E" w:rsidRPr="0081645C">
        <w:t xml:space="preserve"> </w:t>
      </w:r>
      <w:bookmarkStart w:id="7" w:name="References"/>
      <w:r w:rsidR="00BD1C8E" w:rsidRPr="0081645C">
        <w:t>(</w:t>
      </w:r>
      <w:proofErr w:type="gramStart"/>
      <w:r w:rsidR="00BD1C8E" w:rsidRPr="0081645C">
        <w:t>COM(</w:t>
      </w:r>
      <w:proofErr w:type="gramEnd"/>
      <w:r w:rsidR="00BD1C8E" w:rsidRPr="0081645C">
        <w:t>2025)0738 – C10-0320/2025 – 2025/0380(COD))</w:t>
      </w:r>
      <w:bookmarkStart w:id="8" w:name="_Hlk228370231"/>
      <w:bookmarkEnd w:id="7"/>
      <w:r>
        <w:rPr>
          <w:rStyle w:val="FootnoteReference"/>
        </w:rPr>
        <w:footnoteReference w:id="1"/>
      </w:r>
      <w:bookmarkEnd w:id="8"/>
    </w:p>
    <w:p w14:paraId="06395020" w14:textId="77777777" w:rsidR="00112522" w:rsidRPr="0081645C" w:rsidRDefault="00112522" w:rsidP="00112522">
      <w:pPr>
        <w:pStyle w:val="NormalBold"/>
      </w:pPr>
      <w:r w:rsidRPr="0081645C">
        <w:t>(Processo legislativo ordinário: primeira leitura)</w:t>
      </w:r>
    </w:p>
    <w:p w14:paraId="68D5BCDB" w14:textId="77777777" w:rsidR="00C86A3B" w:rsidRDefault="00C86A3B" w:rsidP="00112522">
      <w:pPr>
        <w:pStyle w:val="NormalHanging12a"/>
      </w:pPr>
    </w:p>
    <w:p w14:paraId="3553CA0E" w14:textId="77777777" w:rsidR="00C86A3B" w:rsidRDefault="00C86A3B" w:rsidP="00112522">
      <w:pPr>
        <w:pStyle w:val="NormalHanging12a"/>
        <w:sectPr w:rsidR="00C86A3B" w:rsidSect="00C364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1ACD15B" w14:textId="77777777" w:rsidR="00112522" w:rsidRPr="0081645C" w:rsidRDefault="00112522" w:rsidP="00112522">
      <w:pPr>
        <w:pStyle w:val="NormalHanging12a"/>
      </w:pPr>
    </w:p>
    <w:p w14:paraId="1DE8724B" w14:textId="77777777" w:rsidR="00112522" w:rsidRPr="0081645C" w:rsidRDefault="00112522" w:rsidP="00112522"/>
    <w:p w14:paraId="79755FBD" w14:textId="77777777" w:rsidR="00112522" w:rsidRPr="0081645C" w:rsidRDefault="00112522" w:rsidP="00112522">
      <w:pPr>
        <w:pStyle w:val="AmNumberTabs"/>
        <w:keepNext/>
      </w:pPr>
      <w:r w:rsidRPr="0081645C">
        <w:t>Alteração</w:t>
      </w:r>
      <w:r w:rsidRPr="0081645C">
        <w:tab/>
      </w:r>
      <w:r w:rsidRPr="0081645C">
        <w:tab/>
        <w:t>1</w:t>
      </w:r>
    </w:p>
    <w:p w14:paraId="26E6D437" w14:textId="77777777" w:rsidR="00112522" w:rsidRPr="0081645C" w:rsidRDefault="00112522" w:rsidP="00112522">
      <w:pPr>
        <w:pStyle w:val="NormalBold"/>
      </w:pPr>
      <w:r w:rsidRPr="0081645C">
        <w:t>Proposta de decisão</w:t>
      </w:r>
    </w:p>
    <w:p w14:paraId="006813E2" w14:textId="77777777" w:rsidR="00112522" w:rsidRPr="0081645C" w:rsidRDefault="00112522" w:rsidP="00112522">
      <w:pPr>
        <w:pStyle w:val="NormalBold"/>
      </w:pPr>
      <w:r w:rsidRPr="0081645C">
        <w:t>Considerando 1</w:t>
      </w:r>
      <w:r w:rsidRPr="0081645C">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522" w:rsidRPr="0081645C" w14:paraId="36A29659" w14:textId="77777777" w:rsidTr="00F23822">
        <w:trPr>
          <w:trHeight w:val="240"/>
          <w:jc w:val="center"/>
        </w:trPr>
        <w:tc>
          <w:tcPr>
            <w:tcW w:w="9752" w:type="dxa"/>
            <w:gridSpan w:val="2"/>
            <w:tcBorders>
              <w:top w:val="nil"/>
              <w:left w:val="nil"/>
              <w:bottom w:val="nil"/>
              <w:right w:val="nil"/>
            </w:tcBorders>
          </w:tcPr>
          <w:p w14:paraId="33CF66AC" w14:textId="77777777" w:rsidR="00112522" w:rsidRPr="0081645C" w:rsidRDefault="00112522" w:rsidP="00F23822"/>
        </w:tc>
      </w:tr>
      <w:tr w:rsidR="00112522" w:rsidRPr="0081645C" w14:paraId="275FA558" w14:textId="77777777" w:rsidTr="00F23822">
        <w:trPr>
          <w:trHeight w:val="240"/>
          <w:jc w:val="center"/>
        </w:trPr>
        <w:tc>
          <w:tcPr>
            <w:tcW w:w="4876" w:type="dxa"/>
            <w:tcBorders>
              <w:top w:val="nil"/>
              <w:left w:val="nil"/>
              <w:bottom w:val="nil"/>
              <w:right w:val="nil"/>
            </w:tcBorders>
            <w:hideMark/>
          </w:tcPr>
          <w:p w14:paraId="166EAF99" w14:textId="77777777" w:rsidR="00112522" w:rsidRPr="0081645C" w:rsidRDefault="00112522" w:rsidP="00F23822">
            <w:pPr>
              <w:pStyle w:val="AmColumnHeading"/>
            </w:pPr>
            <w:r w:rsidRPr="0081645C">
              <w:t>Texto da Comissão</w:t>
            </w:r>
          </w:p>
        </w:tc>
        <w:tc>
          <w:tcPr>
            <w:tcW w:w="4876" w:type="dxa"/>
            <w:tcBorders>
              <w:top w:val="nil"/>
              <w:left w:val="nil"/>
              <w:bottom w:val="nil"/>
              <w:right w:val="nil"/>
            </w:tcBorders>
            <w:hideMark/>
          </w:tcPr>
          <w:p w14:paraId="2F533D33" w14:textId="77777777" w:rsidR="00112522" w:rsidRPr="0081645C" w:rsidRDefault="00112522" w:rsidP="00F23822">
            <w:pPr>
              <w:pStyle w:val="AmColumnHeading"/>
            </w:pPr>
            <w:r w:rsidRPr="0081645C">
              <w:t>Alteração</w:t>
            </w:r>
          </w:p>
        </w:tc>
      </w:tr>
      <w:tr w:rsidR="00112522" w:rsidRPr="0081645C" w14:paraId="573A7AF6" w14:textId="77777777" w:rsidTr="00F23822">
        <w:trPr>
          <w:jc w:val="center"/>
        </w:trPr>
        <w:tc>
          <w:tcPr>
            <w:tcW w:w="4876" w:type="dxa"/>
            <w:tcBorders>
              <w:top w:val="nil"/>
              <w:left w:val="nil"/>
              <w:bottom w:val="nil"/>
              <w:right w:val="nil"/>
            </w:tcBorders>
          </w:tcPr>
          <w:p w14:paraId="1B56F651" w14:textId="77777777" w:rsidR="00112522" w:rsidRPr="0081645C" w:rsidRDefault="00112522" w:rsidP="00F23822">
            <w:pPr>
              <w:pStyle w:val="Normal6a"/>
            </w:pPr>
          </w:p>
        </w:tc>
        <w:tc>
          <w:tcPr>
            <w:tcW w:w="4876" w:type="dxa"/>
            <w:tcBorders>
              <w:top w:val="nil"/>
              <w:left w:val="nil"/>
              <w:bottom w:val="nil"/>
              <w:right w:val="nil"/>
            </w:tcBorders>
            <w:hideMark/>
          </w:tcPr>
          <w:p w14:paraId="723430A1" w14:textId="77777777" w:rsidR="00112522" w:rsidRPr="0081645C" w:rsidRDefault="00112522" w:rsidP="00F23822">
            <w:pPr>
              <w:pStyle w:val="Normal6a"/>
            </w:pPr>
            <w:r w:rsidRPr="0081645C">
              <w:rPr>
                <w:b/>
                <w:i/>
              </w:rPr>
              <w:t>(1</w:t>
            </w:r>
            <w:r w:rsidRPr="0081645C">
              <w:rPr>
                <w:b/>
                <w:i/>
              </w:rPr>
              <w:noBreakHyphen/>
              <w:t>A)</w:t>
            </w:r>
            <w:r w:rsidRPr="0081645C">
              <w:tab/>
            </w:r>
            <w:r w:rsidRPr="0081645C">
              <w:rPr>
                <w:b/>
                <w:i/>
              </w:rPr>
              <w:t>As conclusões do Conselho Europeu de 12 de dezembro de 2019 também aprovam o objetivo de alcançar uma UE climaticamente neutra até 2050, em conformidade com os objetivos do Acordo de Paris.</w:t>
            </w:r>
          </w:p>
        </w:tc>
      </w:tr>
    </w:tbl>
    <w:p w14:paraId="798C0D8D" w14:textId="77777777" w:rsidR="00112522" w:rsidRPr="0081645C" w:rsidRDefault="00112522" w:rsidP="00112522"/>
    <w:p w14:paraId="0CF0C06E" w14:textId="77777777" w:rsidR="00112522" w:rsidRPr="0081645C" w:rsidRDefault="00112522" w:rsidP="00112522">
      <w:pPr>
        <w:pStyle w:val="AmNumberTabs"/>
      </w:pPr>
      <w:r w:rsidRPr="0081645C">
        <w:t>Alteração</w:t>
      </w:r>
      <w:r w:rsidRPr="0081645C">
        <w:tab/>
      </w:r>
      <w:r w:rsidRPr="0081645C">
        <w:tab/>
        <w:t>2</w:t>
      </w:r>
    </w:p>
    <w:p w14:paraId="0B12E626" w14:textId="77777777" w:rsidR="00112522" w:rsidRPr="0081645C" w:rsidRDefault="00112522" w:rsidP="00112522">
      <w:pPr>
        <w:pStyle w:val="NormalBold"/>
      </w:pPr>
      <w:r w:rsidRPr="0081645C">
        <w:t>Proposta de decisão</w:t>
      </w:r>
    </w:p>
    <w:p w14:paraId="6F13FD65" w14:textId="77777777" w:rsidR="00112522" w:rsidRPr="0081645C" w:rsidRDefault="00112522" w:rsidP="00112522">
      <w:pPr>
        <w:pStyle w:val="NormalBold"/>
      </w:pPr>
      <w:r w:rsidRPr="0081645C">
        <w:t>Considerando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522" w:rsidRPr="0081645C" w14:paraId="58F48FB8" w14:textId="77777777" w:rsidTr="00F23822">
        <w:trPr>
          <w:trHeight w:val="240"/>
          <w:jc w:val="center"/>
        </w:trPr>
        <w:tc>
          <w:tcPr>
            <w:tcW w:w="9752" w:type="dxa"/>
            <w:gridSpan w:val="2"/>
            <w:tcBorders>
              <w:top w:val="nil"/>
              <w:left w:val="nil"/>
              <w:bottom w:val="nil"/>
              <w:right w:val="nil"/>
            </w:tcBorders>
          </w:tcPr>
          <w:p w14:paraId="6CECF15E" w14:textId="77777777" w:rsidR="00112522" w:rsidRPr="0081645C" w:rsidRDefault="00112522" w:rsidP="00F23822"/>
        </w:tc>
      </w:tr>
      <w:tr w:rsidR="00112522" w:rsidRPr="0081645C" w14:paraId="1BED1120" w14:textId="77777777" w:rsidTr="00F23822">
        <w:trPr>
          <w:trHeight w:val="240"/>
          <w:jc w:val="center"/>
        </w:trPr>
        <w:tc>
          <w:tcPr>
            <w:tcW w:w="4876" w:type="dxa"/>
            <w:tcBorders>
              <w:top w:val="nil"/>
              <w:left w:val="nil"/>
              <w:bottom w:val="nil"/>
              <w:right w:val="nil"/>
            </w:tcBorders>
            <w:hideMark/>
          </w:tcPr>
          <w:p w14:paraId="393A6754" w14:textId="77777777" w:rsidR="00112522" w:rsidRPr="0081645C" w:rsidRDefault="00112522" w:rsidP="00F23822">
            <w:pPr>
              <w:pStyle w:val="AmColumnHeading"/>
            </w:pPr>
            <w:r w:rsidRPr="0081645C">
              <w:t>Texto da Comissão</w:t>
            </w:r>
          </w:p>
        </w:tc>
        <w:tc>
          <w:tcPr>
            <w:tcW w:w="4876" w:type="dxa"/>
            <w:tcBorders>
              <w:top w:val="nil"/>
              <w:left w:val="nil"/>
              <w:bottom w:val="nil"/>
              <w:right w:val="nil"/>
            </w:tcBorders>
            <w:hideMark/>
          </w:tcPr>
          <w:p w14:paraId="109AC10F" w14:textId="77777777" w:rsidR="00112522" w:rsidRPr="0081645C" w:rsidRDefault="00112522" w:rsidP="00F23822">
            <w:pPr>
              <w:pStyle w:val="AmColumnHeading"/>
            </w:pPr>
            <w:r w:rsidRPr="0081645C">
              <w:t>Alteração</w:t>
            </w:r>
          </w:p>
        </w:tc>
      </w:tr>
      <w:tr w:rsidR="00112522" w:rsidRPr="0081645C" w14:paraId="075BB68D" w14:textId="77777777" w:rsidTr="00F23822">
        <w:trPr>
          <w:jc w:val="center"/>
        </w:trPr>
        <w:tc>
          <w:tcPr>
            <w:tcW w:w="4876" w:type="dxa"/>
            <w:tcBorders>
              <w:top w:val="nil"/>
              <w:left w:val="nil"/>
              <w:bottom w:val="nil"/>
              <w:right w:val="nil"/>
            </w:tcBorders>
            <w:hideMark/>
          </w:tcPr>
          <w:p w14:paraId="70B6C6B3" w14:textId="77777777" w:rsidR="00112522" w:rsidRPr="0081645C" w:rsidRDefault="00112522" w:rsidP="00F23822">
            <w:pPr>
              <w:pStyle w:val="Normal6a"/>
            </w:pPr>
            <w:r w:rsidRPr="0081645C">
              <w:t>(3)</w:t>
            </w:r>
            <w:r w:rsidRPr="0081645C">
              <w:tab/>
              <w:t>A análise efetuada sobre o funcionamento previsto da reserva, tendo em conta informações recentes, indica que a introdução de alterações específicas em alguns parâmetros contribuiria para melhorar a previsibilidade do mercado e para a estabilidade dos movimentos de preços nos primeiros anos do novo sistema.</w:t>
            </w:r>
          </w:p>
        </w:tc>
        <w:tc>
          <w:tcPr>
            <w:tcW w:w="4876" w:type="dxa"/>
            <w:tcBorders>
              <w:top w:val="nil"/>
              <w:left w:val="nil"/>
              <w:bottom w:val="nil"/>
              <w:right w:val="nil"/>
            </w:tcBorders>
            <w:hideMark/>
          </w:tcPr>
          <w:p w14:paraId="2EF1A535" w14:textId="77777777" w:rsidR="00112522" w:rsidRPr="0081645C" w:rsidRDefault="00112522" w:rsidP="00F23822">
            <w:pPr>
              <w:pStyle w:val="Normal6a"/>
            </w:pPr>
            <w:r w:rsidRPr="0081645C">
              <w:t>(3)</w:t>
            </w:r>
            <w:r w:rsidRPr="0081645C">
              <w:tab/>
              <w:t xml:space="preserve">A análise efetuada sobre o funcionamento previsto da reserva, tendo em conta informações recentes, indica que a introdução de alterações específicas em alguns parâmetros contribuiria para melhorar a previsibilidade do mercado e para a estabilidade dos movimentos de preços nos primeiros anos do novo sistema. </w:t>
            </w:r>
            <w:r w:rsidRPr="0081645C">
              <w:rPr>
                <w:b/>
                <w:i/>
              </w:rPr>
              <w:t>Para que essas alterações não prejudiquem os esforços de descarbonização da União, são necessárias novas medidas por parte dos Estados</w:t>
            </w:r>
            <w:r w:rsidRPr="0081645C">
              <w:rPr>
                <w:b/>
                <w:i/>
              </w:rPr>
              <w:noBreakHyphen/>
              <w:t>Membros. Segundo o Banco Central Europeu, o investimento ecológico na União continua a ser inferior aos níveis necessários para cumprir a meta de descarbonização para 2030. Por conseguinte, os Estados</w:t>
            </w:r>
            <w:r w:rsidRPr="0081645C">
              <w:rPr>
                <w:b/>
                <w:i/>
              </w:rPr>
              <w:noBreakHyphen/>
              <w:t>Membros devem permanecer vigilantes contra o risco de um défice de financiamento ecológico.</w:t>
            </w:r>
          </w:p>
        </w:tc>
      </w:tr>
    </w:tbl>
    <w:p w14:paraId="6476FFF5" w14:textId="77777777" w:rsidR="00112522" w:rsidRPr="0081645C" w:rsidRDefault="00112522" w:rsidP="00112522"/>
    <w:p w14:paraId="444657CF" w14:textId="77777777" w:rsidR="00112522" w:rsidRPr="0081645C" w:rsidRDefault="00112522" w:rsidP="00112522">
      <w:pPr>
        <w:pStyle w:val="AmNumberTabs"/>
      </w:pPr>
      <w:r w:rsidRPr="0081645C">
        <w:t>Alteração</w:t>
      </w:r>
      <w:r w:rsidRPr="0081645C">
        <w:tab/>
      </w:r>
      <w:r w:rsidRPr="0081645C">
        <w:tab/>
        <w:t>3</w:t>
      </w:r>
    </w:p>
    <w:p w14:paraId="59A37910" w14:textId="77777777" w:rsidR="00112522" w:rsidRPr="0081645C" w:rsidRDefault="00112522" w:rsidP="00112522">
      <w:pPr>
        <w:pStyle w:val="NormalBold"/>
      </w:pPr>
      <w:r w:rsidRPr="0081645C">
        <w:t>Proposta de decisão</w:t>
      </w:r>
    </w:p>
    <w:p w14:paraId="6F6844FC" w14:textId="77777777" w:rsidR="00112522" w:rsidRPr="0081645C" w:rsidRDefault="00112522" w:rsidP="00112522">
      <w:pPr>
        <w:pStyle w:val="NormalBold"/>
      </w:pPr>
      <w:r w:rsidRPr="0081645C">
        <w:t>Considerando 3</w:t>
      </w:r>
      <w:r w:rsidRPr="0081645C">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522" w:rsidRPr="0081645C" w14:paraId="31145B29" w14:textId="77777777" w:rsidTr="00F23822">
        <w:trPr>
          <w:trHeight w:val="240"/>
          <w:jc w:val="center"/>
        </w:trPr>
        <w:tc>
          <w:tcPr>
            <w:tcW w:w="9752" w:type="dxa"/>
            <w:gridSpan w:val="2"/>
            <w:tcBorders>
              <w:top w:val="nil"/>
              <w:left w:val="nil"/>
              <w:bottom w:val="nil"/>
              <w:right w:val="nil"/>
            </w:tcBorders>
          </w:tcPr>
          <w:p w14:paraId="0E2B6026" w14:textId="77777777" w:rsidR="00112522" w:rsidRPr="0081645C" w:rsidRDefault="00112522" w:rsidP="00F23822"/>
        </w:tc>
      </w:tr>
      <w:tr w:rsidR="00112522" w:rsidRPr="0081645C" w14:paraId="5F16514A" w14:textId="77777777" w:rsidTr="00F23822">
        <w:trPr>
          <w:trHeight w:val="240"/>
          <w:jc w:val="center"/>
        </w:trPr>
        <w:tc>
          <w:tcPr>
            <w:tcW w:w="4876" w:type="dxa"/>
            <w:tcBorders>
              <w:top w:val="nil"/>
              <w:left w:val="nil"/>
              <w:bottom w:val="nil"/>
              <w:right w:val="nil"/>
            </w:tcBorders>
            <w:hideMark/>
          </w:tcPr>
          <w:p w14:paraId="74FA0710" w14:textId="77777777" w:rsidR="00112522" w:rsidRPr="0081645C" w:rsidRDefault="00112522" w:rsidP="00F23822">
            <w:pPr>
              <w:pStyle w:val="AmColumnHeading"/>
            </w:pPr>
            <w:r w:rsidRPr="0081645C">
              <w:t>Texto da Comissão</w:t>
            </w:r>
          </w:p>
        </w:tc>
        <w:tc>
          <w:tcPr>
            <w:tcW w:w="4876" w:type="dxa"/>
            <w:tcBorders>
              <w:top w:val="nil"/>
              <w:left w:val="nil"/>
              <w:bottom w:val="nil"/>
              <w:right w:val="nil"/>
            </w:tcBorders>
            <w:hideMark/>
          </w:tcPr>
          <w:p w14:paraId="36EDE27B" w14:textId="77777777" w:rsidR="00112522" w:rsidRPr="0081645C" w:rsidRDefault="00112522" w:rsidP="00F23822">
            <w:pPr>
              <w:pStyle w:val="AmColumnHeading"/>
            </w:pPr>
            <w:r w:rsidRPr="0081645C">
              <w:t>Alteração</w:t>
            </w:r>
          </w:p>
        </w:tc>
      </w:tr>
      <w:tr w:rsidR="00112522" w:rsidRPr="0081645C" w14:paraId="3477C9A8" w14:textId="77777777" w:rsidTr="00F23822">
        <w:trPr>
          <w:jc w:val="center"/>
        </w:trPr>
        <w:tc>
          <w:tcPr>
            <w:tcW w:w="4876" w:type="dxa"/>
            <w:tcBorders>
              <w:top w:val="nil"/>
              <w:left w:val="nil"/>
              <w:bottom w:val="nil"/>
              <w:right w:val="nil"/>
            </w:tcBorders>
          </w:tcPr>
          <w:p w14:paraId="76395E18" w14:textId="77777777" w:rsidR="00112522" w:rsidRPr="0081645C" w:rsidRDefault="00112522" w:rsidP="00F23822">
            <w:pPr>
              <w:pStyle w:val="Normal6a"/>
            </w:pPr>
          </w:p>
        </w:tc>
        <w:tc>
          <w:tcPr>
            <w:tcW w:w="4876" w:type="dxa"/>
            <w:tcBorders>
              <w:top w:val="nil"/>
              <w:left w:val="nil"/>
              <w:bottom w:val="nil"/>
              <w:right w:val="nil"/>
            </w:tcBorders>
            <w:hideMark/>
          </w:tcPr>
          <w:p w14:paraId="11DBB33C" w14:textId="77777777" w:rsidR="00112522" w:rsidRPr="0081645C" w:rsidRDefault="00112522" w:rsidP="00F23822">
            <w:pPr>
              <w:pStyle w:val="Normal6a"/>
            </w:pPr>
            <w:r w:rsidRPr="0081645C">
              <w:rPr>
                <w:b/>
                <w:i/>
              </w:rPr>
              <w:t>(3</w:t>
            </w:r>
            <w:r w:rsidRPr="0081645C">
              <w:rPr>
                <w:b/>
                <w:i/>
              </w:rPr>
              <w:noBreakHyphen/>
              <w:t>A)</w:t>
            </w:r>
            <w:r w:rsidRPr="0081645C">
              <w:tab/>
            </w:r>
            <w:r w:rsidRPr="0081645C">
              <w:rPr>
                <w:b/>
                <w:i/>
              </w:rPr>
              <w:t>A aplicação do sistema de comércio de licenças de emissão para os setores dos edifícios, do transporte rodoviário e outros setores deve ser acompanhada de medidas complementares de descarbonização, que são o instrumento mais eficaz para ajudar os agregados familiares a reduzir a dependência dos combustíveis fósseis e, por conseguinte, atenuar o impacto do CELE 2 nos consumidores, uma vez que a procura de combustíveis nos edifícios e nos transportes continua a ser, em grande medida, inflexível a curto prazo. Os Estados</w:t>
            </w:r>
            <w:r w:rsidRPr="0081645C">
              <w:rPr>
                <w:b/>
                <w:i/>
              </w:rPr>
              <w:noBreakHyphen/>
              <w:t>Membros são obrigados a utilizar as receitas provenientes da venda em leilão de licenças de emissão para os fins previstos no artigo 30.º</w:t>
            </w:r>
            <w:r w:rsidRPr="0081645C">
              <w:rPr>
                <w:b/>
                <w:i/>
              </w:rPr>
              <w:noBreakHyphen/>
              <w:t>D, n.º 6, da Diretiva 2003/87/CE, dando prioridade às atividades que possam contribuir para abordar os aspetos sociais do comércio de licenças de emissão no âmbito do CELE 2. Por conseguinte, seria adequado que os Estados</w:t>
            </w:r>
            <w:r w:rsidRPr="0081645C">
              <w:rPr>
                <w:b/>
                <w:i/>
              </w:rPr>
              <w:noBreakHyphen/>
              <w:t>Membros utilizassem as receitas da venda em leilão de licenças de emissão retiradas da reserva para complementar os seus planos sociais em matéria de clima. É igualmente importante que a Comissão complemente a sua análise das versões finais atualizadas dos planos nacionais em matéria de energia e clima, identificando, para cada Estado</w:t>
            </w:r>
            <w:r w:rsidRPr="0081645C">
              <w:rPr>
                <w:b/>
                <w:i/>
              </w:rPr>
              <w:noBreakHyphen/>
              <w:t xml:space="preserve">Membro, medidas setoriais de descarbonização e uma melhor utilização das receitas do CELE, que possam ajudar a reduzir a procura de licenças de emissão do CELE 2. É igualmente importante reforçar o mecanismo de antecipação do BEI e ponderar medidas adicionais para aumentar o orçamento do Fundo Social em matéria de Clima, a fim de assegurar que o apoio financeiro seja prestado aos agregados familiares em tempo útil e a um nível que reflita a evolução dos preços do CELE 2. É necessário que a Comissão pondere prorrogar a duração do Fundo </w:t>
            </w:r>
            <w:r w:rsidRPr="0081645C">
              <w:rPr>
                <w:b/>
                <w:i/>
              </w:rPr>
              <w:lastRenderedPageBreak/>
              <w:t>Social em matéria de Clima.</w:t>
            </w:r>
          </w:p>
        </w:tc>
      </w:tr>
    </w:tbl>
    <w:p w14:paraId="72800918" w14:textId="77777777" w:rsidR="00112522" w:rsidRPr="0081645C" w:rsidRDefault="00112522" w:rsidP="00112522"/>
    <w:p w14:paraId="34E9E078" w14:textId="77777777" w:rsidR="00112522" w:rsidRPr="0081645C" w:rsidRDefault="00112522" w:rsidP="00112522">
      <w:pPr>
        <w:pStyle w:val="AmNumberTabs"/>
      </w:pPr>
      <w:r w:rsidRPr="0081645C">
        <w:t>Alteração</w:t>
      </w:r>
      <w:r w:rsidRPr="0081645C">
        <w:tab/>
      </w:r>
      <w:r w:rsidRPr="0081645C">
        <w:tab/>
        <w:t>4</w:t>
      </w:r>
    </w:p>
    <w:p w14:paraId="0B553416" w14:textId="77777777" w:rsidR="00112522" w:rsidRPr="0081645C" w:rsidRDefault="00112522" w:rsidP="00112522">
      <w:pPr>
        <w:pStyle w:val="NormalBold"/>
      </w:pPr>
      <w:r w:rsidRPr="0081645C">
        <w:t>Proposta de decisão</w:t>
      </w:r>
    </w:p>
    <w:p w14:paraId="5EBBF753" w14:textId="77777777" w:rsidR="00112522" w:rsidRPr="0081645C" w:rsidRDefault="00112522" w:rsidP="00112522">
      <w:pPr>
        <w:pStyle w:val="NormalBold"/>
      </w:pPr>
      <w:r w:rsidRPr="0081645C">
        <w:t>Considerando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522" w:rsidRPr="0081645C" w14:paraId="23B55B1F" w14:textId="77777777" w:rsidTr="00F23822">
        <w:trPr>
          <w:trHeight w:val="240"/>
          <w:jc w:val="center"/>
        </w:trPr>
        <w:tc>
          <w:tcPr>
            <w:tcW w:w="9752" w:type="dxa"/>
            <w:gridSpan w:val="2"/>
            <w:tcBorders>
              <w:top w:val="nil"/>
              <w:left w:val="nil"/>
              <w:bottom w:val="nil"/>
              <w:right w:val="nil"/>
            </w:tcBorders>
          </w:tcPr>
          <w:p w14:paraId="6C0C01FE" w14:textId="77777777" w:rsidR="00112522" w:rsidRPr="0081645C" w:rsidRDefault="00112522" w:rsidP="00F23822"/>
        </w:tc>
      </w:tr>
      <w:tr w:rsidR="00112522" w:rsidRPr="0081645C" w14:paraId="6E51C13C" w14:textId="77777777" w:rsidTr="00F23822">
        <w:trPr>
          <w:trHeight w:val="240"/>
          <w:jc w:val="center"/>
        </w:trPr>
        <w:tc>
          <w:tcPr>
            <w:tcW w:w="4876" w:type="dxa"/>
            <w:tcBorders>
              <w:top w:val="nil"/>
              <w:left w:val="nil"/>
              <w:bottom w:val="nil"/>
              <w:right w:val="nil"/>
            </w:tcBorders>
            <w:hideMark/>
          </w:tcPr>
          <w:p w14:paraId="7F7572D3" w14:textId="77777777" w:rsidR="00112522" w:rsidRPr="0081645C" w:rsidRDefault="00112522" w:rsidP="00F23822">
            <w:pPr>
              <w:pStyle w:val="AmColumnHeading"/>
            </w:pPr>
            <w:r w:rsidRPr="0081645C">
              <w:t>Texto da Comissão</w:t>
            </w:r>
          </w:p>
        </w:tc>
        <w:tc>
          <w:tcPr>
            <w:tcW w:w="4876" w:type="dxa"/>
            <w:tcBorders>
              <w:top w:val="nil"/>
              <w:left w:val="nil"/>
              <w:bottom w:val="nil"/>
              <w:right w:val="nil"/>
            </w:tcBorders>
            <w:hideMark/>
          </w:tcPr>
          <w:p w14:paraId="57C2FC31" w14:textId="77777777" w:rsidR="00112522" w:rsidRPr="0081645C" w:rsidRDefault="00112522" w:rsidP="00F23822">
            <w:pPr>
              <w:pStyle w:val="AmColumnHeading"/>
            </w:pPr>
            <w:r w:rsidRPr="0081645C">
              <w:t>Alteração</w:t>
            </w:r>
          </w:p>
        </w:tc>
      </w:tr>
      <w:tr w:rsidR="00112522" w:rsidRPr="0081645C" w14:paraId="766ED946" w14:textId="77777777" w:rsidTr="00F23822">
        <w:trPr>
          <w:jc w:val="center"/>
        </w:trPr>
        <w:tc>
          <w:tcPr>
            <w:tcW w:w="4876" w:type="dxa"/>
            <w:tcBorders>
              <w:top w:val="nil"/>
              <w:left w:val="nil"/>
              <w:bottom w:val="nil"/>
              <w:right w:val="nil"/>
            </w:tcBorders>
            <w:hideMark/>
          </w:tcPr>
          <w:p w14:paraId="516F080B" w14:textId="77777777" w:rsidR="00112522" w:rsidRPr="0081645C" w:rsidRDefault="00112522" w:rsidP="00F23822">
            <w:pPr>
              <w:pStyle w:val="Normal6a"/>
            </w:pPr>
            <w:r w:rsidRPr="0081645C">
              <w:t>(4)</w:t>
            </w:r>
            <w:r w:rsidRPr="0081645C">
              <w:tab/>
              <w:t xml:space="preserve">A fim de aumentar a previsibilidade do mercado a longo prazo, as licenças de emissão inseridas na reserva para os setores dos edifícios, do transporte rodoviário e outros setores que não tenham sido retiradas deverão permanecer válidas </w:t>
            </w:r>
            <w:r w:rsidRPr="0081645C">
              <w:rPr>
                <w:b/>
                <w:i/>
              </w:rPr>
              <w:t>para além de</w:t>
            </w:r>
            <w:r w:rsidRPr="0081645C">
              <w:t xml:space="preserve"> 31 de dezembro de </w:t>
            </w:r>
            <w:r w:rsidRPr="0081645C">
              <w:rPr>
                <w:b/>
                <w:i/>
              </w:rPr>
              <w:t>2030</w:t>
            </w:r>
            <w:r w:rsidRPr="0081645C">
              <w:t>.</w:t>
            </w:r>
          </w:p>
        </w:tc>
        <w:tc>
          <w:tcPr>
            <w:tcW w:w="4876" w:type="dxa"/>
            <w:tcBorders>
              <w:top w:val="nil"/>
              <w:left w:val="nil"/>
              <w:bottom w:val="nil"/>
              <w:right w:val="nil"/>
            </w:tcBorders>
            <w:hideMark/>
          </w:tcPr>
          <w:p w14:paraId="2B94618B" w14:textId="77777777" w:rsidR="00112522" w:rsidRPr="0081645C" w:rsidRDefault="00112522" w:rsidP="00F23822">
            <w:pPr>
              <w:pStyle w:val="Normal6a"/>
            </w:pPr>
            <w:r w:rsidRPr="0081645C">
              <w:t>(4)</w:t>
            </w:r>
            <w:r w:rsidRPr="0081645C">
              <w:tab/>
              <w:t xml:space="preserve">A fim de aumentar a previsibilidade do mercado a longo prazo, as licenças de emissão inseridas na reserva para os setores dos edifícios, do transporte rodoviário e outros setores que não tenham sido retiradas deverão permanecer válidas </w:t>
            </w:r>
            <w:r w:rsidRPr="0081645C">
              <w:rPr>
                <w:b/>
                <w:i/>
              </w:rPr>
              <w:t>até</w:t>
            </w:r>
            <w:r w:rsidRPr="0081645C">
              <w:t xml:space="preserve"> 31 de dezembro de </w:t>
            </w:r>
            <w:r w:rsidRPr="0081645C">
              <w:rPr>
                <w:b/>
                <w:i/>
              </w:rPr>
              <w:t>2033 e, parcialmente, até 31 de dezembro de 2035</w:t>
            </w:r>
            <w:r w:rsidRPr="0081645C">
              <w:t xml:space="preserve">. </w:t>
            </w:r>
            <w:r w:rsidRPr="0081645C">
              <w:rPr>
                <w:b/>
                <w:i/>
              </w:rPr>
              <w:t>No prazo de quatro anos, a contar do início do funcionamento do CELE 2, a Comissão deve realizar uma avaliação de impacto, incluindo uma análise do impacto distributivo, e uma avaliação do impacto ambiental, social e económico das restantes licenças de emissão na reserva.</w:t>
            </w:r>
          </w:p>
        </w:tc>
      </w:tr>
    </w:tbl>
    <w:p w14:paraId="15925316" w14:textId="77777777" w:rsidR="00112522" w:rsidRPr="0081645C" w:rsidRDefault="00112522" w:rsidP="00112522"/>
    <w:p w14:paraId="298A21D3" w14:textId="77777777" w:rsidR="00112522" w:rsidRPr="0081645C" w:rsidRDefault="00112522" w:rsidP="00112522">
      <w:pPr>
        <w:pStyle w:val="AmNumberTabs"/>
      </w:pPr>
      <w:r w:rsidRPr="0081645C">
        <w:t>Alteração</w:t>
      </w:r>
      <w:r w:rsidRPr="0081645C">
        <w:tab/>
      </w:r>
      <w:r w:rsidRPr="0081645C">
        <w:tab/>
        <w:t>5</w:t>
      </w:r>
    </w:p>
    <w:p w14:paraId="33406349" w14:textId="77777777" w:rsidR="00112522" w:rsidRPr="0081645C" w:rsidRDefault="00112522" w:rsidP="00112522">
      <w:pPr>
        <w:pStyle w:val="NormalBold"/>
      </w:pPr>
      <w:r w:rsidRPr="0081645C">
        <w:t>Proposta de decisão</w:t>
      </w:r>
    </w:p>
    <w:p w14:paraId="482DB3DF" w14:textId="77777777" w:rsidR="00112522" w:rsidRPr="0081645C" w:rsidRDefault="00112522" w:rsidP="00112522">
      <w:pPr>
        <w:pStyle w:val="NormalBold"/>
      </w:pPr>
      <w:r w:rsidRPr="0081645C">
        <w:t>Considerando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522" w:rsidRPr="0081645C" w14:paraId="4FA3D5CA" w14:textId="77777777" w:rsidTr="00F23822">
        <w:trPr>
          <w:trHeight w:val="240"/>
          <w:jc w:val="center"/>
        </w:trPr>
        <w:tc>
          <w:tcPr>
            <w:tcW w:w="9752" w:type="dxa"/>
            <w:gridSpan w:val="2"/>
            <w:tcBorders>
              <w:top w:val="nil"/>
              <w:left w:val="nil"/>
              <w:bottom w:val="nil"/>
              <w:right w:val="nil"/>
            </w:tcBorders>
          </w:tcPr>
          <w:p w14:paraId="1C5A4F60" w14:textId="77777777" w:rsidR="00112522" w:rsidRPr="0081645C" w:rsidRDefault="00112522" w:rsidP="00F23822"/>
        </w:tc>
      </w:tr>
      <w:tr w:rsidR="00112522" w:rsidRPr="0081645C" w14:paraId="2A587C05" w14:textId="77777777" w:rsidTr="00F23822">
        <w:trPr>
          <w:trHeight w:val="240"/>
          <w:jc w:val="center"/>
        </w:trPr>
        <w:tc>
          <w:tcPr>
            <w:tcW w:w="4876" w:type="dxa"/>
            <w:tcBorders>
              <w:top w:val="nil"/>
              <w:left w:val="nil"/>
              <w:bottom w:val="nil"/>
              <w:right w:val="nil"/>
            </w:tcBorders>
            <w:hideMark/>
          </w:tcPr>
          <w:p w14:paraId="5B4D7DE6" w14:textId="77777777" w:rsidR="00112522" w:rsidRPr="0081645C" w:rsidRDefault="00112522" w:rsidP="00F23822">
            <w:pPr>
              <w:pStyle w:val="AmColumnHeading"/>
            </w:pPr>
            <w:r w:rsidRPr="0081645C">
              <w:t>Texto da Comissão</w:t>
            </w:r>
          </w:p>
        </w:tc>
        <w:tc>
          <w:tcPr>
            <w:tcW w:w="4876" w:type="dxa"/>
            <w:tcBorders>
              <w:top w:val="nil"/>
              <w:left w:val="nil"/>
              <w:bottom w:val="nil"/>
              <w:right w:val="nil"/>
            </w:tcBorders>
            <w:hideMark/>
          </w:tcPr>
          <w:p w14:paraId="46E3C063" w14:textId="77777777" w:rsidR="00112522" w:rsidRPr="0081645C" w:rsidRDefault="00112522" w:rsidP="00F23822">
            <w:pPr>
              <w:pStyle w:val="AmColumnHeading"/>
            </w:pPr>
            <w:r w:rsidRPr="0081645C">
              <w:t>Alteração</w:t>
            </w:r>
          </w:p>
        </w:tc>
      </w:tr>
      <w:tr w:rsidR="00112522" w:rsidRPr="0081645C" w14:paraId="29A16BAD" w14:textId="77777777" w:rsidTr="00F23822">
        <w:trPr>
          <w:jc w:val="center"/>
        </w:trPr>
        <w:tc>
          <w:tcPr>
            <w:tcW w:w="4876" w:type="dxa"/>
            <w:tcBorders>
              <w:top w:val="nil"/>
              <w:left w:val="nil"/>
              <w:bottom w:val="nil"/>
              <w:right w:val="nil"/>
            </w:tcBorders>
            <w:hideMark/>
          </w:tcPr>
          <w:p w14:paraId="1F9A8E6E" w14:textId="77777777" w:rsidR="00112522" w:rsidRPr="0081645C" w:rsidRDefault="00112522" w:rsidP="00F23822">
            <w:pPr>
              <w:pStyle w:val="Normal6a"/>
            </w:pPr>
            <w:r w:rsidRPr="0081645C">
              <w:t>(6)</w:t>
            </w:r>
            <w:r w:rsidRPr="0081645C">
              <w:tab/>
              <w:t>A fim de continuar a melhorar a sua reatividade face a flutuações injustificadas dos preços e aumentar a previsibilidade do mercado, há que reforçar, de forma cuidadosa, o mecanismo que promove a estabilidade dos preços nos primeiros três anos do sistema de comércio de licenças de emissão para os setores dos edifícios, do transporte rodoviário e outros setores. Tal poderá implicar a retirada de um maior volume de licenças de emissão para o mercado. Se a medida for aplicada duas vezes durante o mesmo período de 12 meses, a retirada adicional deve ocorrer duas vezes.</w:t>
            </w:r>
          </w:p>
        </w:tc>
        <w:tc>
          <w:tcPr>
            <w:tcW w:w="4876" w:type="dxa"/>
            <w:tcBorders>
              <w:top w:val="nil"/>
              <w:left w:val="nil"/>
              <w:bottom w:val="nil"/>
              <w:right w:val="nil"/>
            </w:tcBorders>
            <w:hideMark/>
          </w:tcPr>
          <w:p w14:paraId="0756D7CC" w14:textId="77777777" w:rsidR="00112522" w:rsidRPr="0081645C" w:rsidRDefault="00112522" w:rsidP="00F23822">
            <w:pPr>
              <w:pStyle w:val="Normal6a"/>
            </w:pPr>
            <w:r w:rsidRPr="0081645C">
              <w:t>(6)</w:t>
            </w:r>
            <w:r w:rsidRPr="0081645C">
              <w:tab/>
              <w:t>A fim de continuar a melhorar a sua reatividade face a flutuações injustificadas dos preços e aumentar a previsibilidade do mercado, há que reforçar, de forma cuidadosa, o mecanismo que promove a estabilidade dos preços nos primeiros três anos do sistema de comércio de licenças de emissão para os setores dos edifícios, do transporte rodoviário e outros setores. Tal poderá implicar a retirada de um maior volume de licenças de emissão para o mercado</w:t>
            </w:r>
            <w:r w:rsidRPr="0081645C">
              <w:rPr>
                <w:b/>
                <w:i/>
              </w:rPr>
              <w:t>, sem demora</w:t>
            </w:r>
            <w:r w:rsidRPr="0081645C">
              <w:t>. Se a medida for aplicada duas vezes durante o mesmo período de 12 meses, a retirada adicional deve ocorrer duas vezes.</w:t>
            </w:r>
          </w:p>
        </w:tc>
      </w:tr>
    </w:tbl>
    <w:p w14:paraId="30AC9906" w14:textId="77777777" w:rsidR="00112522" w:rsidRPr="0081645C" w:rsidRDefault="00112522" w:rsidP="00112522"/>
    <w:p w14:paraId="68775877" w14:textId="77777777" w:rsidR="00112522" w:rsidRPr="0081645C" w:rsidRDefault="00112522" w:rsidP="00112522">
      <w:pPr>
        <w:pStyle w:val="AmNumberTabs"/>
      </w:pPr>
      <w:r w:rsidRPr="0081645C">
        <w:lastRenderedPageBreak/>
        <w:t>Alteração</w:t>
      </w:r>
      <w:r w:rsidRPr="0081645C">
        <w:tab/>
      </w:r>
      <w:r w:rsidRPr="0081645C">
        <w:tab/>
        <w:t>6</w:t>
      </w:r>
    </w:p>
    <w:p w14:paraId="4589AC8A" w14:textId="77777777" w:rsidR="00112522" w:rsidRPr="0081645C" w:rsidRDefault="00112522" w:rsidP="00112522">
      <w:pPr>
        <w:pStyle w:val="NormalBold"/>
      </w:pPr>
      <w:r w:rsidRPr="0081645C">
        <w:t>Proposta de decisão</w:t>
      </w:r>
    </w:p>
    <w:p w14:paraId="4DAD05C5" w14:textId="77777777" w:rsidR="00112522" w:rsidRPr="0081645C" w:rsidRDefault="00112522" w:rsidP="00112522">
      <w:pPr>
        <w:pStyle w:val="NormalBold"/>
      </w:pPr>
      <w:r w:rsidRPr="0081645C">
        <w:t>Considerando 6</w:t>
      </w:r>
      <w:r w:rsidRPr="0081645C">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522" w:rsidRPr="0081645C" w14:paraId="38FC6DC1" w14:textId="77777777" w:rsidTr="00F23822">
        <w:trPr>
          <w:trHeight w:val="240"/>
          <w:jc w:val="center"/>
        </w:trPr>
        <w:tc>
          <w:tcPr>
            <w:tcW w:w="9752" w:type="dxa"/>
            <w:gridSpan w:val="2"/>
            <w:tcBorders>
              <w:top w:val="nil"/>
              <w:left w:val="nil"/>
              <w:bottom w:val="nil"/>
              <w:right w:val="nil"/>
            </w:tcBorders>
          </w:tcPr>
          <w:p w14:paraId="01C33607" w14:textId="77777777" w:rsidR="00112522" w:rsidRPr="0081645C" w:rsidRDefault="00112522" w:rsidP="00F23822"/>
        </w:tc>
      </w:tr>
      <w:tr w:rsidR="00112522" w:rsidRPr="0081645C" w14:paraId="0EBA3C94" w14:textId="77777777" w:rsidTr="00F23822">
        <w:trPr>
          <w:trHeight w:val="240"/>
          <w:jc w:val="center"/>
        </w:trPr>
        <w:tc>
          <w:tcPr>
            <w:tcW w:w="4876" w:type="dxa"/>
            <w:tcBorders>
              <w:top w:val="nil"/>
              <w:left w:val="nil"/>
              <w:bottom w:val="nil"/>
              <w:right w:val="nil"/>
            </w:tcBorders>
            <w:hideMark/>
          </w:tcPr>
          <w:p w14:paraId="470B5C55" w14:textId="77777777" w:rsidR="00112522" w:rsidRPr="0081645C" w:rsidRDefault="00112522" w:rsidP="00F23822">
            <w:pPr>
              <w:pStyle w:val="AmColumnHeading"/>
            </w:pPr>
            <w:r w:rsidRPr="0081645C">
              <w:t>Texto da Comissão</w:t>
            </w:r>
          </w:p>
        </w:tc>
        <w:tc>
          <w:tcPr>
            <w:tcW w:w="4876" w:type="dxa"/>
            <w:tcBorders>
              <w:top w:val="nil"/>
              <w:left w:val="nil"/>
              <w:bottom w:val="nil"/>
              <w:right w:val="nil"/>
            </w:tcBorders>
            <w:hideMark/>
          </w:tcPr>
          <w:p w14:paraId="19E203D8" w14:textId="77777777" w:rsidR="00112522" w:rsidRPr="0081645C" w:rsidRDefault="00112522" w:rsidP="00F23822">
            <w:pPr>
              <w:pStyle w:val="AmColumnHeading"/>
            </w:pPr>
            <w:r w:rsidRPr="0081645C">
              <w:t>Alteração</w:t>
            </w:r>
          </w:p>
        </w:tc>
      </w:tr>
      <w:tr w:rsidR="00112522" w:rsidRPr="0081645C" w14:paraId="075D2D75" w14:textId="77777777" w:rsidTr="00F23822">
        <w:trPr>
          <w:jc w:val="center"/>
        </w:trPr>
        <w:tc>
          <w:tcPr>
            <w:tcW w:w="4876" w:type="dxa"/>
            <w:tcBorders>
              <w:top w:val="nil"/>
              <w:left w:val="nil"/>
              <w:bottom w:val="nil"/>
              <w:right w:val="nil"/>
            </w:tcBorders>
          </w:tcPr>
          <w:p w14:paraId="19B2BBB5" w14:textId="77777777" w:rsidR="00112522" w:rsidRPr="0081645C" w:rsidRDefault="00112522" w:rsidP="00F23822">
            <w:pPr>
              <w:pStyle w:val="Normal6a"/>
            </w:pPr>
          </w:p>
        </w:tc>
        <w:tc>
          <w:tcPr>
            <w:tcW w:w="4876" w:type="dxa"/>
            <w:tcBorders>
              <w:top w:val="nil"/>
              <w:left w:val="nil"/>
              <w:bottom w:val="nil"/>
              <w:right w:val="nil"/>
            </w:tcBorders>
            <w:hideMark/>
          </w:tcPr>
          <w:p w14:paraId="78D7BC3B" w14:textId="77777777" w:rsidR="00112522" w:rsidRPr="0081645C" w:rsidRDefault="00112522" w:rsidP="00F23822">
            <w:pPr>
              <w:pStyle w:val="Normal6a"/>
            </w:pPr>
            <w:r w:rsidRPr="0081645C">
              <w:rPr>
                <w:b/>
                <w:i/>
              </w:rPr>
              <w:t>(6</w:t>
            </w:r>
            <w:r w:rsidRPr="0081645C">
              <w:rPr>
                <w:b/>
                <w:i/>
              </w:rPr>
              <w:noBreakHyphen/>
              <w:t>A)</w:t>
            </w:r>
            <w:r w:rsidRPr="0081645C">
              <w:tab/>
            </w:r>
            <w:r w:rsidRPr="0081645C">
              <w:rPr>
                <w:b/>
                <w:i/>
              </w:rPr>
              <w:t>Os níveis excessivos dos preços das licenças de emissão no âmbito do sistema de comércio de licenças de emissão para os setores dos edifícios, do transporte rodoviário e outros setores poderão ainda ter impactos desproporcionados nos agregados familiares vulneráveis, ao passo que as flutuações excessivas dos preços poderão não se limitar a uma ocorrência de duas vezes por ano. No contexto da revisão da Diretiva 2003/87/CE do Parlamento Europeu e do Conselho, é essencial que sejam ponderadas novas medidas de salvaguarda social, afigurando</w:t>
            </w:r>
            <w:r w:rsidRPr="0081645C">
              <w:rPr>
                <w:b/>
                <w:i/>
              </w:rPr>
              <w:noBreakHyphen/>
              <w:t>se adequado que a Comissão pondere instrumentos mais fortes de restrição dos preços, a fim de garantir a estabilidade dos preços a longo prazo. A este respeito, a Comissão poderá ponderar uma lista de opções, como o reforço e a prorrogação, para além de 31 de dezembro de 2029, do mecanismo de aumento excessivo dos preços de 45 EUR, fixado a preços de 2026, e a adaptação da reserva de estabilização do mercado em conformidade, incluindo a frequência e o volume das retiradas de licenças e o volume na reserva, se necessário, avaliando a viabilidade de permitir aos Estados</w:t>
            </w:r>
            <w:r w:rsidRPr="0081645C">
              <w:rPr>
                <w:b/>
                <w:i/>
              </w:rPr>
              <w:noBreakHyphen/>
              <w:t xml:space="preserve">Membros não aplicar temporariamente o sistema aos edifícios residenciais a título de derrogação, desde que demonstrem que podem alcançar as metas de partilha de esforços através da aplicação de outras medidas e desde que tenham transposto a Diretiva (UE) 2024/1275 do Parlamento Europeu e do Conselho para o direito nacional, assegurando a possibilidade de utilizar as receitas do comércio de licenças de emissão para apoio direto, como os dividendos climáticos, sem terem de provar um impacto ambiental positivo, ou </w:t>
            </w:r>
            <w:r w:rsidRPr="0081645C">
              <w:rPr>
                <w:b/>
                <w:i/>
              </w:rPr>
              <w:lastRenderedPageBreak/>
              <w:t>introduzindo outras medidas para minimizar os custos repercutidos nos agregados familiares vulneráveis. Até 1 de março de 2027, essas opções têm de ser devidamente avaliadas pela Comissão no que diz respeito aos seus impactos sociais e ambientais, assegurando simultaneamente que não prejudicam o cumprimento dos objetivos climáticos da União, estabelecidos no Regulamento (UE) 2021/1119 do Parlamento Europeu e do Conselho.</w:t>
            </w:r>
          </w:p>
        </w:tc>
      </w:tr>
    </w:tbl>
    <w:p w14:paraId="1CA58519" w14:textId="77777777" w:rsidR="00112522" w:rsidRPr="0081645C" w:rsidRDefault="00112522" w:rsidP="00112522"/>
    <w:p w14:paraId="14EFCE47" w14:textId="77777777" w:rsidR="00112522" w:rsidRPr="0081645C" w:rsidRDefault="00112522" w:rsidP="00112522">
      <w:pPr>
        <w:pStyle w:val="AmNumberTabs"/>
      </w:pPr>
      <w:r w:rsidRPr="0081645C">
        <w:t>Alteração</w:t>
      </w:r>
      <w:r w:rsidRPr="0081645C">
        <w:tab/>
      </w:r>
      <w:r w:rsidRPr="0081645C">
        <w:tab/>
        <w:t>7</w:t>
      </w:r>
    </w:p>
    <w:p w14:paraId="4EC92420" w14:textId="77777777" w:rsidR="00112522" w:rsidRPr="0081645C" w:rsidRDefault="00112522" w:rsidP="00112522">
      <w:pPr>
        <w:pStyle w:val="NormalBold"/>
      </w:pPr>
      <w:r w:rsidRPr="0081645C">
        <w:t>Proposta de decisão</w:t>
      </w:r>
    </w:p>
    <w:p w14:paraId="157BD185" w14:textId="77777777" w:rsidR="00112522" w:rsidRPr="0081645C" w:rsidRDefault="00112522" w:rsidP="00112522">
      <w:pPr>
        <w:pStyle w:val="NormalBold"/>
      </w:pPr>
      <w:r w:rsidRPr="0081645C">
        <w:t>Considerando 6</w:t>
      </w:r>
      <w:r w:rsidRPr="0081645C">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522" w:rsidRPr="0081645C" w14:paraId="04F9CD37" w14:textId="77777777" w:rsidTr="00F23822">
        <w:trPr>
          <w:trHeight w:val="240"/>
          <w:jc w:val="center"/>
        </w:trPr>
        <w:tc>
          <w:tcPr>
            <w:tcW w:w="9752" w:type="dxa"/>
            <w:gridSpan w:val="2"/>
            <w:tcBorders>
              <w:top w:val="nil"/>
              <w:left w:val="nil"/>
              <w:bottom w:val="nil"/>
              <w:right w:val="nil"/>
            </w:tcBorders>
          </w:tcPr>
          <w:p w14:paraId="4A219263" w14:textId="77777777" w:rsidR="00112522" w:rsidRPr="0081645C" w:rsidRDefault="00112522" w:rsidP="00F23822"/>
        </w:tc>
      </w:tr>
      <w:tr w:rsidR="00112522" w:rsidRPr="0081645C" w14:paraId="2B35F124" w14:textId="77777777" w:rsidTr="00F23822">
        <w:trPr>
          <w:trHeight w:val="240"/>
          <w:jc w:val="center"/>
        </w:trPr>
        <w:tc>
          <w:tcPr>
            <w:tcW w:w="4876" w:type="dxa"/>
            <w:tcBorders>
              <w:top w:val="nil"/>
              <w:left w:val="nil"/>
              <w:bottom w:val="nil"/>
              <w:right w:val="nil"/>
            </w:tcBorders>
            <w:hideMark/>
          </w:tcPr>
          <w:p w14:paraId="7E426402" w14:textId="77777777" w:rsidR="00112522" w:rsidRPr="0081645C" w:rsidRDefault="00112522" w:rsidP="00F23822">
            <w:pPr>
              <w:pStyle w:val="AmColumnHeading"/>
            </w:pPr>
            <w:r w:rsidRPr="0081645C">
              <w:t>Texto da Comissão</w:t>
            </w:r>
          </w:p>
        </w:tc>
        <w:tc>
          <w:tcPr>
            <w:tcW w:w="4876" w:type="dxa"/>
            <w:tcBorders>
              <w:top w:val="nil"/>
              <w:left w:val="nil"/>
              <w:bottom w:val="nil"/>
              <w:right w:val="nil"/>
            </w:tcBorders>
            <w:hideMark/>
          </w:tcPr>
          <w:p w14:paraId="5403A74C" w14:textId="77777777" w:rsidR="00112522" w:rsidRPr="0081645C" w:rsidRDefault="00112522" w:rsidP="00F23822">
            <w:pPr>
              <w:pStyle w:val="AmColumnHeading"/>
            </w:pPr>
            <w:r w:rsidRPr="0081645C">
              <w:t>Alteração</w:t>
            </w:r>
          </w:p>
        </w:tc>
      </w:tr>
      <w:tr w:rsidR="00112522" w:rsidRPr="0081645C" w14:paraId="4531F55E" w14:textId="77777777" w:rsidTr="00F23822">
        <w:trPr>
          <w:jc w:val="center"/>
        </w:trPr>
        <w:tc>
          <w:tcPr>
            <w:tcW w:w="4876" w:type="dxa"/>
            <w:tcBorders>
              <w:top w:val="nil"/>
              <w:left w:val="nil"/>
              <w:bottom w:val="nil"/>
              <w:right w:val="nil"/>
            </w:tcBorders>
          </w:tcPr>
          <w:p w14:paraId="4F70C672" w14:textId="77777777" w:rsidR="00112522" w:rsidRPr="0081645C" w:rsidRDefault="00112522" w:rsidP="00F23822">
            <w:pPr>
              <w:pStyle w:val="Normal6a"/>
            </w:pPr>
          </w:p>
        </w:tc>
        <w:tc>
          <w:tcPr>
            <w:tcW w:w="4876" w:type="dxa"/>
            <w:tcBorders>
              <w:top w:val="nil"/>
              <w:left w:val="nil"/>
              <w:bottom w:val="nil"/>
              <w:right w:val="nil"/>
            </w:tcBorders>
            <w:hideMark/>
          </w:tcPr>
          <w:p w14:paraId="3479F17C" w14:textId="7FF44FF2" w:rsidR="00112522" w:rsidRPr="0081645C" w:rsidRDefault="00112522" w:rsidP="00F23822">
            <w:pPr>
              <w:pStyle w:val="Normal6a"/>
            </w:pPr>
            <w:r w:rsidRPr="0081645C">
              <w:rPr>
                <w:b/>
                <w:i/>
              </w:rPr>
              <w:t>(6</w:t>
            </w:r>
            <w:r w:rsidRPr="0081645C">
              <w:rPr>
                <w:b/>
                <w:i/>
              </w:rPr>
              <w:noBreakHyphen/>
              <w:t>B)</w:t>
            </w:r>
            <w:r w:rsidRPr="0081645C">
              <w:tab/>
            </w:r>
            <w:r w:rsidRPr="0081645C">
              <w:rPr>
                <w:b/>
                <w:i/>
              </w:rPr>
              <w:t>Na sequência da revisão da reserva de estabilização do mercado, prevista na presente decisão modificativa, seria conveniente que a Comissão realizasse uma avaliação de impacto do sistema de comércio de licenças de emissão para os setores dos edifícios, do transporte rodoviário e outros setores, a fim de avaliar o seu impacto social e o seu impacto no cumprimento dos objetivos climáticos, bem como uma avaliação distributiva do número de agregados familiares vulneráveis para os quais foi disponibilizado apoio do Fundo Social em matéria de Clima e do mecanismo de antecipação</w:t>
            </w:r>
            <w:r w:rsidR="00692030" w:rsidRPr="0081645C">
              <w:rPr>
                <w:b/>
                <w:i/>
              </w:rPr>
              <w:t xml:space="preserve"> do BEI</w:t>
            </w:r>
            <w:r w:rsidRPr="0081645C">
              <w:rPr>
                <w:b/>
                <w:i/>
              </w:rPr>
              <w:t xml:space="preserve"> até essa data, incluindo, se possível, uma repartição por tipo de zona geográfica, por distribuição do rendimento e por género, que deve também ponderar medidas adicionais para assegurar a integridade ambiental e a justiça social no âmbito do CELE 2.</w:t>
            </w:r>
          </w:p>
        </w:tc>
      </w:tr>
    </w:tbl>
    <w:p w14:paraId="289EF064" w14:textId="77777777" w:rsidR="00112522" w:rsidRPr="0081645C" w:rsidRDefault="00112522" w:rsidP="00112522"/>
    <w:p w14:paraId="7478EC9D" w14:textId="77777777" w:rsidR="00112522" w:rsidRPr="0081645C" w:rsidRDefault="00112522" w:rsidP="00112522">
      <w:pPr>
        <w:pStyle w:val="AmNumberTabs"/>
      </w:pPr>
      <w:r w:rsidRPr="0081645C">
        <w:t>Alteração</w:t>
      </w:r>
      <w:r w:rsidRPr="0081645C">
        <w:tab/>
      </w:r>
      <w:r w:rsidRPr="0081645C">
        <w:tab/>
        <w:t>8</w:t>
      </w:r>
    </w:p>
    <w:p w14:paraId="5E1A3D64" w14:textId="77777777" w:rsidR="00112522" w:rsidRPr="0081645C" w:rsidRDefault="00112522" w:rsidP="00112522">
      <w:pPr>
        <w:pStyle w:val="NormalBold"/>
      </w:pPr>
      <w:r w:rsidRPr="0081645C">
        <w:t>Proposta de decisão</w:t>
      </w:r>
    </w:p>
    <w:p w14:paraId="2FB216FF" w14:textId="77777777" w:rsidR="00112522" w:rsidRPr="0081645C" w:rsidRDefault="00112522" w:rsidP="00112522">
      <w:pPr>
        <w:pStyle w:val="NormalBold"/>
      </w:pPr>
      <w:r w:rsidRPr="0081645C">
        <w:t>Artigo 1 – parágrafo 1 – ponto 1</w:t>
      </w:r>
    </w:p>
    <w:p w14:paraId="5E28FD2A" w14:textId="22A80FAD" w:rsidR="00112522" w:rsidRPr="0081645C" w:rsidRDefault="00112522" w:rsidP="00112522">
      <w:r w:rsidRPr="0081645C">
        <w:t>Decisão (UE) 2015/1814</w:t>
      </w:r>
    </w:p>
    <w:p w14:paraId="4D841804" w14:textId="309A09CA" w:rsidR="00692030" w:rsidRPr="0081645C" w:rsidRDefault="00692030" w:rsidP="00112522">
      <w:r w:rsidRPr="0081645C">
        <w:t>Artigo 1</w:t>
      </w:r>
      <w:r w:rsidRPr="0081645C">
        <w:noBreakHyphen/>
        <w:t xml:space="preserve">A – </w:t>
      </w:r>
      <w:r w:rsidR="00E31CC1" w:rsidRPr="0081645C">
        <w:t>n.º</w:t>
      </w:r>
      <w:r w:rsidRPr="0081645C">
        <w:t xml:space="preserve">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522" w:rsidRPr="0081645C" w14:paraId="413D6FEC" w14:textId="77777777" w:rsidTr="0081645C">
        <w:trPr>
          <w:trHeight w:val="240"/>
          <w:jc w:val="center"/>
        </w:trPr>
        <w:tc>
          <w:tcPr>
            <w:tcW w:w="9752" w:type="dxa"/>
            <w:gridSpan w:val="2"/>
            <w:tcBorders>
              <w:top w:val="nil"/>
              <w:left w:val="nil"/>
              <w:bottom w:val="nil"/>
              <w:right w:val="nil"/>
            </w:tcBorders>
          </w:tcPr>
          <w:p w14:paraId="65852DDD" w14:textId="77777777" w:rsidR="00112522" w:rsidRPr="0081645C" w:rsidRDefault="00112522" w:rsidP="00F23822"/>
        </w:tc>
      </w:tr>
      <w:tr w:rsidR="00112522" w:rsidRPr="0081645C" w14:paraId="2CA59490" w14:textId="77777777" w:rsidTr="0081645C">
        <w:trPr>
          <w:trHeight w:val="240"/>
          <w:jc w:val="center"/>
        </w:trPr>
        <w:tc>
          <w:tcPr>
            <w:tcW w:w="4876" w:type="dxa"/>
            <w:tcBorders>
              <w:top w:val="nil"/>
              <w:left w:val="nil"/>
              <w:bottom w:val="nil"/>
              <w:right w:val="nil"/>
            </w:tcBorders>
            <w:hideMark/>
          </w:tcPr>
          <w:p w14:paraId="6CFB7524" w14:textId="77777777" w:rsidR="00112522" w:rsidRPr="0081645C" w:rsidRDefault="00112522" w:rsidP="00F23822">
            <w:pPr>
              <w:pStyle w:val="AmColumnHeading"/>
            </w:pPr>
            <w:r w:rsidRPr="0081645C">
              <w:lastRenderedPageBreak/>
              <w:t>Texto da Comissão</w:t>
            </w:r>
          </w:p>
        </w:tc>
        <w:tc>
          <w:tcPr>
            <w:tcW w:w="4876" w:type="dxa"/>
            <w:tcBorders>
              <w:top w:val="nil"/>
              <w:left w:val="nil"/>
              <w:bottom w:val="nil"/>
              <w:right w:val="nil"/>
            </w:tcBorders>
            <w:hideMark/>
          </w:tcPr>
          <w:p w14:paraId="05C9E011" w14:textId="77777777" w:rsidR="00112522" w:rsidRPr="0081645C" w:rsidRDefault="00112522" w:rsidP="00F23822">
            <w:pPr>
              <w:pStyle w:val="AmColumnHeading"/>
            </w:pPr>
            <w:r w:rsidRPr="0081645C">
              <w:t>Alteração</w:t>
            </w:r>
          </w:p>
        </w:tc>
      </w:tr>
      <w:tr w:rsidR="00112522" w:rsidRPr="0081645C" w14:paraId="1CAA73DB" w14:textId="77777777" w:rsidTr="00E31CC1">
        <w:trPr>
          <w:jc w:val="center"/>
        </w:trPr>
        <w:tc>
          <w:tcPr>
            <w:tcW w:w="4876" w:type="dxa"/>
            <w:tcBorders>
              <w:top w:val="nil"/>
              <w:left w:val="nil"/>
              <w:bottom w:val="nil"/>
              <w:right w:val="nil"/>
            </w:tcBorders>
            <w:hideMark/>
          </w:tcPr>
          <w:p w14:paraId="67412E7A" w14:textId="77777777" w:rsidR="00112522" w:rsidRPr="0081645C" w:rsidRDefault="00112522" w:rsidP="00F23822">
            <w:pPr>
              <w:pStyle w:val="Normal6a"/>
            </w:pPr>
            <w:r w:rsidRPr="0081645C">
              <w:t>1)</w:t>
            </w:r>
            <w:r w:rsidRPr="0081645C">
              <w:tab/>
              <w:t xml:space="preserve">No n.º 3, </w:t>
            </w:r>
            <w:r w:rsidRPr="0081645C">
              <w:rPr>
                <w:b/>
                <w:i/>
              </w:rPr>
              <w:t>é suprimido</w:t>
            </w:r>
            <w:r w:rsidRPr="0081645C">
              <w:t xml:space="preserve"> o segundo período;</w:t>
            </w:r>
          </w:p>
        </w:tc>
        <w:tc>
          <w:tcPr>
            <w:tcW w:w="4876" w:type="dxa"/>
            <w:tcBorders>
              <w:top w:val="nil"/>
              <w:left w:val="nil"/>
              <w:bottom w:val="nil"/>
              <w:right w:val="nil"/>
            </w:tcBorders>
            <w:hideMark/>
          </w:tcPr>
          <w:p w14:paraId="4AA0FA2D" w14:textId="7460A4E2" w:rsidR="00112522" w:rsidRPr="0081645C" w:rsidRDefault="00112522" w:rsidP="00692030">
            <w:pPr>
              <w:pStyle w:val="Normal6a"/>
            </w:pPr>
            <w:r w:rsidRPr="0081645C">
              <w:t>1)</w:t>
            </w:r>
            <w:r w:rsidRPr="0081645C">
              <w:tab/>
              <w:t xml:space="preserve">No n.º 3, o segundo período </w:t>
            </w:r>
            <w:r w:rsidRPr="0081645C">
              <w:rPr>
                <w:b/>
                <w:i/>
              </w:rPr>
              <w:t>passa a ter a seguinte redação</w:t>
            </w:r>
            <w:r w:rsidR="00692030" w:rsidRPr="0081645C">
              <w:rPr>
                <w:b/>
                <w:i/>
              </w:rPr>
              <w:t>:</w:t>
            </w:r>
          </w:p>
        </w:tc>
      </w:tr>
      <w:tr w:rsidR="00692030" w:rsidRPr="0081645C" w14:paraId="5CC2CBF4" w14:textId="77777777" w:rsidTr="0081645C">
        <w:trPr>
          <w:jc w:val="center"/>
        </w:trPr>
        <w:tc>
          <w:tcPr>
            <w:tcW w:w="4876" w:type="dxa"/>
            <w:tcBorders>
              <w:top w:val="nil"/>
              <w:left w:val="nil"/>
              <w:bottom w:val="nil"/>
              <w:right w:val="nil"/>
            </w:tcBorders>
          </w:tcPr>
          <w:p w14:paraId="7B037503" w14:textId="77777777" w:rsidR="00692030" w:rsidRPr="0081645C" w:rsidRDefault="00692030" w:rsidP="00F23822">
            <w:pPr>
              <w:pStyle w:val="Normal6a"/>
            </w:pPr>
          </w:p>
        </w:tc>
        <w:tc>
          <w:tcPr>
            <w:tcW w:w="4876" w:type="dxa"/>
            <w:tcBorders>
              <w:top w:val="nil"/>
              <w:left w:val="nil"/>
              <w:bottom w:val="nil"/>
              <w:right w:val="nil"/>
            </w:tcBorders>
          </w:tcPr>
          <w:p w14:paraId="4EACF86A" w14:textId="4053E697" w:rsidR="00692030" w:rsidRPr="0081645C" w:rsidRDefault="00692030" w:rsidP="00F23822">
            <w:pPr>
              <w:pStyle w:val="Normal6a"/>
            </w:pPr>
            <w:r w:rsidRPr="0081645C">
              <w:rPr>
                <w:b/>
                <w:i/>
              </w:rPr>
              <w:t>«A partir de 1 de janeiro de 2034, 50 % das licenças de emissão referidas nesse parágrafo que não tenham sido retiradas da reserva deixam de ser válidas. A partir de 1 de janeiro de 2036, as restantes licenças de emissão referidas nesse parágrafo que não tenham sido retiradas da reserva deixam de ser válidas.»</w:t>
            </w:r>
          </w:p>
        </w:tc>
      </w:tr>
    </w:tbl>
    <w:p w14:paraId="522B546D" w14:textId="77777777" w:rsidR="00112522" w:rsidRPr="0081645C" w:rsidRDefault="00112522" w:rsidP="00112522"/>
    <w:p w14:paraId="6352B874" w14:textId="77777777" w:rsidR="00112522" w:rsidRPr="0081645C" w:rsidRDefault="00112522" w:rsidP="00112522">
      <w:pPr>
        <w:pStyle w:val="AmNumberTabs"/>
      </w:pPr>
      <w:r w:rsidRPr="0081645C">
        <w:t>Alteração</w:t>
      </w:r>
      <w:r w:rsidRPr="0081645C">
        <w:tab/>
      </w:r>
      <w:r w:rsidRPr="0081645C">
        <w:tab/>
        <w:t>9</w:t>
      </w:r>
    </w:p>
    <w:p w14:paraId="777B38B1" w14:textId="77777777" w:rsidR="00112522" w:rsidRPr="0081645C" w:rsidRDefault="00112522" w:rsidP="00112522">
      <w:pPr>
        <w:pStyle w:val="NormalBold"/>
      </w:pPr>
      <w:r w:rsidRPr="0081645C">
        <w:t>Proposta de decisão</w:t>
      </w:r>
    </w:p>
    <w:p w14:paraId="4D3AD67C" w14:textId="77777777" w:rsidR="00112522" w:rsidRPr="0081645C" w:rsidRDefault="00112522" w:rsidP="00112522">
      <w:pPr>
        <w:pStyle w:val="NormalBold"/>
      </w:pPr>
      <w:r w:rsidRPr="0081645C">
        <w:t>Artigo 1 – parágrafo 1 – ponto 4</w:t>
      </w:r>
      <w:r w:rsidRPr="0081645C">
        <w:noBreakHyphen/>
        <w:t>A (novo)</w:t>
      </w:r>
    </w:p>
    <w:p w14:paraId="65433A5F" w14:textId="3AA26305" w:rsidR="00112522" w:rsidRPr="0081645C" w:rsidRDefault="00112522" w:rsidP="00112522">
      <w:r w:rsidRPr="0081645C">
        <w:t>Decisão (UE) 2015/1814</w:t>
      </w:r>
    </w:p>
    <w:p w14:paraId="076234F4" w14:textId="02BD8678" w:rsidR="00692030" w:rsidRPr="0081645C" w:rsidRDefault="00692030" w:rsidP="00112522">
      <w:r w:rsidRPr="0081645C">
        <w:t>Artigo 1</w:t>
      </w:r>
      <w:r w:rsidRPr="0081645C">
        <w:noBreakHyphen/>
        <w:t xml:space="preserve">A – </w:t>
      </w:r>
      <w:r w:rsidR="00E31CC1" w:rsidRPr="0081645C">
        <w:t>n.º</w:t>
      </w:r>
      <w:r w:rsidRPr="0081645C">
        <w:t xml:space="preserve">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522" w:rsidRPr="0081645C" w14:paraId="6595D66C" w14:textId="77777777" w:rsidTr="00F23822">
        <w:trPr>
          <w:trHeight w:val="240"/>
          <w:jc w:val="center"/>
        </w:trPr>
        <w:tc>
          <w:tcPr>
            <w:tcW w:w="9752" w:type="dxa"/>
            <w:gridSpan w:val="2"/>
            <w:tcBorders>
              <w:top w:val="nil"/>
              <w:left w:val="nil"/>
              <w:bottom w:val="nil"/>
              <w:right w:val="nil"/>
            </w:tcBorders>
          </w:tcPr>
          <w:p w14:paraId="5F233ADB" w14:textId="77777777" w:rsidR="00112522" w:rsidRPr="0081645C" w:rsidRDefault="00112522" w:rsidP="00F23822"/>
        </w:tc>
      </w:tr>
      <w:tr w:rsidR="00112522" w:rsidRPr="0081645C" w14:paraId="7EB44250" w14:textId="77777777" w:rsidTr="00F23822">
        <w:trPr>
          <w:trHeight w:val="240"/>
          <w:jc w:val="center"/>
        </w:trPr>
        <w:tc>
          <w:tcPr>
            <w:tcW w:w="4876" w:type="dxa"/>
            <w:tcBorders>
              <w:top w:val="nil"/>
              <w:left w:val="nil"/>
              <w:bottom w:val="nil"/>
              <w:right w:val="nil"/>
            </w:tcBorders>
            <w:hideMark/>
          </w:tcPr>
          <w:p w14:paraId="404FD888" w14:textId="77777777" w:rsidR="00112522" w:rsidRPr="0081645C" w:rsidRDefault="00112522" w:rsidP="00F23822">
            <w:pPr>
              <w:pStyle w:val="AmColumnHeading"/>
            </w:pPr>
            <w:r w:rsidRPr="0081645C">
              <w:t>Texto em vigor</w:t>
            </w:r>
          </w:p>
        </w:tc>
        <w:tc>
          <w:tcPr>
            <w:tcW w:w="4876" w:type="dxa"/>
            <w:tcBorders>
              <w:top w:val="nil"/>
              <w:left w:val="nil"/>
              <w:bottom w:val="nil"/>
              <w:right w:val="nil"/>
            </w:tcBorders>
            <w:hideMark/>
          </w:tcPr>
          <w:p w14:paraId="5232B771" w14:textId="77777777" w:rsidR="00112522" w:rsidRPr="0081645C" w:rsidRDefault="00112522" w:rsidP="00F23822">
            <w:pPr>
              <w:pStyle w:val="AmColumnHeading"/>
            </w:pPr>
            <w:r w:rsidRPr="0081645C">
              <w:t>Alteração</w:t>
            </w:r>
          </w:p>
        </w:tc>
      </w:tr>
      <w:tr w:rsidR="00112522" w:rsidRPr="0081645C" w14:paraId="0468FAAB" w14:textId="77777777" w:rsidTr="00F23822">
        <w:trPr>
          <w:jc w:val="center"/>
        </w:trPr>
        <w:tc>
          <w:tcPr>
            <w:tcW w:w="4876" w:type="dxa"/>
            <w:tcBorders>
              <w:top w:val="nil"/>
              <w:left w:val="nil"/>
              <w:bottom w:val="nil"/>
              <w:right w:val="nil"/>
            </w:tcBorders>
          </w:tcPr>
          <w:p w14:paraId="6460F637" w14:textId="77777777" w:rsidR="00112522" w:rsidRPr="0081645C" w:rsidRDefault="00112522" w:rsidP="00F23822">
            <w:pPr>
              <w:pStyle w:val="Normal6a"/>
            </w:pPr>
          </w:p>
        </w:tc>
        <w:tc>
          <w:tcPr>
            <w:tcW w:w="4876" w:type="dxa"/>
            <w:tcBorders>
              <w:top w:val="nil"/>
              <w:left w:val="nil"/>
              <w:bottom w:val="nil"/>
              <w:right w:val="nil"/>
            </w:tcBorders>
            <w:hideMark/>
          </w:tcPr>
          <w:p w14:paraId="76D27F42" w14:textId="77777777" w:rsidR="00112522" w:rsidRPr="0081645C" w:rsidRDefault="00112522" w:rsidP="00F23822">
            <w:pPr>
              <w:pStyle w:val="Normal6a"/>
            </w:pPr>
            <w:r w:rsidRPr="0081645C">
              <w:rPr>
                <w:b/>
                <w:i/>
              </w:rPr>
              <w:t>4</w:t>
            </w:r>
            <w:r w:rsidRPr="0081645C">
              <w:rPr>
                <w:b/>
                <w:i/>
              </w:rPr>
              <w:noBreakHyphen/>
              <w:t>A)</w:t>
            </w:r>
            <w:r w:rsidRPr="0081645C">
              <w:tab/>
            </w:r>
            <w:r w:rsidRPr="0081645C">
              <w:rPr>
                <w:b/>
                <w:i/>
              </w:rPr>
              <w:t>No n.º 7, o segundo período passa a ter a seguinte redação:</w:t>
            </w:r>
          </w:p>
        </w:tc>
      </w:tr>
      <w:tr w:rsidR="00112522" w:rsidRPr="0081645C" w14:paraId="65F7FDA2" w14:textId="77777777" w:rsidTr="00F23822">
        <w:trPr>
          <w:jc w:val="center"/>
        </w:trPr>
        <w:tc>
          <w:tcPr>
            <w:tcW w:w="4876" w:type="dxa"/>
            <w:tcBorders>
              <w:top w:val="nil"/>
              <w:left w:val="nil"/>
              <w:bottom w:val="nil"/>
              <w:right w:val="nil"/>
            </w:tcBorders>
            <w:hideMark/>
          </w:tcPr>
          <w:p w14:paraId="4A6536FB" w14:textId="77777777" w:rsidR="00112522" w:rsidRPr="0081645C" w:rsidRDefault="00112522" w:rsidP="00F23822">
            <w:pPr>
              <w:pStyle w:val="Normal6a"/>
            </w:pPr>
            <w:r w:rsidRPr="0081645C">
              <w:t xml:space="preserve">Os volumes a retirar da reserva devem ser distribuídos uniformemente ao longo de um período de três meses, com início, o mais tardar, </w:t>
            </w:r>
            <w:r w:rsidRPr="0081645C">
              <w:rPr>
                <w:b/>
                <w:i/>
              </w:rPr>
              <w:t>dois meses</w:t>
            </w:r>
            <w:r w:rsidRPr="0081645C">
              <w:t xml:space="preserve"> após a data em que as condições foram preenchidas, de acordo com a publicação a esse respeito no Jornal Oficial da União Europeia, nos termos do artigo 30.º</w:t>
            </w:r>
            <w:r w:rsidRPr="0081645C">
              <w:noBreakHyphen/>
              <w:t>H, n.º 8, da Diretiva 2003/87/CE.</w:t>
            </w:r>
          </w:p>
        </w:tc>
        <w:tc>
          <w:tcPr>
            <w:tcW w:w="4876" w:type="dxa"/>
            <w:tcBorders>
              <w:top w:val="nil"/>
              <w:left w:val="nil"/>
              <w:bottom w:val="nil"/>
              <w:right w:val="nil"/>
            </w:tcBorders>
            <w:hideMark/>
          </w:tcPr>
          <w:p w14:paraId="27FB1241" w14:textId="25A7C62E" w:rsidR="00112522" w:rsidRPr="0081645C" w:rsidRDefault="00112522" w:rsidP="00F23822">
            <w:pPr>
              <w:pStyle w:val="Normal6a"/>
            </w:pPr>
            <w:r w:rsidRPr="0081645C">
              <w:rPr>
                <w:b/>
                <w:i/>
              </w:rPr>
              <w:t>«</w:t>
            </w:r>
            <w:r w:rsidR="00DF44EA" w:rsidRPr="0081645C">
              <w:rPr>
                <w:bCs/>
                <w:i/>
              </w:rPr>
              <w:t>“</w:t>
            </w:r>
            <w:r w:rsidRPr="0081645C">
              <w:t xml:space="preserve">Os volumes a retirar da reserva são distribuídos uniformemente ao longo de um período de três meses, com início, o mais tardar, </w:t>
            </w:r>
            <w:r w:rsidRPr="0081645C">
              <w:rPr>
                <w:b/>
                <w:i/>
              </w:rPr>
              <w:t>30 dias</w:t>
            </w:r>
            <w:r w:rsidRPr="0081645C">
              <w:t xml:space="preserve"> após a data em que as condições foram preenchidas, de acordo com a publicação a esse respeito no Jornal Oficial da União Europeia, nos termos do artigo 30.º</w:t>
            </w:r>
            <w:r w:rsidRPr="0081645C">
              <w:noBreakHyphen/>
              <w:t>H, n.º 8, da Diretiva 2003/87/CE</w:t>
            </w:r>
            <w:r w:rsidR="00DF44EA" w:rsidRPr="0081645C">
              <w:t>.”</w:t>
            </w:r>
            <w:r w:rsidRPr="0081645C">
              <w:rPr>
                <w:b/>
                <w:i/>
              </w:rPr>
              <w:t>»</w:t>
            </w:r>
            <w:r w:rsidRPr="0081645C">
              <w:t>.</w:t>
            </w:r>
          </w:p>
        </w:tc>
      </w:tr>
    </w:tbl>
    <w:p w14:paraId="75CA2EA1" w14:textId="77777777" w:rsidR="00112522" w:rsidRPr="0081645C" w:rsidRDefault="00112522" w:rsidP="00112522">
      <w:pPr>
        <w:pStyle w:val="AmCrossRef"/>
      </w:pPr>
      <w:r w:rsidRPr="0081645C">
        <w:t>(32015D1814)</w:t>
      </w:r>
    </w:p>
    <w:p w14:paraId="686BBD36" w14:textId="77777777" w:rsidR="00112522" w:rsidRPr="0081645C" w:rsidRDefault="00112522" w:rsidP="00112522"/>
    <w:p w14:paraId="0846C206" w14:textId="77777777" w:rsidR="00112522" w:rsidRPr="0081645C" w:rsidRDefault="00112522" w:rsidP="00112522">
      <w:pPr>
        <w:pStyle w:val="AmNumberTabs"/>
      </w:pPr>
      <w:r w:rsidRPr="0081645C">
        <w:t>Alteração</w:t>
      </w:r>
      <w:r w:rsidRPr="0081645C">
        <w:tab/>
      </w:r>
      <w:r w:rsidRPr="0081645C">
        <w:tab/>
        <w:t>10</w:t>
      </w:r>
    </w:p>
    <w:p w14:paraId="1D8E07E5" w14:textId="77777777" w:rsidR="00112522" w:rsidRPr="0081645C" w:rsidRDefault="00112522" w:rsidP="00112522">
      <w:pPr>
        <w:pStyle w:val="NormalBold"/>
      </w:pPr>
      <w:r w:rsidRPr="0081645C">
        <w:t>Proposta de decisão</w:t>
      </w:r>
    </w:p>
    <w:p w14:paraId="6CD19A01" w14:textId="77777777" w:rsidR="00112522" w:rsidRPr="0081645C" w:rsidRDefault="00112522" w:rsidP="00112522">
      <w:pPr>
        <w:pStyle w:val="NormalBold"/>
      </w:pPr>
      <w:r w:rsidRPr="0081645C">
        <w:t>Artigo 1</w:t>
      </w:r>
      <w:r w:rsidRPr="0081645C">
        <w:noBreakHyphen/>
        <w:t>A (novo)</w:t>
      </w:r>
    </w:p>
    <w:p w14:paraId="6E580E38" w14:textId="77777777" w:rsidR="00692030" w:rsidRPr="0081645C" w:rsidRDefault="00692030" w:rsidP="00692030">
      <w:r w:rsidRPr="0081645C">
        <w:t>Decisão (UE) 2015/1814</w:t>
      </w:r>
    </w:p>
    <w:p w14:paraId="0177BFE2" w14:textId="7A6C4987" w:rsidR="00692030" w:rsidRPr="0081645C" w:rsidRDefault="00692030" w:rsidP="0081645C">
      <w:r w:rsidRPr="0081645C">
        <w:t>Artigo 3 – parágrafo 1-A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522" w:rsidRPr="0081645C" w14:paraId="76F9AE0B" w14:textId="77777777" w:rsidTr="00F23822">
        <w:trPr>
          <w:trHeight w:val="240"/>
          <w:jc w:val="center"/>
        </w:trPr>
        <w:tc>
          <w:tcPr>
            <w:tcW w:w="9752" w:type="dxa"/>
            <w:gridSpan w:val="2"/>
            <w:tcBorders>
              <w:top w:val="nil"/>
              <w:left w:val="nil"/>
              <w:bottom w:val="nil"/>
              <w:right w:val="nil"/>
            </w:tcBorders>
          </w:tcPr>
          <w:p w14:paraId="400E12F2" w14:textId="77777777" w:rsidR="00112522" w:rsidRPr="0081645C" w:rsidRDefault="00112522" w:rsidP="00F23822"/>
        </w:tc>
      </w:tr>
      <w:tr w:rsidR="00112522" w:rsidRPr="0081645C" w14:paraId="193F5B25" w14:textId="77777777" w:rsidTr="00F23822">
        <w:trPr>
          <w:trHeight w:val="240"/>
          <w:jc w:val="center"/>
        </w:trPr>
        <w:tc>
          <w:tcPr>
            <w:tcW w:w="4876" w:type="dxa"/>
            <w:tcBorders>
              <w:top w:val="nil"/>
              <w:left w:val="nil"/>
              <w:bottom w:val="nil"/>
              <w:right w:val="nil"/>
            </w:tcBorders>
            <w:hideMark/>
          </w:tcPr>
          <w:p w14:paraId="6396DDEB" w14:textId="77777777" w:rsidR="00112522" w:rsidRPr="0081645C" w:rsidRDefault="00112522" w:rsidP="00F23822">
            <w:pPr>
              <w:pStyle w:val="AmColumnHeading"/>
            </w:pPr>
            <w:r w:rsidRPr="0081645C">
              <w:t>Texto da Comissão</w:t>
            </w:r>
          </w:p>
        </w:tc>
        <w:tc>
          <w:tcPr>
            <w:tcW w:w="4876" w:type="dxa"/>
            <w:tcBorders>
              <w:top w:val="nil"/>
              <w:left w:val="nil"/>
              <w:bottom w:val="nil"/>
              <w:right w:val="nil"/>
            </w:tcBorders>
            <w:hideMark/>
          </w:tcPr>
          <w:p w14:paraId="2DCC7F60" w14:textId="77777777" w:rsidR="00112522" w:rsidRPr="0081645C" w:rsidRDefault="00112522" w:rsidP="00F23822">
            <w:pPr>
              <w:pStyle w:val="AmColumnHeading"/>
            </w:pPr>
            <w:r w:rsidRPr="0081645C">
              <w:t>Alteração</w:t>
            </w:r>
          </w:p>
        </w:tc>
      </w:tr>
      <w:tr w:rsidR="00112522" w:rsidRPr="0081645C" w14:paraId="05D6F5CF" w14:textId="77777777" w:rsidTr="00F23822">
        <w:trPr>
          <w:jc w:val="center"/>
        </w:trPr>
        <w:tc>
          <w:tcPr>
            <w:tcW w:w="4876" w:type="dxa"/>
            <w:tcBorders>
              <w:top w:val="nil"/>
              <w:left w:val="nil"/>
              <w:bottom w:val="nil"/>
              <w:right w:val="nil"/>
            </w:tcBorders>
          </w:tcPr>
          <w:p w14:paraId="2E98690B" w14:textId="77777777" w:rsidR="00112522" w:rsidRPr="0081645C" w:rsidRDefault="00112522" w:rsidP="00F23822">
            <w:pPr>
              <w:pStyle w:val="Normal6a"/>
            </w:pPr>
          </w:p>
        </w:tc>
        <w:tc>
          <w:tcPr>
            <w:tcW w:w="4876" w:type="dxa"/>
            <w:tcBorders>
              <w:top w:val="nil"/>
              <w:left w:val="nil"/>
              <w:bottom w:val="nil"/>
              <w:right w:val="nil"/>
            </w:tcBorders>
            <w:hideMark/>
          </w:tcPr>
          <w:p w14:paraId="2802933B" w14:textId="77777777" w:rsidR="00112522" w:rsidRPr="0081645C" w:rsidRDefault="00112522" w:rsidP="00F23822">
            <w:pPr>
              <w:pStyle w:val="Normal6a"/>
              <w:jc w:val="center"/>
            </w:pPr>
            <w:r w:rsidRPr="0081645C">
              <w:rPr>
                <w:b/>
                <w:i/>
              </w:rPr>
              <w:t>Artigo 1.º</w:t>
            </w:r>
            <w:r w:rsidRPr="0081645C">
              <w:rPr>
                <w:b/>
                <w:i/>
              </w:rPr>
              <w:noBreakHyphen/>
              <w:t>A.</w:t>
            </w:r>
            <w:r w:rsidRPr="0081645C">
              <w:tab/>
            </w:r>
          </w:p>
        </w:tc>
      </w:tr>
      <w:tr w:rsidR="00112522" w:rsidRPr="0081645C" w14:paraId="5AE947B2" w14:textId="77777777" w:rsidTr="00F23822">
        <w:trPr>
          <w:jc w:val="center"/>
        </w:trPr>
        <w:tc>
          <w:tcPr>
            <w:tcW w:w="4876" w:type="dxa"/>
            <w:tcBorders>
              <w:top w:val="nil"/>
              <w:left w:val="nil"/>
              <w:bottom w:val="nil"/>
              <w:right w:val="nil"/>
            </w:tcBorders>
          </w:tcPr>
          <w:p w14:paraId="22A0C298" w14:textId="77777777" w:rsidR="00112522" w:rsidRPr="0081645C" w:rsidRDefault="00112522" w:rsidP="00F23822">
            <w:pPr>
              <w:pStyle w:val="Normal6a"/>
            </w:pPr>
          </w:p>
        </w:tc>
        <w:tc>
          <w:tcPr>
            <w:tcW w:w="4876" w:type="dxa"/>
            <w:tcBorders>
              <w:top w:val="nil"/>
              <w:left w:val="nil"/>
              <w:bottom w:val="nil"/>
              <w:right w:val="nil"/>
            </w:tcBorders>
            <w:hideMark/>
          </w:tcPr>
          <w:p w14:paraId="0C560422" w14:textId="2188595D" w:rsidR="00112522" w:rsidRPr="0081645C" w:rsidRDefault="00112522" w:rsidP="00F23822">
            <w:pPr>
              <w:pStyle w:val="Normal6a"/>
            </w:pPr>
            <w:r w:rsidRPr="0081645C">
              <w:rPr>
                <w:b/>
                <w:i/>
              </w:rPr>
              <w:t xml:space="preserve">Ao artigo 3.º </w:t>
            </w:r>
            <w:r w:rsidR="00692030" w:rsidRPr="0081645C">
              <w:rPr>
                <w:b/>
                <w:i/>
              </w:rPr>
              <w:t xml:space="preserve">da Decisão (EU) 2015/1814, </w:t>
            </w:r>
            <w:r w:rsidRPr="0081645C">
              <w:rPr>
                <w:b/>
                <w:i/>
              </w:rPr>
              <w:t>é aditado o seguinte parágrafo:</w:t>
            </w:r>
          </w:p>
        </w:tc>
      </w:tr>
      <w:tr w:rsidR="00112522" w:rsidRPr="0081645C" w14:paraId="3CA20008" w14:textId="77777777" w:rsidTr="00F23822">
        <w:trPr>
          <w:jc w:val="center"/>
        </w:trPr>
        <w:tc>
          <w:tcPr>
            <w:tcW w:w="4876" w:type="dxa"/>
            <w:tcBorders>
              <w:top w:val="nil"/>
              <w:left w:val="nil"/>
              <w:bottom w:val="nil"/>
              <w:right w:val="nil"/>
            </w:tcBorders>
          </w:tcPr>
          <w:p w14:paraId="42704C1C" w14:textId="77777777" w:rsidR="00112522" w:rsidRPr="0081645C" w:rsidRDefault="00112522" w:rsidP="00F23822">
            <w:pPr>
              <w:pStyle w:val="Normal6a"/>
            </w:pPr>
          </w:p>
        </w:tc>
        <w:tc>
          <w:tcPr>
            <w:tcW w:w="4876" w:type="dxa"/>
            <w:tcBorders>
              <w:top w:val="nil"/>
              <w:left w:val="nil"/>
              <w:bottom w:val="nil"/>
              <w:right w:val="nil"/>
            </w:tcBorders>
            <w:hideMark/>
          </w:tcPr>
          <w:p w14:paraId="69249CD8" w14:textId="59255445" w:rsidR="00112522" w:rsidRPr="0081645C" w:rsidRDefault="00112522" w:rsidP="00F23822">
            <w:pPr>
              <w:pStyle w:val="Normal6a"/>
            </w:pPr>
            <w:r w:rsidRPr="0081645C">
              <w:rPr>
                <w:b/>
                <w:i/>
              </w:rPr>
              <w:t>«No prazo de quatro anos a contar do início do funcionamento do comércio de licenças de emissão para os setores dos edifícios, do transporte rodoviário e outros setores estabelecidos no capítulo IV</w:t>
            </w:r>
            <w:r w:rsidRPr="0081645C">
              <w:rPr>
                <w:b/>
                <w:i/>
              </w:rPr>
              <w:noBreakHyphen/>
              <w:t>A da Diretiva 2003/87/CE, a Comissão realiza uma avaliação de impacto, incluindo uma análise do impacto distributivo, e uma avaliação do impacto ambiental, social e económico das licenças de emissão remanescentes na reserva, nos termos do artigo 1.º</w:t>
            </w:r>
            <w:r w:rsidRPr="0081645C">
              <w:rPr>
                <w:b/>
                <w:i/>
              </w:rPr>
              <w:noBreakHyphen/>
              <w:t>A</w:t>
            </w:r>
            <w:r w:rsidR="00692030" w:rsidRPr="0081645C">
              <w:rPr>
                <w:b/>
                <w:i/>
              </w:rPr>
              <w:t xml:space="preserve"> da presente decisão</w:t>
            </w:r>
            <w:r w:rsidRPr="0081645C">
              <w:rPr>
                <w:b/>
                <w:i/>
              </w:rPr>
              <w:t>, e determina a adequação da invalidação parcial ou total dessas licenças de emissão. Essa avaliação pode, se necessário, ser acompanhada de uma proposta legislativa.»</w:t>
            </w:r>
            <w:r w:rsidR="00533141" w:rsidRPr="0081645C">
              <w:rPr>
                <w:b/>
                <w:i/>
              </w:rPr>
              <w:t>.</w:t>
            </w:r>
          </w:p>
        </w:tc>
      </w:tr>
    </w:tbl>
    <w:p w14:paraId="27A403CC" w14:textId="4E951357" w:rsidR="00E365E1" w:rsidRPr="0081645C" w:rsidRDefault="00E365E1" w:rsidP="00BD1C8E"/>
    <w:sectPr w:rsidR="00E365E1" w:rsidRPr="0081645C" w:rsidSect="00C364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47FA7" w14:textId="77777777" w:rsidR="00BD1C8E" w:rsidRPr="00C364B9" w:rsidRDefault="00BD1C8E">
      <w:r w:rsidRPr="00C364B9">
        <w:separator/>
      </w:r>
    </w:p>
  </w:endnote>
  <w:endnote w:type="continuationSeparator" w:id="0">
    <w:p w14:paraId="38AF5FD1" w14:textId="77777777" w:rsidR="00BD1C8E" w:rsidRPr="00C364B9" w:rsidRDefault="00BD1C8E">
      <w:r w:rsidRPr="00C364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50A9D" w14:textId="77777777" w:rsidR="00064002" w:rsidRPr="00C364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113CB" w14:textId="77777777" w:rsidR="00064002" w:rsidRPr="00C364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97D88" w14:textId="77777777" w:rsidR="00064002" w:rsidRPr="00C364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D9449" w14:textId="77777777" w:rsidR="00BD1C8E" w:rsidRPr="00C364B9" w:rsidRDefault="00BD1C8E">
      <w:r w:rsidRPr="00C364B9">
        <w:separator/>
      </w:r>
    </w:p>
  </w:footnote>
  <w:footnote w:type="continuationSeparator" w:id="0">
    <w:p w14:paraId="04950682" w14:textId="77777777" w:rsidR="00BD1C8E" w:rsidRPr="00C364B9" w:rsidRDefault="00BD1C8E">
      <w:r w:rsidRPr="00C364B9">
        <w:continuationSeparator/>
      </w:r>
    </w:p>
  </w:footnote>
  <w:footnote w:id="1">
    <w:p w14:paraId="5DBB9631" w14:textId="7B21ABC2" w:rsidR="00C86A3B" w:rsidRPr="002A260D" w:rsidRDefault="00C86A3B" w:rsidP="002A260D">
      <w:pPr>
        <w:pStyle w:val="FootnoteText"/>
        <w:ind w:left="567" w:hanging="567"/>
        <w:rPr>
          <w:sz w:val="24"/>
          <w:szCs w:val="24"/>
          <w:lang w:val="pt-PT"/>
        </w:rPr>
      </w:pPr>
      <w:r w:rsidRPr="002A260D">
        <w:rPr>
          <w:rStyle w:val="FootnoteReference"/>
          <w:sz w:val="24"/>
          <w:szCs w:val="24"/>
        </w:rPr>
        <w:footnoteRef/>
      </w:r>
      <w:r w:rsidRPr="002A260D">
        <w:rPr>
          <w:sz w:val="24"/>
          <w:szCs w:val="24"/>
          <w:lang w:val="pt-PT"/>
        </w:rPr>
        <w:t xml:space="preserve"> </w:t>
      </w:r>
      <w:r w:rsidRPr="002A260D">
        <w:rPr>
          <w:sz w:val="24"/>
          <w:szCs w:val="24"/>
          <w:lang w:val="pt-PT"/>
        </w:rPr>
        <w:tab/>
        <w:t>O assunto foi devolvido à comiss</w:t>
      </w:r>
      <w:r w:rsidR="003043A0">
        <w:rPr>
          <w:sz w:val="24"/>
          <w:szCs w:val="24"/>
          <w:lang w:val="pt-PT"/>
        </w:rPr>
        <w:t>ão</w:t>
      </w:r>
      <w:r w:rsidRPr="002A260D">
        <w:rPr>
          <w:sz w:val="24"/>
          <w:szCs w:val="24"/>
          <w:lang w:val="pt-PT"/>
        </w:rPr>
        <w:t xml:space="preserve"> competente, para negociações interinstitucionais,</w:t>
      </w:r>
      <w:r w:rsidR="001B06E5">
        <w:rPr>
          <w:sz w:val="24"/>
          <w:szCs w:val="24"/>
          <w:lang w:val="pt-PT"/>
        </w:rPr>
        <w:t xml:space="preserve"> </w:t>
      </w:r>
      <w:r w:rsidRPr="002A260D">
        <w:rPr>
          <w:sz w:val="24"/>
          <w:szCs w:val="24"/>
          <w:lang w:val="pt-PT"/>
        </w:rPr>
        <w:t xml:space="preserve">nos termos do artigo </w:t>
      </w:r>
      <w:r>
        <w:rPr>
          <w:sz w:val="24"/>
          <w:szCs w:val="24"/>
          <w:lang w:val="pt-PT"/>
        </w:rPr>
        <w:t>60</w:t>
      </w:r>
      <w:r w:rsidRPr="002A260D">
        <w:rPr>
          <w:sz w:val="24"/>
          <w:szCs w:val="24"/>
          <w:lang w:val="pt-PT"/>
        </w:rPr>
        <w:t>.</w:t>
      </w:r>
      <w:r>
        <w:rPr>
          <w:sz w:val="24"/>
          <w:szCs w:val="24"/>
          <w:lang w:val="pt-PT"/>
        </w:rPr>
        <w:t>º</w:t>
      </w:r>
      <w:r w:rsidRPr="002A260D">
        <w:rPr>
          <w:sz w:val="24"/>
          <w:szCs w:val="24"/>
          <w:lang w:val="pt-PT"/>
        </w:rPr>
        <w:t>, n.</w:t>
      </w:r>
      <w:r>
        <w:rPr>
          <w:sz w:val="24"/>
          <w:szCs w:val="24"/>
          <w:lang w:val="pt-PT"/>
        </w:rPr>
        <w:t>º</w:t>
      </w:r>
      <w:r w:rsidRPr="002A260D">
        <w:rPr>
          <w:sz w:val="24"/>
          <w:szCs w:val="24"/>
          <w:lang w:val="pt-PT"/>
        </w:rPr>
        <w:t xml:space="preserve"> 4, quarto parágrafo, do Regimento (A</w:t>
      </w:r>
      <w:r>
        <w:rPr>
          <w:sz w:val="24"/>
          <w:szCs w:val="24"/>
          <w:lang w:val="pt-PT"/>
        </w:rPr>
        <w:t>10-0098</w:t>
      </w:r>
      <w:r w:rsidRPr="002A260D">
        <w:rPr>
          <w:sz w:val="24"/>
          <w:szCs w:val="24"/>
          <w:lang w:val="pt-PT"/>
        </w:rPr>
        <w:t>/</w:t>
      </w:r>
      <w:r>
        <w:rPr>
          <w:sz w:val="24"/>
          <w:szCs w:val="24"/>
          <w:lang w:val="pt-PT"/>
        </w:rPr>
        <w:t>2026</w:t>
      </w:r>
      <w:r w:rsidRPr="002A260D">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645B6" w14:textId="77777777" w:rsidR="00064002" w:rsidRPr="00C364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B9740" w14:textId="77777777" w:rsidR="00064002" w:rsidRPr="00C364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D3AA8" w14:textId="77777777" w:rsidR="00064002" w:rsidRPr="00C364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8791132">
    <w:abstractNumId w:val="9"/>
  </w:num>
  <w:num w:numId="2" w16cid:durableId="89159465">
    <w:abstractNumId w:val="9"/>
  </w:num>
  <w:num w:numId="3" w16cid:durableId="1862740647">
    <w:abstractNumId w:val="7"/>
  </w:num>
  <w:num w:numId="4" w16cid:durableId="268322574">
    <w:abstractNumId w:val="7"/>
  </w:num>
  <w:num w:numId="5" w16cid:durableId="943147380">
    <w:abstractNumId w:val="6"/>
  </w:num>
  <w:num w:numId="6" w16cid:durableId="1938446581">
    <w:abstractNumId w:val="6"/>
  </w:num>
  <w:num w:numId="7" w16cid:durableId="1608465997">
    <w:abstractNumId w:val="5"/>
  </w:num>
  <w:num w:numId="8" w16cid:durableId="1367682771">
    <w:abstractNumId w:val="5"/>
  </w:num>
  <w:num w:numId="9" w16cid:durableId="584341396">
    <w:abstractNumId w:val="4"/>
  </w:num>
  <w:num w:numId="10" w16cid:durableId="1842886207">
    <w:abstractNumId w:val="4"/>
  </w:num>
  <w:num w:numId="11" w16cid:durableId="1311013263">
    <w:abstractNumId w:val="8"/>
  </w:num>
  <w:num w:numId="12" w16cid:durableId="1809011013">
    <w:abstractNumId w:val="8"/>
  </w:num>
  <w:num w:numId="13" w16cid:durableId="886143943">
    <w:abstractNumId w:val="3"/>
  </w:num>
  <w:num w:numId="14" w16cid:durableId="925073145">
    <w:abstractNumId w:val="3"/>
  </w:num>
  <w:num w:numId="15" w16cid:durableId="1614479531">
    <w:abstractNumId w:val="2"/>
  </w:num>
  <w:num w:numId="16" w16cid:durableId="2059816168">
    <w:abstractNumId w:val="2"/>
  </w:num>
  <w:num w:numId="17" w16cid:durableId="419714042">
    <w:abstractNumId w:val="1"/>
  </w:num>
  <w:num w:numId="18" w16cid:durableId="83847301">
    <w:abstractNumId w:val="1"/>
  </w:num>
  <w:num w:numId="19" w16cid:durableId="564489698">
    <w:abstractNumId w:val="0"/>
  </w:num>
  <w:num w:numId="20" w16cid:durableId="629550987">
    <w:abstractNumId w:val="0"/>
  </w:num>
  <w:num w:numId="21" w16cid:durableId="1964648166">
    <w:abstractNumId w:val="9"/>
  </w:num>
  <w:num w:numId="22" w16cid:durableId="1924802980">
    <w:abstractNumId w:val="7"/>
  </w:num>
  <w:num w:numId="23" w16cid:durableId="638262273">
    <w:abstractNumId w:val="6"/>
  </w:num>
  <w:num w:numId="24" w16cid:durableId="957874840">
    <w:abstractNumId w:val="5"/>
  </w:num>
  <w:num w:numId="25" w16cid:durableId="34157517">
    <w:abstractNumId w:val="4"/>
  </w:num>
  <w:num w:numId="26" w16cid:durableId="402067657">
    <w:abstractNumId w:val="8"/>
  </w:num>
  <w:num w:numId="27" w16cid:durableId="60104017">
    <w:abstractNumId w:val="3"/>
  </w:num>
  <w:num w:numId="28" w16cid:durableId="463618921">
    <w:abstractNumId w:val="2"/>
  </w:num>
  <w:num w:numId="29" w16cid:durableId="788547025">
    <w:abstractNumId w:val="1"/>
  </w:num>
  <w:num w:numId="30" w16cid:durableId="1041437262">
    <w:abstractNumId w:val="0"/>
  </w:num>
  <w:num w:numId="31" w16cid:durableId="1733918707">
    <w:abstractNumId w:val="9"/>
  </w:num>
  <w:num w:numId="32" w16cid:durableId="613442966">
    <w:abstractNumId w:val="7"/>
  </w:num>
  <w:num w:numId="33" w16cid:durableId="1417478240">
    <w:abstractNumId w:val="6"/>
  </w:num>
  <w:num w:numId="34" w16cid:durableId="732772053">
    <w:abstractNumId w:val="5"/>
  </w:num>
  <w:num w:numId="35" w16cid:durableId="370764517">
    <w:abstractNumId w:val="4"/>
  </w:num>
  <w:num w:numId="36" w16cid:durableId="1085147137">
    <w:abstractNumId w:val="8"/>
  </w:num>
  <w:num w:numId="37" w16cid:durableId="1530945001">
    <w:abstractNumId w:val="3"/>
  </w:num>
  <w:num w:numId="38" w16cid:durableId="669986644">
    <w:abstractNumId w:val="2"/>
  </w:num>
  <w:num w:numId="39" w16cid:durableId="1319335402">
    <w:abstractNumId w:val="1"/>
  </w:num>
  <w:num w:numId="40" w16cid:durableId="1606040073">
    <w:abstractNumId w:val="0"/>
  </w:num>
  <w:num w:numId="41" w16cid:durableId="1377504572">
    <w:abstractNumId w:val="10"/>
  </w:num>
  <w:num w:numId="42" w16cid:durableId="2074693373">
    <w:abstractNumId w:val="10"/>
  </w:num>
  <w:num w:numId="43" w16cid:durableId="1136489281">
    <w:abstractNumId w:val="10"/>
  </w:num>
  <w:num w:numId="44" w16cid:durableId="10275628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PT"/>
    <w:docVar w:name="dvnumam" w:val="10"/>
    <w:docVar w:name="dvpe" w:val="781.492"/>
    <w:docVar w:name="dvrapporteur" w:val="Relatora: "/>
    <w:docVar w:name="dvstar" w:val="***I"/>
    <w:docVar w:name="dvtitre" w:val="Resolução legislativa do Parlamento Europeu, de ... de ... de 2026,_x000d__x000a_ sobre a proposta de decisão do Parlamento Europeu e do Conselho que altera a Decisão (UE) 2015/1814 no respeitante ao funcionamento da reserva de estabilização do mercado para os setores dos edifícios, do transporte rodoviário e outros setores(COM(2025)0738 – C10-0320/2025 – 2025/0380(COD))"/>
  </w:docVars>
  <w:rsids>
    <w:rsidRoot w:val="00BD1C8E"/>
    <w:rsid w:val="00002272"/>
    <w:rsid w:val="00064002"/>
    <w:rsid w:val="000677B9"/>
    <w:rsid w:val="000831BA"/>
    <w:rsid w:val="000A42CC"/>
    <w:rsid w:val="000E7DD9"/>
    <w:rsid w:val="0010095E"/>
    <w:rsid w:val="00112522"/>
    <w:rsid w:val="00125B37"/>
    <w:rsid w:val="00187494"/>
    <w:rsid w:val="001B06E5"/>
    <w:rsid w:val="001C1C7D"/>
    <w:rsid w:val="001F32AE"/>
    <w:rsid w:val="002767FF"/>
    <w:rsid w:val="002A260D"/>
    <w:rsid w:val="002B18FE"/>
    <w:rsid w:val="002B5493"/>
    <w:rsid w:val="003043A0"/>
    <w:rsid w:val="00343214"/>
    <w:rsid w:val="00361C00"/>
    <w:rsid w:val="00395FA1"/>
    <w:rsid w:val="003E15D4"/>
    <w:rsid w:val="00411CCE"/>
    <w:rsid w:val="0041666E"/>
    <w:rsid w:val="00421060"/>
    <w:rsid w:val="00471C19"/>
    <w:rsid w:val="0048219D"/>
    <w:rsid w:val="004867E3"/>
    <w:rsid w:val="00494A28"/>
    <w:rsid w:val="004A1C6C"/>
    <w:rsid w:val="004C0004"/>
    <w:rsid w:val="004C5D52"/>
    <w:rsid w:val="005009CB"/>
    <w:rsid w:val="0050519A"/>
    <w:rsid w:val="005072A1"/>
    <w:rsid w:val="00514517"/>
    <w:rsid w:val="00533141"/>
    <w:rsid w:val="00545827"/>
    <w:rsid w:val="00560270"/>
    <w:rsid w:val="005C2568"/>
    <w:rsid w:val="005F1B17"/>
    <w:rsid w:val="006037C0"/>
    <w:rsid w:val="006631B6"/>
    <w:rsid w:val="00680577"/>
    <w:rsid w:val="00692030"/>
    <w:rsid w:val="006E1A7F"/>
    <w:rsid w:val="006F74FA"/>
    <w:rsid w:val="00731ADD"/>
    <w:rsid w:val="00734777"/>
    <w:rsid w:val="00747932"/>
    <w:rsid w:val="00751A4A"/>
    <w:rsid w:val="00756632"/>
    <w:rsid w:val="00762C74"/>
    <w:rsid w:val="00786EC0"/>
    <w:rsid w:val="007D1690"/>
    <w:rsid w:val="007E22AD"/>
    <w:rsid w:val="0081645C"/>
    <w:rsid w:val="00817416"/>
    <w:rsid w:val="00842779"/>
    <w:rsid w:val="00865F67"/>
    <w:rsid w:val="00881A7B"/>
    <w:rsid w:val="008840E5"/>
    <w:rsid w:val="00887B3E"/>
    <w:rsid w:val="008C2AC6"/>
    <w:rsid w:val="00930C23"/>
    <w:rsid w:val="0093193B"/>
    <w:rsid w:val="009509D8"/>
    <w:rsid w:val="00950B64"/>
    <w:rsid w:val="00974387"/>
    <w:rsid w:val="00981893"/>
    <w:rsid w:val="00A1687D"/>
    <w:rsid w:val="00A43E52"/>
    <w:rsid w:val="00A4678D"/>
    <w:rsid w:val="00A778C7"/>
    <w:rsid w:val="00AB441E"/>
    <w:rsid w:val="00AB6293"/>
    <w:rsid w:val="00AE0928"/>
    <w:rsid w:val="00AF3B82"/>
    <w:rsid w:val="00B12E95"/>
    <w:rsid w:val="00B22876"/>
    <w:rsid w:val="00B558F0"/>
    <w:rsid w:val="00BD1C8E"/>
    <w:rsid w:val="00BD48FE"/>
    <w:rsid w:val="00BD7BD8"/>
    <w:rsid w:val="00BE6ADC"/>
    <w:rsid w:val="00C05BFE"/>
    <w:rsid w:val="00C23CD4"/>
    <w:rsid w:val="00C364B9"/>
    <w:rsid w:val="00C61C0C"/>
    <w:rsid w:val="00C86A3B"/>
    <w:rsid w:val="00C941CB"/>
    <w:rsid w:val="00CC2357"/>
    <w:rsid w:val="00CD54C3"/>
    <w:rsid w:val="00CF071A"/>
    <w:rsid w:val="00D058B8"/>
    <w:rsid w:val="00D56C11"/>
    <w:rsid w:val="00D834A0"/>
    <w:rsid w:val="00D872DF"/>
    <w:rsid w:val="00D91E21"/>
    <w:rsid w:val="00DA7FCD"/>
    <w:rsid w:val="00DF44EA"/>
    <w:rsid w:val="00E31CC1"/>
    <w:rsid w:val="00E365E1"/>
    <w:rsid w:val="00E74EEE"/>
    <w:rsid w:val="00E820A4"/>
    <w:rsid w:val="00EB006A"/>
    <w:rsid w:val="00EB4772"/>
    <w:rsid w:val="00EB7A5F"/>
    <w:rsid w:val="00EC349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1E6B90"/>
  <w15:chartTrackingRefBased/>
  <w15:docId w15:val="{32225A15-7EC9-4C6A-8560-B4C3B280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112522"/>
    <w:pPr>
      <w:spacing w:after="120"/>
    </w:pPr>
  </w:style>
  <w:style w:type="paragraph" w:customStyle="1" w:styleId="NormalBold">
    <w:name w:val="NormalBold"/>
    <w:basedOn w:val="Normal"/>
    <w:link w:val="NormalBoldChar"/>
    <w:rsid w:val="00112522"/>
    <w:rPr>
      <w:b/>
    </w:rPr>
  </w:style>
  <w:style w:type="paragraph" w:customStyle="1" w:styleId="NormalHanging12a">
    <w:name w:val="NormalHanging12a"/>
    <w:basedOn w:val="Normal"/>
    <w:rsid w:val="00112522"/>
    <w:pPr>
      <w:spacing w:after="240"/>
      <w:ind w:left="567" w:hanging="567"/>
    </w:pPr>
  </w:style>
  <w:style w:type="paragraph" w:customStyle="1" w:styleId="AmCrossRef">
    <w:name w:val="AmCrossRef"/>
    <w:basedOn w:val="Normal"/>
    <w:rsid w:val="00112522"/>
    <w:pPr>
      <w:spacing w:before="240" w:after="240"/>
      <w:jc w:val="center"/>
    </w:pPr>
    <w:rPr>
      <w:i/>
    </w:rPr>
  </w:style>
  <w:style w:type="paragraph" w:customStyle="1" w:styleId="AmColumnHeading">
    <w:name w:val="AmColumnHeading"/>
    <w:basedOn w:val="Normal"/>
    <w:rsid w:val="00112522"/>
    <w:pPr>
      <w:spacing w:after="240"/>
      <w:jc w:val="center"/>
    </w:pPr>
    <w:rPr>
      <w:i/>
    </w:rPr>
  </w:style>
  <w:style w:type="paragraph" w:customStyle="1" w:styleId="AmNumberTabs">
    <w:name w:val="AmNumberTabs"/>
    <w:basedOn w:val="Normal"/>
    <w:rsid w:val="001125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112522"/>
    <w:pPr>
      <w:spacing w:before="480" w:after="240"/>
    </w:pPr>
  </w:style>
  <w:style w:type="character" w:styleId="Hyperlink">
    <w:name w:val="Hyperlink"/>
    <w:basedOn w:val="DefaultParagraphFont"/>
    <w:rsid w:val="00112522"/>
    <w:rPr>
      <w:color w:val="0563C1" w:themeColor="hyperlink"/>
      <w:u w:val="single"/>
    </w:rPr>
  </w:style>
  <w:style w:type="character" w:customStyle="1" w:styleId="NormalBoldChar">
    <w:name w:val="NormalBold Char"/>
    <w:basedOn w:val="DefaultParagraphFont"/>
    <w:link w:val="NormalBold"/>
    <w:locked/>
    <w:rsid w:val="00112522"/>
    <w:rPr>
      <w:b/>
      <w:sz w:val="24"/>
      <w:lang w:val="pt-PT"/>
    </w:rPr>
  </w:style>
  <w:style w:type="paragraph" w:styleId="Revision">
    <w:name w:val="Revision"/>
    <w:hidden/>
    <w:uiPriority w:val="99"/>
    <w:semiHidden/>
    <w:rsid w:val="00E74EEE"/>
    <w:rPr>
      <w:sz w:val="24"/>
      <w:lang w:val="pt-PT"/>
    </w:rPr>
  </w:style>
  <w:style w:type="character" w:styleId="CommentReference">
    <w:name w:val="annotation reference"/>
    <w:basedOn w:val="DefaultParagraphFont"/>
    <w:rsid w:val="00E74EEE"/>
    <w:rPr>
      <w:sz w:val="16"/>
      <w:szCs w:val="16"/>
    </w:rPr>
  </w:style>
  <w:style w:type="paragraph" w:styleId="CommentText">
    <w:name w:val="annotation text"/>
    <w:basedOn w:val="Normal"/>
    <w:link w:val="CommentTextChar"/>
    <w:rsid w:val="00E74EEE"/>
    <w:rPr>
      <w:sz w:val="20"/>
    </w:rPr>
  </w:style>
  <w:style w:type="character" w:customStyle="1" w:styleId="CommentTextChar">
    <w:name w:val="Comment Text Char"/>
    <w:basedOn w:val="DefaultParagraphFont"/>
    <w:link w:val="CommentText"/>
    <w:rsid w:val="00E74EEE"/>
    <w:rPr>
      <w:lang w:val="pt-PT"/>
    </w:rPr>
  </w:style>
  <w:style w:type="paragraph" w:styleId="CommentSubject">
    <w:name w:val="annotation subject"/>
    <w:basedOn w:val="CommentText"/>
    <w:next w:val="CommentText"/>
    <w:link w:val="CommentSubjectChar"/>
    <w:rsid w:val="00E74EEE"/>
    <w:rPr>
      <w:b/>
      <w:bCs/>
    </w:rPr>
  </w:style>
  <w:style w:type="character" w:customStyle="1" w:styleId="CommentSubjectChar">
    <w:name w:val="Comment Subject Char"/>
    <w:basedOn w:val="CommentTextChar"/>
    <w:link w:val="CommentSubject"/>
    <w:rsid w:val="00E74EEE"/>
    <w:rPr>
      <w:b/>
      <w:bCs/>
      <w:lang w:val="pt-PT"/>
    </w:rPr>
  </w:style>
  <w:style w:type="character" w:styleId="UnresolvedMention">
    <w:name w:val="Unresolved Mention"/>
    <w:basedOn w:val="DefaultParagraphFont"/>
    <w:uiPriority w:val="99"/>
    <w:semiHidden/>
    <w:unhideWhenUsed/>
    <w:rsid w:val="00E74EEE"/>
    <w:rPr>
      <w:color w:val="605E5C"/>
      <w:shd w:val="clear" w:color="auto" w:fill="E1DFDD"/>
    </w:rPr>
  </w:style>
  <w:style w:type="character" w:styleId="FollowedHyperlink">
    <w:name w:val="FollowedHyperlink"/>
    <w:basedOn w:val="DefaultParagraphFont"/>
    <w:rsid w:val="00E31C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1801</Words>
  <Characters>9834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2026-04-29T13:53:00Z</dcterms:created>
  <dcterms:modified xsi:type="dcterms:W3CDTF">2026-04-29T13:53:00Z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A10-0098/2026</vt:lpwstr>
  </property>
  <property fmtid="{D5CDD505-2E9C-101B-9397-08002B2CF9AE}" pid="4" name="&lt;Type&gt;">
    <vt:lpwstr>RR</vt:lpwstr>
  </property>
</Properties>
</file>