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34D94" w14:paraId="124974B7" w14:textId="77777777" w:rsidTr="0010095E">
        <w:trPr>
          <w:trHeight w:hRule="exact" w:val="1418"/>
        </w:trPr>
        <w:tc>
          <w:tcPr>
            <w:tcW w:w="6804" w:type="dxa"/>
            <w:shd w:val="clear" w:color="auto" w:fill="auto"/>
            <w:vAlign w:val="center"/>
          </w:tcPr>
          <w:p w14:paraId="4B6130CD" w14:textId="0FF90429" w:rsidR="00751A4A" w:rsidRPr="00434D94" w:rsidRDefault="00A402E6" w:rsidP="0010095E">
            <w:pPr>
              <w:pStyle w:val="EPName"/>
            </w:pPr>
            <w:r w:rsidRPr="00434D94">
              <w:t>Evropski parlament</w:t>
            </w:r>
          </w:p>
          <w:p w14:paraId="6A99F546" w14:textId="77777777" w:rsidR="00751A4A" w:rsidRPr="00434D94" w:rsidRDefault="005F1B17" w:rsidP="005F1B17">
            <w:pPr>
              <w:pStyle w:val="EPTerm"/>
              <w:rPr>
                <w:rStyle w:val="HideTWBExt"/>
                <w:noProof w:val="0"/>
                <w:vanish w:val="0"/>
                <w:color w:val="auto"/>
              </w:rPr>
            </w:pPr>
            <w:r w:rsidRPr="00434D94">
              <w:t>2024</w:t>
            </w:r>
            <w:r w:rsidR="00817416" w:rsidRPr="00434D94">
              <w:t>-202</w:t>
            </w:r>
            <w:r w:rsidRPr="00434D94">
              <w:t>9</w:t>
            </w:r>
          </w:p>
        </w:tc>
        <w:tc>
          <w:tcPr>
            <w:tcW w:w="2268" w:type="dxa"/>
            <w:shd w:val="clear" w:color="auto" w:fill="auto"/>
          </w:tcPr>
          <w:p w14:paraId="2F635F3D" w14:textId="77777777" w:rsidR="00751A4A" w:rsidRPr="00434D94" w:rsidRDefault="00187494" w:rsidP="0010095E">
            <w:pPr>
              <w:pStyle w:val="EPLogo"/>
            </w:pPr>
            <w:r w:rsidRPr="00434D94">
              <w:rPr>
                <w:noProof/>
                <w:lang w:eastAsia="ja-JP"/>
              </w:rPr>
              <w:drawing>
                <wp:inline distT="0" distB="0" distL="0" distR="0" wp14:anchorId="56A8DCA8" wp14:editId="27260767">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70F43E2" w14:textId="77777777" w:rsidR="00D058B8" w:rsidRPr="00434D94" w:rsidRDefault="00D058B8" w:rsidP="004C5D52">
      <w:pPr>
        <w:pStyle w:val="LineTop"/>
      </w:pPr>
    </w:p>
    <w:p w14:paraId="0FABFFCF" w14:textId="1C955D83" w:rsidR="00680577" w:rsidRPr="00434D94" w:rsidRDefault="00A402E6" w:rsidP="00680577">
      <w:pPr>
        <w:pStyle w:val="EPBodyTA1"/>
      </w:pPr>
      <w:r w:rsidRPr="00434D94">
        <w:t>SPREJETA BESEDILA</w:t>
      </w:r>
    </w:p>
    <w:p w14:paraId="54815F58" w14:textId="77777777" w:rsidR="00D058B8" w:rsidRPr="00434D94" w:rsidRDefault="00D058B8" w:rsidP="00D058B8">
      <w:pPr>
        <w:pStyle w:val="LineBottom"/>
      </w:pPr>
    </w:p>
    <w:p w14:paraId="1155FACB" w14:textId="664287C0" w:rsidR="00A402E6" w:rsidRPr="00434D94" w:rsidRDefault="00A402E6" w:rsidP="00A402E6">
      <w:pPr>
        <w:pStyle w:val="ATHeading1"/>
      </w:pPr>
      <w:bookmarkStart w:id="0" w:name="TANumber"/>
      <w:r w:rsidRPr="00434D94">
        <w:t>P10_TA(2026)0</w:t>
      </w:r>
      <w:r w:rsidR="009D5902">
        <w:t>139</w:t>
      </w:r>
      <w:bookmarkEnd w:id="0"/>
    </w:p>
    <w:p w14:paraId="796124BB" w14:textId="77777777" w:rsidR="00A402E6" w:rsidRPr="00434D94" w:rsidRDefault="00A402E6" w:rsidP="00A402E6">
      <w:pPr>
        <w:pStyle w:val="ATHeading2"/>
      </w:pPr>
      <w:bookmarkStart w:id="1" w:name="title"/>
      <w:r w:rsidRPr="00434D94">
        <w:t>Rezerva za stabilnost trga za stavbni sektor, sektor cestnega prometa in dodatne sektorje</w:t>
      </w:r>
      <w:bookmarkEnd w:id="1"/>
    </w:p>
    <w:p w14:paraId="1D57C370" w14:textId="77777777" w:rsidR="00A402E6" w:rsidRPr="00434D94" w:rsidRDefault="00A402E6" w:rsidP="00A402E6">
      <w:pPr>
        <w:rPr>
          <w:i/>
          <w:vanish/>
        </w:rPr>
      </w:pPr>
      <w:r w:rsidRPr="00434D94">
        <w:rPr>
          <w:i/>
        </w:rPr>
        <w:fldChar w:fldCharType="begin"/>
      </w:r>
      <w:r w:rsidRPr="00434D94">
        <w:rPr>
          <w:i/>
        </w:rPr>
        <w:instrText xml:space="preserve"> TC"(</w:instrText>
      </w:r>
      <w:bookmarkStart w:id="2" w:name="DocNumber"/>
      <w:r w:rsidRPr="00434D94">
        <w:rPr>
          <w:i/>
        </w:rPr>
        <w:instrText>A10-0098/2026</w:instrText>
      </w:r>
      <w:bookmarkEnd w:id="2"/>
      <w:r w:rsidRPr="00434D94">
        <w:rPr>
          <w:i/>
        </w:rPr>
        <w:instrText xml:space="preserve"> - Poročevalka: </w:instrText>
      </w:r>
      <w:proofErr w:type="spellStart"/>
      <w:r w:rsidRPr="00434D94">
        <w:rPr>
          <w:i/>
        </w:rPr>
        <w:instrText>Danuše</w:instrText>
      </w:r>
      <w:proofErr w:type="spellEnd"/>
      <w:r w:rsidRPr="00434D94">
        <w:rPr>
          <w:i/>
        </w:rPr>
        <w:instrText xml:space="preserve"> Nerudová)"\l3 \n&gt; \* MERGEFORMAT </w:instrText>
      </w:r>
      <w:r w:rsidRPr="00434D94">
        <w:rPr>
          <w:i/>
        </w:rPr>
        <w:fldChar w:fldCharType="end"/>
      </w:r>
    </w:p>
    <w:p w14:paraId="47A553DA" w14:textId="77777777" w:rsidR="00A402E6" w:rsidRPr="00434D94" w:rsidRDefault="00A402E6" w:rsidP="00A402E6">
      <w:pPr>
        <w:rPr>
          <w:vanish/>
        </w:rPr>
      </w:pPr>
      <w:bookmarkStart w:id="3" w:name="Commission"/>
      <w:r w:rsidRPr="00434D94">
        <w:rPr>
          <w:vanish/>
        </w:rPr>
        <w:t>Odbor za okolje, podnebje in varnost hrane</w:t>
      </w:r>
      <w:bookmarkEnd w:id="3"/>
    </w:p>
    <w:p w14:paraId="41F584E6" w14:textId="76B0947E" w:rsidR="00A402E6" w:rsidRPr="00434D94" w:rsidRDefault="00A402E6" w:rsidP="00A402E6">
      <w:pPr>
        <w:rPr>
          <w:vanish/>
        </w:rPr>
      </w:pPr>
      <w:bookmarkStart w:id="4" w:name="PE"/>
      <w:r w:rsidRPr="00434D94">
        <w:rPr>
          <w:vanish/>
        </w:rPr>
        <w:t>PE78</w:t>
      </w:r>
      <w:r w:rsidR="00DF08C8" w:rsidRPr="00434D94">
        <w:rPr>
          <w:vanish/>
        </w:rPr>
        <w:t>3</w:t>
      </w:r>
      <w:r w:rsidRPr="00434D94">
        <w:rPr>
          <w:vanish/>
        </w:rPr>
        <w:t>.</w:t>
      </w:r>
      <w:r w:rsidR="00DF08C8" w:rsidRPr="00434D94">
        <w:rPr>
          <w:vanish/>
        </w:rPr>
        <w:t>023</w:t>
      </w:r>
      <w:bookmarkEnd w:id="4"/>
    </w:p>
    <w:p w14:paraId="70095084" w14:textId="50826F1A" w:rsidR="00A402E6" w:rsidRPr="00434D94" w:rsidRDefault="00434D94" w:rsidP="00A402E6">
      <w:pPr>
        <w:pStyle w:val="ATHeading3"/>
      </w:pPr>
      <w:bookmarkStart w:id="5" w:name="Sujet"/>
      <w:r>
        <w:t>Spremembe</w:t>
      </w:r>
      <w:r w:rsidR="00A402E6" w:rsidRPr="00434D94">
        <w:t xml:space="preserve"> Evropskega parlamenta</w:t>
      </w:r>
      <w:r>
        <w:t>, sprejete</w:t>
      </w:r>
      <w:r w:rsidR="00A402E6" w:rsidRPr="00434D94">
        <w:t xml:space="preserve"> </w:t>
      </w:r>
      <w:r w:rsidR="00DF08C8" w:rsidRPr="00434D94">
        <w:t xml:space="preserve">29. aprila </w:t>
      </w:r>
      <w:r w:rsidR="00A402E6" w:rsidRPr="00434D94">
        <w:t>2026</w:t>
      </w:r>
      <w:r>
        <w:t>,</w:t>
      </w:r>
      <w:r w:rsidR="00A402E6" w:rsidRPr="00434D94">
        <w:t xml:space="preserve"> o predlogu sklepa Evropskega parlamenta in Sveta o spremembi Sklepa (EU) 2015/1814 glede rezerve za stabilnost trga za stavbni sektor, sektor cestnega prometa in dodatne sektorje</w:t>
      </w:r>
      <w:bookmarkEnd w:id="5"/>
      <w:r w:rsidR="00A402E6" w:rsidRPr="00434D94">
        <w:t xml:space="preserve"> </w:t>
      </w:r>
      <w:bookmarkStart w:id="6" w:name="References"/>
      <w:r w:rsidR="00A402E6" w:rsidRPr="00434D94">
        <w:t>(COM(2025)0738 – C10-0320/2025 – 2025/0380(COD))</w:t>
      </w:r>
      <w:bookmarkEnd w:id="6"/>
      <w:r w:rsidR="00CF2664" w:rsidRPr="00577391">
        <w:rPr>
          <w:rStyle w:val="FootnoteReference"/>
          <w:szCs w:val="24"/>
        </w:rPr>
        <w:footnoteReference w:id="1"/>
      </w:r>
    </w:p>
    <w:p w14:paraId="77B3F765" w14:textId="77777777" w:rsidR="005575B7" w:rsidRPr="00434D94" w:rsidRDefault="005575B7" w:rsidP="005575B7">
      <w:pPr>
        <w:pStyle w:val="NormalBold"/>
      </w:pPr>
      <w:r w:rsidRPr="00434D94">
        <w:t>(Redni zakonodajni postopek: prva obravnava)</w:t>
      </w:r>
    </w:p>
    <w:p w14:paraId="4E7C2D69" w14:textId="77777777" w:rsidR="005575B7" w:rsidRPr="00434D94" w:rsidRDefault="005575B7" w:rsidP="005575B7">
      <w:pPr>
        <w:widowControl/>
      </w:pPr>
      <w:r w:rsidRPr="00434D94">
        <w:br w:type="page"/>
      </w:r>
    </w:p>
    <w:p w14:paraId="7CB1B5C9" w14:textId="66962FB1" w:rsidR="005575B7" w:rsidRPr="00434D94" w:rsidRDefault="00434D94" w:rsidP="005575B7">
      <w:pPr>
        <w:pStyle w:val="AmNumberTabs"/>
        <w:keepNext/>
      </w:pPr>
      <w:r w:rsidRPr="00434D94">
        <w:lastRenderedPageBreak/>
        <w:t>Sprememba</w:t>
      </w:r>
      <w:r w:rsidR="005575B7" w:rsidRPr="00434D94">
        <w:tab/>
      </w:r>
      <w:r w:rsidR="005575B7" w:rsidRPr="00434D94">
        <w:tab/>
        <w:t>1</w:t>
      </w:r>
    </w:p>
    <w:p w14:paraId="4897E6E4" w14:textId="77777777" w:rsidR="005575B7" w:rsidRPr="00434D94" w:rsidRDefault="005575B7" w:rsidP="005575B7">
      <w:pPr>
        <w:pStyle w:val="NormalBold"/>
      </w:pPr>
      <w:r w:rsidRPr="00434D94">
        <w:t>Predlog sklepa</w:t>
      </w:r>
    </w:p>
    <w:p w14:paraId="068190DF" w14:textId="77777777" w:rsidR="005575B7" w:rsidRPr="00434D94" w:rsidRDefault="005575B7" w:rsidP="005575B7">
      <w:pPr>
        <w:pStyle w:val="NormalBold"/>
      </w:pPr>
      <w:r w:rsidRPr="00434D94">
        <w:t>Uvodna izjava 1 a (novo)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75B7" w:rsidRPr="00434D94" w14:paraId="08D406C3" w14:textId="77777777" w:rsidTr="00C276FA">
        <w:trPr>
          <w:trHeight w:val="240"/>
          <w:jc w:val="center"/>
        </w:trPr>
        <w:tc>
          <w:tcPr>
            <w:tcW w:w="9752" w:type="dxa"/>
            <w:gridSpan w:val="2"/>
            <w:tcBorders>
              <w:top w:val="nil"/>
              <w:left w:val="nil"/>
              <w:bottom w:val="nil"/>
              <w:right w:val="nil"/>
            </w:tcBorders>
          </w:tcPr>
          <w:p w14:paraId="339F7EE6" w14:textId="77777777" w:rsidR="005575B7" w:rsidRPr="00434D94" w:rsidRDefault="005575B7" w:rsidP="00C276FA"/>
        </w:tc>
      </w:tr>
      <w:tr w:rsidR="005575B7" w:rsidRPr="00434D94" w14:paraId="5CAA0B8F" w14:textId="77777777" w:rsidTr="00C276FA">
        <w:trPr>
          <w:trHeight w:val="240"/>
          <w:jc w:val="center"/>
        </w:trPr>
        <w:tc>
          <w:tcPr>
            <w:tcW w:w="4876" w:type="dxa"/>
            <w:tcBorders>
              <w:top w:val="nil"/>
              <w:left w:val="nil"/>
              <w:bottom w:val="nil"/>
              <w:right w:val="nil"/>
            </w:tcBorders>
            <w:hideMark/>
          </w:tcPr>
          <w:p w14:paraId="49142C13" w14:textId="77777777" w:rsidR="005575B7" w:rsidRPr="00434D94" w:rsidRDefault="005575B7" w:rsidP="00C276FA">
            <w:pPr>
              <w:pStyle w:val="AmColumnHeading"/>
            </w:pPr>
            <w:r w:rsidRPr="00434D94">
              <w:t>Besedilo, ki ga predlaga Komisija</w:t>
            </w:r>
          </w:p>
        </w:tc>
        <w:tc>
          <w:tcPr>
            <w:tcW w:w="4876" w:type="dxa"/>
            <w:tcBorders>
              <w:top w:val="nil"/>
              <w:left w:val="nil"/>
              <w:bottom w:val="nil"/>
              <w:right w:val="nil"/>
            </w:tcBorders>
            <w:hideMark/>
          </w:tcPr>
          <w:p w14:paraId="25EBA873" w14:textId="2AB08679" w:rsidR="005575B7" w:rsidRPr="00434D94" w:rsidRDefault="00434D94" w:rsidP="00C276FA">
            <w:pPr>
              <w:pStyle w:val="AmColumnHeading"/>
            </w:pPr>
            <w:r w:rsidRPr="00434D94">
              <w:t>Sprememba</w:t>
            </w:r>
          </w:p>
        </w:tc>
      </w:tr>
      <w:tr w:rsidR="005575B7" w:rsidRPr="00434D94" w14:paraId="4305BED2" w14:textId="77777777" w:rsidTr="00C276FA">
        <w:trPr>
          <w:jc w:val="center"/>
        </w:trPr>
        <w:tc>
          <w:tcPr>
            <w:tcW w:w="4876" w:type="dxa"/>
            <w:tcBorders>
              <w:top w:val="nil"/>
              <w:left w:val="nil"/>
              <w:bottom w:val="nil"/>
              <w:right w:val="nil"/>
            </w:tcBorders>
          </w:tcPr>
          <w:p w14:paraId="028A473E" w14:textId="77777777" w:rsidR="005575B7" w:rsidRPr="00434D94" w:rsidRDefault="005575B7" w:rsidP="00C276FA">
            <w:pPr>
              <w:pStyle w:val="Normal6a"/>
            </w:pPr>
          </w:p>
        </w:tc>
        <w:tc>
          <w:tcPr>
            <w:tcW w:w="4876" w:type="dxa"/>
            <w:tcBorders>
              <w:top w:val="nil"/>
              <w:left w:val="nil"/>
              <w:bottom w:val="nil"/>
              <w:right w:val="nil"/>
            </w:tcBorders>
            <w:hideMark/>
          </w:tcPr>
          <w:p w14:paraId="0DDBC448" w14:textId="77777777" w:rsidR="005575B7" w:rsidRPr="00434D94" w:rsidRDefault="005575B7" w:rsidP="00C276FA">
            <w:pPr>
              <w:pStyle w:val="Normal6a"/>
            </w:pPr>
            <w:r w:rsidRPr="00434D94">
              <w:rPr>
                <w:b/>
                <w:i/>
              </w:rPr>
              <w:t>(1a)</w:t>
            </w:r>
            <w:r w:rsidRPr="00434D94">
              <w:tab/>
            </w:r>
            <w:r w:rsidRPr="00434D94">
              <w:rPr>
                <w:b/>
                <w:i/>
              </w:rPr>
              <w:t>Evropski svet je v sklepih z dne 12. decembra 2019 podprl cilj, da Unija skladno s cilji Pariškega sporazuma do leta 2050 postane podnebno nevtralna.</w:t>
            </w:r>
          </w:p>
        </w:tc>
      </w:tr>
    </w:tbl>
    <w:p w14:paraId="2F2AE420" w14:textId="51239C62" w:rsidR="005575B7" w:rsidRPr="00434D94" w:rsidRDefault="00434D94" w:rsidP="005575B7">
      <w:pPr>
        <w:pStyle w:val="AmNumberTabs"/>
      </w:pPr>
      <w:r w:rsidRPr="00434D94">
        <w:t>Sprememba</w:t>
      </w:r>
      <w:r w:rsidR="005575B7" w:rsidRPr="00434D94">
        <w:tab/>
      </w:r>
      <w:r w:rsidR="005575B7" w:rsidRPr="00434D94">
        <w:tab/>
        <w:t>2</w:t>
      </w:r>
    </w:p>
    <w:p w14:paraId="1B7E63E3" w14:textId="77777777" w:rsidR="005575B7" w:rsidRPr="00434D94" w:rsidRDefault="005575B7" w:rsidP="005575B7">
      <w:pPr>
        <w:pStyle w:val="NormalBold"/>
      </w:pPr>
      <w:r w:rsidRPr="00434D94">
        <w:t>Predlog sklepa</w:t>
      </w:r>
    </w:p>
    <w:p w14:paraId="5ACAC126" w14:textId="77777777" w:rsidR="005575B7" w:rsidRPr="00434D94" w:rsidRDefault="005575B7" w:rsidP="005575B7">
      <w:pPr>
        <w:pStyle w:val="NormalBold"/>
      </w:pPr>
      <w:r w:rsidRPr="00434D94">
        <w:t>Uvodna izjava 3</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75B7" w:rsidRPr="00434D94" w14:paraId="29C55888" w14:textId="77777777" w:rsidTr="00C276FA">
        <w:trPr>
          <w:trHeight w:val="240"/>
          <w:jc w:val="center"/>
        </w:trPr>
        <w:tc>
          <w:tcPr>
            <w:tcW w:w="9752" w:type="dxa"/>
            <w:gridSpan w:val="2"/>
            <w:tcBorders>
              <w:top w:val="nil"/>
              <w:left w:val="nil"/>
              <w:bottom w:val="nil"/>
              <w:right w:val="nil"/>
            </w:tcBorders>
          </w:tcPr>
          <w:p w14:paraId="2F60A5CC" w14:textId="77777777" w:rsidR="005575B7" w:rsidRPr="00434D94" w:rsidRDefault="005575B7" w:rsidP="00C276FA"/>
        </w:tc>
      </w:tr>
      <w:tr w:rsidR="005575B7" w:rsidRPr="00434D94" w14:paraId="15586863" w14:textId="77777777" w:rsidTr="00C276FA">
        <w:trPr>
          <w:trHeight w:val="240"/>
          <w:jc w:val="center"/>
        </w:trPr>
        <w:tc>
          <w:tcPr>
            <w:tcW w:w="4876" w:type="dxa"/>
            <w:tcBorders>
              <w:top w:val="nil"/>
              <w:left w:val="nil"/>
              <w:bottom w:val="nil"/>
              <w:right w:val="nil"/>
            </w:tcBorders>
            <w:hideMark/>
          </w:tcPr>
          <w:p w14:paraId="12E20F95" w14:textId="77777777" w:rsidR="005575B7" w:rsidRPr="00434D94" w:rsidRDefault="005575B7" w:rsidP="00C276FA">
            <w:pPr>
              <w:pStyle w:val="AmColumnHeading"/>
            </w:pPr>
            <w:r w:rsidRPr="00434D94">
              <w:t>Besedilo, ki ga predlaga Komisija</w:t>
            </w:r>
          </w:p>
        </w:tc>
        <w:tc>
          <w:tcPr>
            <w:tcW w:w="4876" w:type="dxa"/>
            <w:tcBorders>
              <w:top w:val="nil"/>
              <w:left w:val="nil"/>
              <w:bottom w:val="nil"/>
              <w:right w:val="nil"/>
            </w:tcBorders>
            <w:hideMark/>
          </w:tcPr>
          <w:p w14:paraId="057C871F" w14:textId="6F286F9D" w:rsidR="005575B7" w:rsidRPr="00434D94" w:rsidRDefault="00434D94" w:rsidP="00C276FA">
            <w:pPr>
              <w:pStyle w:val="AmColumnHeading"/>
            </w:pPr>
            <w:r w:rsidRPr="00434D94">
              <w:t>Sprememba</w:t>
            </w:r>
          </w:p>
        </w:tc>
      </w:tr>
      <w:tr w:rsidR="005575B7" w:rsidRPr="00434D94" w14:paraId="2C1542F1" w14:textId="77777777" w:rsidTr="00C276FA">
        <w:trPr>
          <w:jc w:val="center"/>
        </w:trPr>
        <w:tc>
          <w:tcPr>
            <w:tcW w:w="4876" w:type="dxa"/>
            <w:tcBorders>
              <w:top w:val="nil"/>
              <w:left w:val="nil"/>
              <w:bottom w:val="nil"/>
              <w:right w:val="nil"/>
            </w:tcBorders>
            <w:hideMark/>
          </w:tcPr>
          <w:p w14:paraId="7BA9534F" w14:textId="77777777" w:rsidR="005575B7" w:rsidRPr="00434D94" w:rsidRDefault="005575B7" w:rsidP="00C276FA">
            <w:pPr>
              <w:pStyle w:val="Normal6a"/>
            </w:pPr>
            <w:r w:rsidRPr="00434D94">
              <w:t>(3)</w:t>
            </w:r>
            <w:r w:rsidRPr="00434D94">
              <w:tab/>
              <w:t>Analiza pričakovanega delovanja rezerve ob upoštevanju nedavnih informacij kaže, da bi ciljno usmerjene spremembe nekaterih parametrov prispevale k izboljšanju predvidljivosti trga in stabilnosti gibanja cen v prvih letih novega sistema.</w:t>
            </w:r>
          </w:p>
        </w:tc>
        <w:tc>
          <w:tcPr>
            <w:tcW w:w="4876" w:type="dxa"/>
            <w:tcBorders>
              <w:top w:val="nil"/>
              <w:left w:val="nil"/>
              <w:bottom w:val="nil"/>
              <w:right w:val="nil"/>
            </w:tcBorders>
            <w:hideMark/>
          </w:tcPr>
          <w:p w14:paraId="29EE0A7E" w14:textId="77777777" w:rsidR="005575B7" w:rsidRPr="00434D94" w:rsidRDefault="005575B7" w:rsidP="00C276FA">
            <w:pPr>
              <w:pStyle w:val="Normal6a"/>
            </w:pPr>
            <w:r w:rsidRPr="00434D94">
              <w:t>(3)</w:t>
            </w:r>
            <w:r w:rsidRPr="00434D94">
              <w:tab/>
              <w:t xml:space="preserve">Analiza pričakovanega delovanja rezerve ob upoštevanju nedavnih informacij kaže, da bi ciljno usmerjene spremembe nekaterih parametrov prispevale k izboljšanju predvidljivosti trga in stabilnosti gibanja cen v prvih letih novega sistema. </w:t>
            </w:r>
            <w:r w:rsidRPr="00434D94">
              <w:rPr>
                <w:b/>
                <w:i/>
              </w:rPr>
              <w:t>Da te spremembe ne bi ovirale prizadevanj Unije za razogljičenje, so potrebni nadaljnji ukrepi držav članic. Po navedbah Evropske centralne banke so zelene naložbe v Uniji še vedno pod ravnjo, ki bi bila potrebna za uresničitev cilja glede razogljičenja za leto 2030. Zato morajo biti države članice še naprej pozorne na tveganje vrzeli v zelenem financiranju.</w:t>
            </w:r>
          </w:p>
        </w:tc>
      </w:tr>
    </w:tbl>
    <w:p w14:paraId="47EFB511" w14:textId="7D4ED849" w:rsidR="005575B7" w:rsidRPr="00434D94" w:rsidRDefault="00434D94" w:rsidP="005575B7">
      <w:pPr>
        <w:pStyle w:val="AmNumberTabs"/>
      </w:pPr>
      <w:r w:rsidRPr="00434D94">
        <w:t>Sprememba</w:t>
      </w:r>
      <w:r w:rsidR="005575B7" w:rsidRPr="00434D94">
        <w:tab/>
      </w:r>
      <w:r w:rsidR="005575B7" w:rsidRPr="00434D94">
        <w:tab/>
        <w:t>3</w:t>
      </w:r>
    </w:p>
    <w:p w14:paraId="52022F7B" w14:textId="77777777" w:rsidR="005575B7" w:rsidRPr="00434D94" w:rsidRDefault="005575B7" w:rsidP="005575B7">
      <w:pPr>
        <w:pStyle w:val="NormalBold"/>
      </w:pPr>
      <w:r w:rsidRPr="00434D94">
        <w:t>Predlog sklepa</w:t>
      </w:r>
    </w:p>
    <w:p w14:paraId="38E46783" w14:textId="77777777" w:rsidR="005575B7" w:rsidRPr="00434D94" w:rsidRDefault="005575B7" w:rsidP="005575B7">
      <w:pPr>
        <w:pStyle w:val="NormalBold"/>
      </w:pPr>
      <w:r w:rsidRPr="00434D94">
        <w:t>Uvodna izjava 3 a (novo)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75B7" w:rsidRPr="00434D94" w14:paraId="6BAE8597" w14:textId="77777777" w:rsidTr="00C276FA">
        <w:trPr>
          <w:trHeight w:val="240"/>
          <w:jc w:val="center"/>
        </w:trPr>
        <w:tc>
          <w:tcPr>
            <w:tcW w:w="9752" w:type="dxa"/>
            <w:gridSpan w:val="2"/>
            <w:tcBorders>
              <w:top w:val="nil"/>
              <w:left w:val="nil"/>
              <w:bottom w:val="nil"/>
              <w:right w:val="nil"/>
            </w:tcBorders>
          </w:tcPr>
          <w:p w14:paraId="2D63E0A9" w14:textId="77777777" w:rsidR="005575B7" w:rsidRPr="00434D94" w:rsidRDefault="005575B7" w:rsidP="00C276FA"/>
        </w:tc>
      </w:tr>
      <w:tr w:rsidR="005575B7" w:rsidRPr="00434D94" w14:paraId="36F8E917" w14:textId="77777777" w:rsidTr="00C276FA">
        <w:trPr>
          <w:trHeight w:val="240"/>
          <w:jc w:val="center"/>
        </w:trPr>
        <w:tc>
          <w:tcPr>
            <w:tcW w:w="4876" w:type="dxa"/>
            <w:tcBorders>
              <w:top w:val="nil"/>
              <w:left w:val="nil"/>
              <w:bottom w:val="nil"/>
              <w:right w:val="nil"/>
            </w:tcBorders>
            <w:hideMark/>
          </w:tcPr>
          <w:p w14:paraId="2147D5AA" w14:textId="77777777" w:rsidR="005575B7" w:rsidRPr="00434D94" w:rsidRDefault="005575B7" w:rsidP="00C276FA">
            <w:pPr>
              <w:pStyle w:val="AmColumnHeading"/>
            </w:pPr>
            <w:r w:rsidRPr="00434D94">
              <w:t>Besedilo, ki ga predlaga Komisija</w:t>
            </w:r>
          </w:p>
        </w:tc>
        <w:tc>
          <w:tcPr>
            <w:tcW w:w="4876" w:type="dxa"/>
            <w:tcBorders>
              <w:top w:val="nil"/>
              <w:left w:val="nil"/>
              <w:bottom w:val="nil"/>
              <w:right w:val="nil"/>
            </w:tcBorders>
            <w:hideMark/>
          </w:tcPr>
          <w:p w14:paraId="5BDC8C22" w14:textId="54CC6B45" w:rsidR="005575B7" w:rsidRPr="00434D94" w:rsidRDefault="00434D94" w:rsidP="00C276FA">
            <w:pPr>
              <w:pStyle w:val="AmColumnHeading"/>
            </w:pPr>
            <w:r w:rsidRPr="00434D94">
              <w:t>Sprememba</w:t>
            </w:r>
          </w:p>
        </w:tc>
      </w:tr>
      <w:tr w:rsidR="005575B7" w:rsidRPr="00434D94" w14:paraId="2887035A" w14:textId="77777777" w:rsidTr="00C276FA">
        <w:trPr>
          <w:jc w:val="center"/>
        </w:trPr>
        <w:tc>
          <w:tcPr>
            <w:tcW w:w="4876" w:type="dxa"/>
            <w:tcBorders>
              <w:top w:val="nil"/>
              <w:left w:val="nil"/>
              <w:bottom w:val="nil"/>
              <w:right w:val="nil"/>
            </w:tcBorders>
          </w:tcPr>
          <w:p w14:paraId="0612F10C" w14:textId="77777777" w:rsidR="005575B7" w:rsidRPr="00434D94" w:rsidRDefault="005575B7" w:rsidP="00C276FA">
            <w:pPr>
              <w:pStyle w:val="Normal6a"/>
            </w:pPr>
          </w:p>
        </w:tc>
        <w:tc>
          <w:tcPr>
            <w:tcW w:w="4876" w:type="dxa"/>
            <w:tcBorders>
              <w:top w:val="nil"/>
              <w:left w:val="nil"/>
              <w:bottom w:val="nil"/>
              <w:right w:val="nil"/>
            </w:tcBorders>
            <w:hideMark/>
          </w:tcPr>
          <w:p w14:paraId="1FB61D19" w14:textId="77777777" w:rsidR="005575B7" w:rsidRPr="00434D94" w:rsidRDefault="005575B7" w:rsidP="00C276FA">
            <w:pPr>
              <w:pStyle w:val="Normal6a"/>
            </w:pPr>
            <w:r w:rsidRPr="00434D94">
              <w:rPr>
                <w:b/>
                <w:i/>
              </w:rPr>
              <w:t>(3a)</w:t>
            </w:r>
            <w:r w:rsidRPr="00434D94">
              <w:tab/>
            </w:r>
            <w:r w:rsidRPr="00434D94">
              <w:rPr>
                <w:b/>
                <w:i/>
              </w:rPr>
              <w:t xml:space="preserve">Izvajanje sistema trgovanja z emisijami za stavbni sektor, sektor cestnega prometa in dodatne sektorje morajo spremljati dopolnilni ukrepi za razogljičenje, s katerimi se lahko najučinkoviteje pomaga gospodinjstvom zmanjšati odvisnost od fosilnih goriv in tako ublaži učinek ETS2 na potrošnike glede na to, da je povpraševanje po gorivu v stavbnem in prometnem sektorju </w:t>
            </w:r>
            <w:r w:rsidRPr="00434D94">
              <w:rPr>
                <w:b/>
                <w:i/>
              </w:rPr>
              <w:lastRenderedPageBreak/>
              <w:t>kratkoročno pretežno neelastično. Države članice morajo prihodke od prodaje pravic na dražbi uporabiti za namene v skladu s členom 30d(6) Direktive 2003/87/ES, pri čemer dajo prednost dejavnostim, ki lahko prispevajo k obravnavi socialnih vidikov trgovanja z emisijami v okviru ETS2. Zato bi bilo primerno, da države članice prihodke od prodaje pravic, sproščenih iz rezerve, na dražbi uporabijo za dopolnitev svojih socialnih načrtov za podnebje. Enako pomembno je, da Komisija svojo analizo končnih posodobljenih nacionalnih energetskih in podnebnih načrtov dopolni tako, da za vsako državo članico opredeli sektorske ukrepe za razogljičenje in boljšo uporabo prihodkov iz ETS, ki bi lahko pripomogli k zmanjšanju povpraševanja po pravicah ETS2. Pomembno je tudi okrepiti instrument EIB za predhodno financiranje in razmisliti o dodatnih ukrepih za povečanje proračuna Socialnega sklada za podnebje, da se gospodinjstvom zagotovi pravočasna finančna podpora na ravni, ki odraža razvoj cen ETS2. Komisija mora razmisliti o podaljšanju trajanja Socialnega sklada za podnebje.</w:t>
            </w:r>
          </w:p>
        </w:tc>
      </w:tr>
    </w:tbl>
    <w:p w14:paraId="16D4A7C8" w14:textId="413C0E8F" w:rsidR="005575B7" w:rsidRPr="00434D94" w:rsidRDefault="00434D94" w:rsidP="005575B7">
      <w:pPr>
        <w:pStyle w:val="AmNumberTabs"/>
      </w:pPr>
      <w:r w:rsidRPr="00434D94">
        <w:lastRenderedPageBreak/>
        <w:t>Sprememba</w:t>
      </w:r>
      <w:r w:rsidR="005575B7" w:rsidRPr="00434D94">
        <w:tab/>
      </w:r>
      <w:r w:rsidR="005575B7" w:rsidRPr="00434D94">
        <w:tab/>
        <w:t>4</w:t>
      </w:r>
    </w:p>
    <w:p w14:paraId="7735727A" w14:textId="77777777" w:rsidR="005575B7" w:rsidRPr="00434D94" w:rsidRDefault="005575B7" w:rsidP="005575B7">
      <w:pPr>
        <w:pStyle w:val="NormalBold"/>
      </w:pPr>
      <w:r w:rsidRPr="00434D94">
        <w:t>Predlog sklepa</w:t>
      </w:r>
    </w:p>
    <w:p w14:paraId="5875B5D1" w14:textId="77777777" w:rsidR="005575B7" w:rsidRPr="00434D94" w:rsidRDefault="005575B7" w:rsidP="005575B7">
      <w:pPr>
        <w:pStyle w:val="NormalBold"/>
      </w:pPr>
      <w:r w:rsidRPr="00434D94">
        <w:t>Uvodna izjava 4</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75B7" w:rsidRPr="00434D94" w14:paraId="7321B924" w14:textId="77777777" w:rsidTr="00C276FA">
        <w:trPr>
          <w:trHeight w:val="240"/>
          <w:jc w:val="center"/>
        </w:trPr>
        <w:tc>
          <w:tcPr>
            <w:tcW w:w="9752" w:type="dxa"/>
            <w:gridSpan w:val="2"/>
            <w:tcBorders>
              <w:top w:val="nil"/>
              <w:left w:val="nil"/>
              <w:bottom w:val="nil"/>
              <w:right w:val="nil"/>
            </w:tcBorders>
          </w:tcPr>
          <w:p w14:paraId="36CD0ABD" w14:textId="77777777" w:rsidR="005575B7" w:rsidRPr="00434D94" w:rsidRDefault="005575B7" w:rsidP="00C276FA"/>
        </w:tc>
      </w:tr>
      <w:tr w:rsidR="005575B7" w:rsidRPr="00434D94" w14:paraId="06B7DA43" w14:textId="77777777" w:rsidTr="00C276FA">
        <w:trPr>
          <w:trHeight w:val="240"/>
          <w:jc w:val="center"/>
        </w:trPr>
        <w:tc>
          <w:tcPr>
            <w:tcW w:w="4876" w:type="dxa"/>
            <w:tcBorders>
              <w:top w:val="nil"/>
              <w:left w:val="nil"/>
              <w:bottom w:val="nil"/>
              <w:right w:val="nil"/>
            </w:tcBorders>
            <w:hideMark/>
          </w:tcPr>
          <w:p w14:paraId="6FC89B07" w14:textId="77777777" w:rsidR="005575B7" w:rsidRPr="00434D94" w:rsidRDefault="005575B7" w:rsidP="00C276FA">
            <w:pPr>
              <w:pStyle w:val="AmColumnHeading"/>
            </w:pPr>
            <w:r w:rsidRPr="00434D94">
              <w:t>Besedilo, ki ga predlaga Komisija</w:t>
            </w:r>
          </w:p>
        </w:tc>
        <w:tc>
          <w:tcPr>
            <w:tcW w:w="4876" w:type="dxa"/>
            <w:tcBorders>
              <w:top w:val="nil"/>
              <w:left w:val="nil"/>
              <w:bottom w:val="nil"/>
              <w:right w:val="nil"/>
            </w:tcBorders>
            <w:hideMark/>
          </w:tcPr>
          <w:p w14:paraId="7DF04C9B" w14:textId="38074B48" w:rsidR="005575B7" w:rsidRPr="00434D94" w:rsidRDefault="00434D94" w:rsidP="00C276FA">
            <w:pPr>
              <w:pStyle w:val="AmColumnHeading"/>
            </w:pPr>
            <w:r w:rsidRPr="00434D94">
              <w:t>Sprememba</w:t>
            </w:r>
          </w:p>
        </w:tc>
      </w:tr>
      <w:tr w:rsidR="005575B7" w:rsidRPr="00434D94" w14:paraId="1C81D831" w14:textId="77777777" w:rsidTr="00C276FA">
        <w:trPr>
          <w:jc w:val="center"/>
        </w:trPr>
        <w:tc>
          <w:tcPr>
            <w:tcW w:w="4876" w:type="dxa"/>
            <w:tcBorders>
              <w:top w:val="nil"/>
              <w:left w:val="nil"/>
              <w:bottom w:val="nil"/>
              <w:right w:val="nil"/>
            </w:tcBorders>
            <w:hideMark/>
          </w:tcPr>
          <w:p w14:paraId="563CEADF" w14:textId="77777777" w:rsidR="005575B7" w:rsidRPr="00434D94" w:rsidRDefault="005575B7" w:rsidP="00C276FA">
            <w:pPr>
              <w:pStyle w:val="Normal6a"/>
            </w:pPr>
            <w:r w:rsidRPr="00434D94">
              <w:t>(4)</w:t>
            </w:r>
            <w:r w:rsidRPr="00434D94">
              <w:tab/>
              <w:t xml:space="preserve">Da bi povečali dolgoročno predvidljivost trga, bi morale pravice, vključene v rezervo za stavbni sektor, sektor cestnega prometa in dodatne sektorje, ki niso bile sproščene, ostati veljavne tudi </w:t>
            </w:r>
            <w:r w:rsidRPr="00434D94">
              <w:rPr>
                <w:b/>
                <w:i/>
              </w:rPr>
              <w:t>po</w:t>
            </w:r>
            <w:r w:rsidRPr="00434D94">
              <w:t xml:space="preserve"> 31. </w:t>
            </w:r>
            <w:r w:rsidRPr="00434D94">
              <w:rPr>
                <w:b/>
                <w:i/>
              </w:rPr>
              <w:t>decembru 2030</w:t>
            </w:r>
            <w:r w:rsidRPr="00434D94">
              <w:t>.</w:t>
            </w:r>
          </w:p>
        </w:tc>
        <w:tc>
          <w:tcPr>
            <w:tcW w:w="4876" w:type="dxa"/>
            <w:tcBorders>
              <w:top w:val="nil"/>
              <w:left w:val="nil"/>
              <w:bottom w:val="nil"/>
              <w:right w:val="nil"/>
            </w:tcBorders>
            <w:hideMark/>
          </w:tcPr>
          <w:p w14:paraId="7A0B3F21" w14:textId="77777777" w:rsidR="005575B7" w:rsidRPr="00434D94" w:rsidRDefault="005575B7" w:rsidP="00C276FA">
            <w:pPr>
              <w:pStyle w:val="Normal6a"/>
            </w:pPr>
            <w:r w:rsidRPr="00434D94">
              <w:t>(4)</w:t>
            </w:r>
            <w:r w:rsidRPr="00434D94">
              <w:tab/>
              <w:t xml:space="preserve">Da bi povečali dolgoročno predvidljivost trga, bi morale pravice, vključene v rezervo za stavbni sektor, sektor cestnega prometa in dodatne sektorje, ki niso bile sproščene, ostati veljavne </w:t>
            </w:r>
            <w:r w:rsidRPr="00434D94">
              <w:rPr>
                <w:b/>
                <w:i/>
              </w:rPr>
              <w:t>do 31. decembra 2033, deloma pa</w:t>
            </w:r>
            <w:r w:rsidRPr="00434D94">
              <w:t xml:space="preserve"> tudi </w:t>
            </w:r>
            <w:r w:rsidRPr="00434D94">
              <w:rPr>
                <w:b/>
                <w:i/>
              </w:rPr>
              <w:t>do</w:t>
            </w:r>
            <w:r w:rsidRPr="00434D94">
              <w:t xml:space="preserve"> 31. </w:t>
            </w:r>
            <w:r w:rsidRPr="00434D94">
              <w:rPr>
                <w:b/>
                <w:i/>
              </w:rPr>
              <w:t>decembra 2035.</w:t>
            </w:r>
            <w:r w:rsidRPr="00434D94">
              <w:t xml:space="preserve"> </w:t>
            </w:r>
            <w:r w:rsidRPr="00434D94">
              <w:rPr>
                <w:b/>
                <w:i/>
              </w:rPr>
              <w:t xml:space="preserve">Komisija bi morala v štirih letih po začetku delovanja ETS2 izvesti oceno učinka, vključno z oceno distribucijskega učinka, ter oceno </w:t>
            </w:r>
            <w:proofErr w:type="spellStart"/>
            <w:r w:rsidRPr="00434D94">
              <w:rPr>
                <w:b/>
                <w:i/>
              </w:rPr>
              <w:t>okoljskega</w:t>
            </w:r>
            <w:proofErr w:type="spellEnd"/>
            <w:r w:rsidRPr="00434D94">
              <w:rPr>
                <w:b/>
                <w:i/>
              </w:rPr>
              <w:t>, socialnega in gospodarskega učinka preostalih pravic v rezervi.</w:t>
            </w:r>
          </w:p>
        </w:tc>
      </w:tr>
    </w:tbl>
    <w:p w14:paraId="51BC88D8" w14:textId="0ADFE000" w:rsidR="005575B7" w:rsidRPr="00434D94" w:rsidRDefault="00434D94" w:rsidP="005575B7">
      <w:pPr>
        <w:pStyle w:val="AmNumberTabs"/>
      </w:pPr>
      <w:r w:rsidRPr="00434D94">
        <w:t>Sprememba</w:t>
      </w:r>
      <w:r w:rsidR="005575B7" w:rsidRPr="00434D94">
        <w:tab/>
      </w:r>
      <w:r w:rsidR="005575B7" w:rsidRPr="00434D94">
        <w:tab/>
        <w:t>5</w:t>
      </w:r>
    </w:p>
    <w:p w14:paraId="48DA9F8F" w14:textId="77777777" w:rsidR="005575B7" w:rsidRPr="00434D94" w:rsidRDefault="005575B7" w:rsidP="005575B7">
      <w:pPr>
        <w:pStyle w:val="NormalBold"/>
      </w:pPr>
      <w:r w:rsidRPr="00434D94">
        <w:lastRenderedPageBreak/>
        <w:t>Predlog sklepa</w:t>
      </w:r>
    </w:p>
    <w:p w14:paraId="062809AB" w14:textId="77777777" w:rsidR="005575B7" w:rsidRPr="00434D94" w:rsidRDefault="005575B7" w:rsidP="005575B7">
      <w:pPr>
        <w:pStyle w:val="NormalBold"/>
      </w:pPr>
      <w:r w:rsidRPr="00434D94">
        <w:t>Uvodna izjava 6</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75B7" w:rsidRPr="00434D94" w14:paraId="43D1F31E" w14:textId="77777777" w:rsidTr="00C276FA">
        <w:trPr>
          <w:trHeight w:val="240"/>
          <w:jc w:val="center"/>
        </w:trPr>
        <w:tc>
          <w:tcPr>
            <w:tcW w:w="9752" w:type="dxa"/>
            <w:gridSpan w:val="2"/>
            <w:tcBorders>
              <w:top w:val="nil"/>
              <w:left w:val="nil"/>
              <w:bottom w:val="nil"/>
              <w:right w:val="nil"/>
            </w:tcBorders>
          </w:tcPr>
          <w:p w14:paraId="49079AFF" w14:textId="77777777" w:rsidR="005575B7" w:rsidRPr="00434D94" w:rsidRDefault="005575B7" w:rsidP="00C276FA"/>
        </w:tc>
      </w:tr>
      <w:tr w:rsidR="005575B7" w:rsidRPr="00434D94" w14:paraId="59A85E6A" w14:textId="77777777" w:rsidTr="00C276FA">
        <w:trPr>
          <w:trHeight w:val="240"/>
          <w:jc w:val="center"/>
        </w:trPr>
        <w:tc>
          <w:tcPr>
            <w:tcW w:w="4876" w:type="dxa"/>
            <w:tcBorders>
              <w:top w:val="nil"/>
              <w:left w:val="nil"/>
              <w:bottom w:val="nil"/>
              <w:right w:val="nil"/>
            </w:tcBorders>
            <w:hideMark/>
          </w:tcPr>
          <w:p w14:paraId="68688E80" w14:textId="77777777" w:rsidR="005575B7" w:rsidRPr="00434D94" w:rsidRDefault="005575B7" w:rsidP="00C276FA">
            <w:pPr>
              <w:pStyle w:val="AmColumnHeading"/>
            </w:pPr>
            <w:r w:rsidRPr="00434D94">
              <w:t>Besedilo, ki ga predlaga Komisija</w:t>
            </w:r>
          </w:p>
        </w:tc>
        <w:tc>
          <w:tcPr>
            <w:tcW w:w="4876" w:type="dxa"/>
            <w:tcBorders>
              <w:top w:val="nil"/>
              <w:left w:val="nil"/>
              <w:bottom w:val="nil"/>
              <w:right w:val="nil"/>
            </w:tcBorders>
            <w:hideMark/>
          </w:tcPr>
          <w:p w14:paraId="0E2FC515" w14:textId="49A1277B" w:rsidR="005575B7" w:rsidRPr="00434D94" w:rsidRDefault="00434D94" w:rsidP="00C276FA">
            <w:pPr>
              <w:pStyle w:val="AmColumnHeading"/>
            </w:pPr>
            <w:r w:rsidRPr="00434D94">
              <w:t>Sprememba</w:t>
            </w:r>
          </w:p>
        </w:tc>
      </w:tr>
      <w:tr w:rsidR="005575B7" w:rsidRPr="00434D94" w14:paraId="5F1C867F" w14:textId="77777777" w:rsidTr="00C276FA">
        <w:trPr>
          <w:jc w:val="center"/>
        </w:trPr>
        <w:tc>
          <w:tcPr>
            <w:tcW w:w="4876" w:type="dxa"/>
            <w:tcBorders>
              <w:top w:val="nil"/>
              <w:left w:val="nil"/>
              <w:bottom w:val="nil"/>
              <w:right w:val="nil"/>
            </w:tcBorders>
            <w:hideMark/>
          </w:tcPr>
          <w:p w14:paraId="2B3AF3A8" w14:textId="77777777" w:rsidR="005575B7" w:rsidRPr="00434D94" w:rsidRDefault="005575B7" w:rsidP="00C276FA">
            <w:pPr>
              <w:pStyle w:val="Normal6a"/>
            </w:pPr>
            <w:r w:rsidRPr="00434D94">
              <w:t>(6)</w:t>
            </w:r>
            <w:r w:rsidRPr="00434D94">
              <w:tab/>
              <w:t>Za nadaljnje izboljšanje njegove odzivnosti na neupravičena nihanja cen in povečanje predvidljivosti trga bi bilo treba skrbno okrepiti mehanizem za krepitev stabilnosti cen v prvih treh letih sistema trgovanja z emisijami za stavbni sektor, sektor cestnega prometa in dodatne sektorje. To bi lahko vključevalo sprostitev večje količine pravic na trgu. Če se ukrep uporabi dvakrat v istem 12-mesečnem obdobju, bi bilo treba dodatno sproščanje izvesti dvakrat.</w:t>
            </w:r>
          </w:p>
        </w:tc>
        <w:tc>
          <w:tcPr>
            <w:tcW w:w="4876" w:type="dxa"/>
            <w:tcBorders>
              <w:top w:val="nil"/>
              <w:left w:val="nil"/>
              <w:bottom w:val="nil"/>
              <w:right w:val="nil"/>
            </w:tcBorders>
            <w:hideMark/>
          </w:tcPr>
          <w:p w14:paraId="0FA24422" w14:textId="77777777" w:rsidR="005575B7" w:rsidRPr="00434D94" w:rsidRDefault="005575B7" w:rsidP="00C276FA">
            <w:pPr>
              <w:pStyle w:val="Normal6a"/>
            </w:pPr>
            <w:r w:rsidRPr="00434D94">
              <w:t>(6)</w:t>
            </w:r>
            <w:r w:rsidRPr="00434D94">
              <w:tab/>
              <w:t xml:space="preserve">Za nadaljnje izboljšanje njegove odzivnosti na neupravičena nihanja cen in povečanje predvidljivosti trga bi bilo treba skrbno okrepiti mehanizem za krepitev stabilnosti cen v prvih treh letih sistema trgovanja z emisijami za stavbni sektor, sektor cestnega prometa in dodatne sektorje. To bi lahko vključevalo sprostitev večje količine pravic na trgu </w:t>
            </w:r>
            <w:r w:rsidRPr="00434D94">
              <w:rPr>
                <w:b/>
                <w:i/>
              </w:rPr>
              <w:t>brez odlašanja</w:t>
            </w:r>
            <w:r w:rsidRPr="00434D94">
              <w:t>. Če se ukrep uporabi dvakrat v istem 12-mesečnem obdobju, bi bilo treba dodatno sproščanje izvesti dvakrat.</w:t>
            </w:r>
          </w:p>
        </w:tc>
      </w:tr>
    </w:tbl>
    <w:p w14:paraId="673B3E98" w14:textId="46747E76" w:rsidR="005575B7" w:rsidRPr="00434D94" w:rsidRDefault="00434D94" w:rsidP="005575B7">
      <w:pPr>
        <w:pStyle w:val="AmNumberTabs"/>
      </w:pPr>
      <w:r w:rsidRPr="00434D94">
        <w:t>Sprememba</w:t>
      </w:r>
      <w:r w:rsidR="005575B7" w:rsidRPr="00434D94">
        <w:tab/>
      </w:r>
      <w:r w:rsidR="005575B7" w:rsidRPr="00434D94">
        <w:tab/>
        <w:t>6</w:t>
      </w:r>
    </w:p>
    <w:p w14:paraId="66DD3CC9" w14:textId="77777777" w:rsidR="005575B7" w:rsidRPr="00434D94" w:rsidRDefault="005575B7" w:rsidP="005575B7">
      <w:pPr>
        <w:pStyle w:val="NormalBold"/>
      </w:pPr>
      <w:r w:rsidRPr="00434D94">
        <w:t>Predlog sklepa</w:t>
      </w:r>
    </w:p>
    <w:p w14:paraId="5071D69E" w14:textId="77777777" w:rsidR="005575B7" w:rsidRPr="00434D94" w:rsidRDefault="005575B7" w:rsidP="005575B7">
      <w:pPr>
        <w:pStyle w:val="NormalBold"/>
      </w:pPr>
      <w:r w:rsidRPr="00434D94">
        <w:t>Uvodna izjava 6 a (novo)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75B7" w:rsidRPr="00434D94" w14:paraId="40D291B2" w14:textId="77777777" w:rsidTr="00C276FA">
        <w:trPr>
          <w:trHeight w:val="240"/>
          <w:jc w:val="center"/>
        </w:trPr>
        <w:tc>
          <w:tcPr>
            <w:tcW w:w="9752" w:type="dxa"/>
            <w:gridSpan w:val="2"/>
            <w:tcBorders>
              <w:top w:val="nil"/>
              <w:left w:val="nil"/>
              <w:bottom w:val="nil"/>
              <w:right w:val="nil"/>
            </w:tcBorders>
          </w:tcPr>
          <w:p w14:paraId="3A433EF2" w14:textId="77777777" w:rsidR="005575B7" w:rsidRPr="00434D94" w:rsidRDefault="005575B7" w:rsidP="00C276FA"/>
        </w:tc>
      </w:tr>
      <w:tr w:rsidR="005575B7" w:rsidRPr="00434D94" w14:paraId="1374B582" w14:textId="77777777" w:rsidTr="00C276FA">
        <w:trPr>
          <w:trHeight w:val="240"/>
          <w:jc w:val="center"/>
        </w:trPr>
        <w:tc>
          <w:tcPr>
            <w:tcW w:w="4876" w:type="dxa"/>
            <w:tcBorders>
              <w:top w:val="nil"/>
              <w:left w:val="nil"/>
              <w:bottom w:val="nil"/>
              <w:right w:val="nil"/>
            </w:tcBorders>
            <w:hideMark/>
          </w:tcPr>
          <w:p w14:paraId="692C33F3" w14:textId="77777777" w:rsidR="005575B7" w:rsidRPr="00434D94" w:rsidRDefault="005575B7" w:rsidP="00C276FA">
            <w:pPr>
              <w:pStyle w:val="AmColumnHeading"/>
            </w:pPr>
            <w:r w:rsidRPr="00434D94">
              <w:t>Besedilo, ki ga predlaga Komisija</w:t>
            </w:r>
          </w:p>
        </w:tc>
        <w:tc>
          <w:tcPr>
            <w:tcW w:w="4876" w:type="dxa"/>
            <w:tcBorders>
              <w:top w:val="nil"/>
              <w:left w:val="nil"/>
              <w:bottom w:val="nil"/>
              <w:right w:val="nil"/>
            </w:tcBorders>
            <w:hideMark/>
          </w:tcPr>
          <w:p w14:paraId="5FD1ECC2" w14:textId="7E245A77" w:rsidR="005575B7" w:rsidRPr="00434D94" w:rsidRDefault="00434D94" w:rsidP="00C276FA">
            <w:pPr>
              <w:pStyle w:val="AmColumnHeading"/>
            </w:pPr>
            <w:r w:rsidRPr="00434D94">
              <w:t>Sprememba</w:t>
            </w:r>
          </w:p>
        </w:tc>
      </w:tr>
      <w:tr w:rsidR="005575B7" w:rsidRPr="00434D94" w14:paraId="262DF0F2" w14:textId="77777777" w:rsidTr="00C276FA">
        <w:trPr>
          <w:jc w:val="center"/>
        </w:trPr>
        <w:tc>
          <w:tcPr>
            <w:tcW w:w="4876" w:type="dxa"/>
            <w:tcBorders>
              <w:top w:val="nil"/>
              <w:left w:val="nil"/>
              <w:bottom w:val="nil"/>
              <w:right w:val="nil"/>
            </w:tcBorders>
          </w:tcPr>
          <w:p w14:paraId="7F63E655" w14:textId="77777777" w:rsidR="005575B7" w:rsidRPr="00434D94" w:rsidRDefault="005575B7" w:rsidP="00C276FA">
            <w:pPr>
              <w:pStyle w:val="Normal6a"/>
            </w:pPr>
          </w:p>
        </w:tc>
        <w:tc>
          <w:tcPr>
            <w:tcW w:w="4876" w:type="dxa"/>
            <w:tcBorders>
              <w:top w:val="nil"/>
              <w:left w:val="nil"/>
              <w:bottom w:val="nil"/>
              <w:right w:val="nil"/>
            </w:tcBorders>
            <w:hideMark/>
          </w:tcPr>
          <w:p w14:paraId="36884E3B" w14:textId="77777777" w:rsidR="005575B7" w:rsidRPr="00434D94" w:rsidRDefault="005575B7" w:rsidP="00C276FA">
            <w:pPr>
              <w:pStyle w:val="Normal6a"/>
            </w:pPr>
            <w:r w:rsidRPr="00434D94">
              <w:rPr>
                <w:b/>
                <w:i/>
              </w:rPr>
              <w:t>(6a)</w:t>
            </w:r>
            <w:r w:rsidRPr="00434D94">
              <w:tab/>
            </w:r>
            <w:r w:rsidRPr="00434D94">
              <w:rPr>
                <w:b/>
                <w:i/>
              </w:rPr>
              <w:t xml:space="preserve">Previsoke cene pravic v sistemu trgovanja z emisijami za stavbni sektor, sektor cestnega prometa in dodatne sektorje bi lahko nesorazmerno vplivale tudi na ranljiva gospodinjstva, pretirana nihanja cen pa se morda ne bodo zgodila samo dvakrat letno. V okviru pregleda Direktive 2003/87/ES Evropskega parlamenta in Sveta je bistveno, da se preučijo nadaljnji socialni zaščitni ukrepi, in morda bi bilo primerno, da Komisija razmisli o močnejših instrumentih za omejevanje cen, da se zagotovi dolgoročna stabilnost cen. V zvezi s tem bi lahko Komisija razmislila o seznamu možnosti, kot sta okrepitev in podaljšanje mehanizma za primer pretiranega zvišanja cen v višini 45 EUR, določenega v cenah iz leta 2026, po 31. decembru 2029 ter ustrezna prilagoditev rezerve za stabilnost trga, vključno s pogostostjo in obsegom sprostitev pravic ter količino v rezervi, po potrebi z oceno izvedljivosti možnosti, da se državam članicam z odstopanjem dovoli začasna neuporaba sistema za stanovanjske stavbe, če </w:t>
            </w:r>
            <w:r w:rsidRPr="00434D94">
              <w:rPr>
                <w:b/>
                <w:i/>
              </w:rPr>
              <w:lastRenderedPageBreak/>
              <w:t xml:space="preserve">dokažejo, da lahko cilje porazdelitve prizadevanj dosežejo z uvedbo drugih ukrepov, in če so Direktivo (EU) 2024/1275 Evropskega parlamenta in Sveta prenesle v nacionalno pravo, s čimer bi zagotovile možnost, da se prihodki iz trgovanja z emisijami uporabijo za neposredno podporo, kot so podnebne dividende, ne da bi jim bilo treba dokazati pozitiven vpliv na okolje ali uvesti druge ukrepe za zmanjšanje stroškov, ki se prenašajo na ranljiva gospodinjstva. Komisija mora do 1. marca 2027 ustrezno oceniti te možnosti z vidika njihovih socialnih in </w:t>
            </w:r>
            <w:proofErr w:type="spellStart"/>
            <w:r w:rsidRPr="00434D94">
              <w:rPr>
                <w:b/>
                <w:i/>
              </w:rPr>
              <w:t>okoljskih</w:t>
            </w:r>
            <w:proofErr w:type="spellEnd"/>
            <w:r w:rsidRPr="00434D94">
              <w:rPr>
                <w:b/>
                <w:i/>
              </w:rPr>
              <w:t xml:space="preserve"> učinkov, hkrati pa poskrbeti, da ne bodo škodovale doseganju podnebnih ciljev Unije, kot so določeni v Uredbi (EU) 2021/1119 Evropskega parlamenta in Sveta.</w:t>
            </w:r>
          </w:p>
        </w:tc>
      </w:tr>
    </w:tbl>
    <w:p w14:paraId="3899AD6B" w14:textId="53AF931F" w:rsidR="005575B7" w:rsidRPr="00434D94" w:rsidRDefault="00434D94" w:rsidP="005575B7">
      <w:pPr>
        <w:pStyle w:val="AmNumberTabs"/>
      </w:pPr>
      <w:r w:rsidRPr="00434D94">
        <w:lastRenderedPageBreak/>
        <w:t>Sprememba</w:t>
      </w:r>
      <w:r w:rsidR="005575B7" w:rsidRPr="00434D94">
        <w:tab/>
      </w:r>
      <w:r w:rsidR="005575B7" w:rsidRPr="00434D94">
        <w:tab/>
        <w:t>7</w:t>
      </w:r>
    </w:p>
    <w:p w14:paraId="7A9EB38A" w14:textId="77777777" w:rsidR="005575B7" w:rsidRPr="00434D94" w:rsidRDefault="005575B7" w:rsidP="005575B7">
      <w:pPr>
        <w:pStyle w:val="NormalBold"/>
      </w:pPr>
      <w:r w:rsidRPr="00434D94">
        <w:t>Predlog sklepa</w:t>
      </w:r>
    </w:p>
    <w:p w14:paraId="355AB4E3" w14:textId="77777777" w:rsidR="005575B7" w:rsidRPr="00434D94" w:rsidRDefault="005575B7" w:rsidP="005575B7">
      <w:pPr>
        <w:pStyle w:val="NormalBold"/>
      </w:pPr>
      <w:r w:rsidRPr="00434D94">
        <w:t>Uvodna izjava 6 b (novo)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75B7" w:rsidRPr="00434D94" w14:paraId="1573CFED" w14:textId="77777777" w:rsidTr="00C276FA">
        <w:trPr>
          <w:trHeight w:val="240"/>
          <w:jc w:val="center"/>
        </w:trPr>
        <w:tc>
          <w:tcPr>
            <w:tcW w:w="9752" w:type="dxa"/>
            <w:gridSpan w:val="2"/>
            <w:tcBorders>
              <w:top w:val="nil"/>
              <w:left w:val="nil"/>
              <w:bottom w:val="nil"/>
              <w:right w:val="nil"/>
            </w:tcBorders>
          </w:tcPr>
          <w:p w14:paraId="73DA36C3" w14:textId="77777777" w:rsidR="005575B7" w:rsidRPr="00434D94" w:rsidRDefault="005575B7" w:rsidP="00C276FA"/>
        </w:tc>
      </w:tr>
      <w:tr w:rsidR="005575B7" w:rsidRPr="00434D94" w14:paraId="4A30438D" w14:textId="77777777" w:rsidTr="00C276FA">
        <w:trPr>
          <w:trHeight w:val="240"/>
          <w:jc w:val="center"/>
        </w:trPr>
        <w:tc>
          <w:tcPr>
            <w:tcW w:w="4876" w:type="dxa"/>
            <w:tcBorders>
              <w:top w:val="nil"/>
              <w:left w:val="nil"/>
              <w:bottom w:val="nil"/>
              <w:right w:val="nil"/>
            </w:tcBorders>
            <w:hideMark/>
          </w:tcPr>
          <w:p w14:paraId="16FC7EF5" w14:textId="77777777" w:rsidR="005575B7" w:rsidRPr="00434D94" w:rsidRDefault="005575B7" w:rsidP="00C276FA">
            <w:pPr>
              <w:pStyle w:val="AmColumnHeading"/>
            </w:pPr>
            <w:r w:rsidRPr="00434D94">
              <w:t>Besedilo, ki ga predlaga Komisija</w:t>
            </w:r>
          </w:p>
        </w:tc>
        <w:tc>
          <w:tcPr>
            <w:tcW w:w="4876" w:type="dxa"/>
            <w:tcBorders>
              <w:top w:val="nil"/>
              <w:left w:val="nil"/>
              <w:bottom w:val="nil"/>
              <w:right w:val="nil"/>
            </w:tcBorders>
            <w:hideMark/>
          </w:tcPr>
          <w:p w14:paraId="6F9F37E5" w14:textId="11ABEAE6" w:rsidR="005575B7" w:rsidRPr="00434D94" w:rsidRDefault="00434D94" w:rsidP="00C276FA">
            <w:pPr>
              <w:pStyle w:val="AmColumnHeading"/>
            </w:pPr>
            <w:r w:rsidRPr="00434D94">
              <w:t>Sprememba</w:t>
            </w:r>
          </w:p>
        </w:tc>
      </w:tr>
      <w:tr w:rsidR="005575B7" w:rsidRPr="00434D94" w14:paraId="2126138A" w14:textId="77777777" w:rsidTr="00C276FA">
        <w:trPr>
          <w:jc w:val="center"/>
        </w:trPr>
        <w:tc>
          <w:tcPr>
            <w:tcW w:w="4876" w:type="dxa"/>
            <w:tcBorders>
              <w:top w:val="nil"/>
              <w:left w:val="nil"/>
              <w:bottom w:val="nil"/>
              <w:right w:val="nil"/>
            </w:tcBorders>
          </w:tcPr>
          <w:p w14:paraId="389C5FB3" w14:textId="77777777" w:rsidR="005575B7" w:rsidRPr="00434D94" w:rsidRDefault="005575B7" w:rsidP="00C276FA">
            <w:pPr>
              <w:pStyle w:val="Normal6a"/>
            </w:pPr>
          </w:p>
        </w:tc>
        <w:tc>
          <w:tcPr>
            <w:tcW w:w="4876" w:type="dxa"/>
            <w:tcBorders>
              <w:top w:val="nil"/>
              <w:left w:val="nil"/>
              <w:bottom w:val="nil"/>
              <w:right w:val="nil"/>
            </w:tcBorders>
            <w:hideMark/>
          </w:tcPr>
          <w:p w14:paraId="621029F2" w14:textId="6AB97381" w:rsidR="005575B7" w:rsidRPr="00434D94" w:rsidRDefault="005575B7" w:rsidP="00C276FA">
            <w:pPr>
              <w:pStyle w:val="Normal6a"/>
            </w:pPr>
            <w:r w:rsidRPr="00434D94">
              <w:rPr>
                <w:b/>
                <w:i/>
              </w:rPr>
              <w:t>(6b)</w:t>
            </w:r>
            <w:r w:rsidRPr="00434D94">
              <w:tab/>
            </w:r>
            <w:r w:rsidRPr="00434D94">
              <w:rPr>
                <w:b/>
                <w:i/>
              </w:rPr>
              <w:t xml:space="preserve">Po reviziji rezerve za stabilnost trga iz tega sklepa o spremembi bi bilo primerno, da bi Komisija izvedla oceno učinka sistema trgovanja z emisijami za stavbni sektor, sektor cestnega prometa in dodatne sektorje, da bi ocenila njegov socialni učinek in učinek na doseganje podnebnih ciljev, pa tudi oceno porazdelitvenega učinka števila ranljivih gospodinjstev, za katera je bila do navedenega datuma dana na voljo podpora iz Socialnega sklada za podnebje in instrumenta </w:t>
            </w:r>
            <w:r w:rsidR="00DF08C8" w:rsidRPr="00434D94">
              <w:rPr>
                <w:b/>
                <w:i/>
              </w:rPr>
              <w:t xml:space="preserve">EIB </w:t>
            </w:r>
            <w:r w:rsidRPr="00434D94">
              <w:rPr>
                <w:b/>
                <w:i/>
              </w:rPr>
              <w:t>za predhodno financiranje, po možnosti vključno z razčlenitvijo po vrsti geografskega območja, porazdelitvi dohodka in spolu, pri čemer je treba razmisliti tudi o dodatnih ukrepih za zagotovitev okoljske celovitosti in socialne pravičnosti v okviru ETS2.</w:t>
            </w:r>
          </w:p>
        </w:tc>
      </w:tr>
    </w:tbl>
    <w:p w14:paraId="3D50DAEB" w14:textId="0B5F3CD8" w:rsidR="005575B7" w:rsidRPr="00434D94" w:rsidRDefault="00434D94" w:rsidP="005575B7">
      <w:pPr>
        <w:pStyle w:val="AmNumberTabs"/>
      </w:pPr>
      <w:r w:rsidRPr="00434D94">
        <w:t>Sprememba</w:t>
      </w:r>
      <w:r w:rsidR="005575B7" w:rsidRPr="00434D94">
        <w:tab/>
      </w:r>
      <w:r w:rsidR="005575B7" w:rsidRPr="00434D94">
        <w:tab/>
        <w:t>8</w:t>
      </w:r>
    </w:p>
    <w:p w14:paraId="61EB3ECA" w14:textId="77777777" w:rsidR="005575B7" w:rsidRPr="00434D94" w:rsidRDefault="005575B7" w:rsidP="005575B7">
      <w:pPr>
        <w:pStyle w:val="NormalBold"/>
      </w:pPr>
      <w:r w:rsidRPr="00434D94">
        <w:t>Predlog sklepa</w:t>
      </w:r>
    </w:p>
    <w:p w14:paraId="18D4A7EC" w14:textId="77777777" w:rsidR="005575B7" w:rsidRPr="00434D94" w:rsidRDefault="005575B7" w:rsidP="005575B7">
      <w:pPr>
        <w:pStyle w:val="NormalBold"/>
      </w:pPr>
      <w:r w:rsidRPr="00434D94">
        <w:t>Člen 1 – odstavek 1 – točka 1</w:t>
      </w:r>
    </w:p>
    <w:p w14:paraId="70C2F493" w14:textId="2D0BC1BA" w:rsidR="00DF08C8" w:rsidRPr="00434D94" w:rsidRDefault="00DF08C8" w:rsidP="005575B7">
      <w:pPr>
        <w:rPr>
          <w:bCs/>
        </w:rPr>
      </w:pPr>
      <w:r w:rsidRPr="00434D94">
        <w:rPr>
          <w:bCs/>
        </w:rPr>
        <w:lastRenderedPageBreak/>
        <w:t>Sklep (EU) 2015/1814</w:t>
      </w:r>
    </w:p>
    <w:p w14:paraId="313AC8B9" w14:textId="5FADE24A" w:rsidR="005575B7" w:rsidRPr="00434D94" w:rsidRDefault="005575B7" w:rsidP="005575B7">
      <w:r w:rsidRPr="00434D94">
        <w:t xml:space="preserve">Člen 1a </w:t>
      </w:r>
      <w:r w:rsidR="00DF08C8" w:rsidRPr="00434D94">
        <w:t>– odstavek 3</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75B7" w:rsidRPr="00434D94" w14:paraId="441F4503" w14:textId="77777777" w:rsidTr="00434D94">
        <w:trPr>
          <w:trHeight w:val="240"/>
          <w:jc w:val="center"/>
        </w:trPr>
        <w:tc>
          <w:tcPr>
            <w:tcW w:w="9752" w:type="dxa"/>
            <w:gridSpan w:val="2"/>
            <w:tcBorders>
              <w:top w:val="nil"/>
              <w:left w:val="nil"/>
              <w:bottom w:val="nil"/>
              <w:right w:val="nil"/>
            </w:tcBorders>
          </w:tcPr>
          <w:p w14:paraId="37333FB1" w14:textId="77777777" w:rsidR="005575B7" w:rsidRPr="00434D94" w:rsidRDefault="005575B7" w:rsidP="00C276FA"/>
        </w:tc>
      </w:tr>
      <w:tr w:rsidR="005575B7" w:rsidRPr="00434D94" w14:paraId="705D8085" w14:textId="77777777" w:rsidTr="00434D94">
        <w:trPr>
          <w:trHeight w:val="240"/>
          <w:jc w:val="center"/>
        </w:trPr>
        <w:tc>
          <w:tcPr>
            <w:tcW w:w="4876" w:type="dxa"/>
            <w:tcBorders>
              <w:top w:val="nil"/>
              <w:left w:val="nil"/>
              <w:bottom w:val="nil"/>
              <w:right w:val="nil"/>
            </w:tcBorders>
            <w:hideMark/>
          </w:tcPr>
          <w:p w14:paraId="7EA76A83" w14:textId="77777777" w:rsidR="005575B7" w:rsidRPr="00434D94" w:rsidRDefault="005575B7" w:rsidP="00C276FA">
            <w:pPr>
              <w:pStyle w:val="AmColumnHeading"/>
            </w:pPr>
            <w:r w:rsidRPr="00434D94">
              <w:t>Besedilo, ki ga predlaga Komisija</w:t>
            </w:r>
          </w:p>
        </w:tc>
        <w:tc>
          <w:tcPr>
            <w:tcW w:w="4876" w:type="dxa"/>
            <w:tcBorders>
              <w:top w:val="nil"/>
              <w:left w:val="nil"/>
              <w:bottom w:val="nil"/>
              <w:right w:val="nil"/>
            </w:tcBorders>
            <w:hideMark/>
          </w:tcPr>
          <w:p w14:paraId="77AE2F67" w14:textId="2CCF1716" w:rsidR="005575B7" w:rsidRPr="00434D94" w:rsidRDefault="00434D94" w:rsidP="00C276FA">
            <w:pPr>
              <w:pStyle w:val="AmColumnHeading"/>
            </w:pPr>
            <w:r w:rsidRPr="00434D94">
              <w:t>Sprememba</w:t>
            </w:r>
          </w:p>
        </w:tc>
      </w:tr>
      <w:tr w:rsidR="005575B7" w:rsidRPr="00434D94" w14:paraId="450A84CA" w14:textId="77777777" w:rsidTr="00434D94">
        <w:trPr>
          <w:jc w:val="center"/>
        </w:trPr>
        <w:tc>
          <w:tcPr>
            <w:tcW w:w="4876" w:type="dxa"/>
            <w:tcBorders>
              <w:top w:val="nil"/>
              <w:left w:val="nil"/>
              <w:bottom w:val="nil"/>
              <w:right w:val="nil"/>
            </w:tcBorders>
            <w:hideMark/>
          </w:tcPr>
          <w:p w14:paraId="4E186321" w14:textId="77777777" w:rsidR="005575B7" w:rsidRPr="00434D94" w:rsidRDefault="005575B7" w:rsidP="00C276FA">
            <w:pPr>
              <w:pStyle w:val="Normal6a"/>
            </w:pPr>
            <w:r w:rsidRPr="00434D94">
              <w:t>(1)</w:t>
            </w:r>
            <w:r w:rsidRPr="00434D94">
              <w:tab/>
              <w:t xml:space="preserve">v odstavku 3 se drugi stavek </w:t>
            </w:r>
            <w:r w:rsidRPr="00434D94">
              <w:rPr>
                <w:b/>
                <w:i/>
              </w:rPr>
              <w:t>črta;</w:t>
            </w:r>
          </w:p>
        </w:tc>
        <w:tc>
          <w:tcPr>
            <w:tcW w:w="4876" w:type="dxa"/>
            <w:tcBorders>
              <w:top w:val="nil"/>
              <w:left w:val="nil"/>
              <w:bottom w:val="nil"/>
              <w:right w:val="nil"/>
            </w:tcBorders>
            <w:hideMark/>
          </w:tcPr>
          <w:p w14:paraId="189FC9B9" w14:textId="0FB7CD17" w:rsidR="005575B7" w:rsidRPr="00434D94" w:rsidRDefault="005575B7" w:rsidP="00C276FA">
            <w:pPr>
              <w:pStyle w:val="Normal6a"/>
            </w:pPr>
            <w:r w:rsidRPr="00434D94">
              <w:t>(1)</w:t>
            </w:r>
            <w:r w:rsidRPr="00434D94">
              <w:tab/>
              <w:t xml:space="preserve">v odstavku 3 se drugi stavek </w:t>
            </w:r>
            <w:r w:rsidRPr="00434D94">
              <w:rPr>
                <w:b/>
                <w:i/>
              </w:rPr>
              <w:t>nadomesti z naslednjim:</w:t>
            </w:r>
          </w:p>
        </w:tc>
      </w:tr>
      <w:tr w:rsidR="00DF08C8" w:rsidRPr="00434D94" w14:paraId="71280694" w14:textId="77777777" w:rsidTr="00434D94">
        <w:trPr>
          <w:jc w:val="center"/>
        </w:trPr>
        <w:tc>
          <w:tcPr>
            <w:tcW w:w="4876" w:type="dxa"/>
            <w:tcBorders>
              <w:top w:val="nil"/>
              <w:left w:val="nil"/>
              <w:bottom w:val="nil"/>
              <w:right w:val="nil"/>
            </w:tcBorders>
          </w:tcPr>
          <w:p w14:paraId="577A7AC7" w14:textId="77777777" w:rsidR="00DF08C8" w:rsidRPr="00434D94" w:rsidRDefault="00DF08C8" w:rsidP="00C276FA">
            <w:pPr>
              <w:pStyle w:val="Normal6a"/>
            </w:pPr>
          </w:p>
        </w:tc>
        <w:tc>
          <w:tcPr>
            <w:tcW w:w="4876" w:type="dxa"/>
            <w:tcBorders>
              <w:top w:val="nil"/>
              <w:left w:val="nil"/>
              <w:bottom w:val="nil"/>
              <w:right w:val="nil"/>
            </w:tcBorders>
          </w:tcPr>
          <w:p w14:paraId="10C5039B" w14:textId="1943AAAC" w:rsidR="00DF08C8" w:rsidRPr="00434D94" w:rsidRDefault="00DF08C8" w:rsidP="00C276FA">
            <w:pPr>
              <w:pStyle w:val="Normal6a"/>
            </w:pPr>
            <w:r w:rsidRPr="00434D94">
              <w:rPr>
                <w:b/>
                <w:i/>
              </w:rPr>
              <w:t>„Od 1. januarja 2034 5</w:t>
            </w:r>
            <w:r w:rsidR="00A34E7D" w:rsidRPr="00434D94">
              <w:rPr>
                <w:b/>
                <w:i/>
              </w:rPr>
              <w:t>0</w:t>
            </w:r>
            <w:r w:rsidRPr="00434D94">
              <w:rPr>
                <w:b/>
                <w:i/>
              </w:rPr>
              <w:t> % pravic iz navedenega pododstavka, ki niso bile sproščene iz rezerve, preneha veljati. Od 1. januarja 2036 preostale pravice iz navedenega pododstavka, ki niso bile sproščene iz rezerve, prenehajo veljati.“;</w:t>
            </w:r>
          </w:p>
        </w:tc>
      </w:tr>
    </w:tbl>
    <w:p w14:paraId="55AA7C65" w14:textId="53F74E9E" w:rsidR="005575B7" w:rsidRPr="00434D94" w:rsidRDefault="00434D94" w:rsidP="005575B7">
      <w:pPr>
        <w:pStyle w:val="AmNumberTabs"/>
      </w:pPr>
      <w:r w:rsidRPr="00434D94">
        <w:t>Sprememba</w:t>
      </w:r>
      <w:r w:rsidR="005575B7" w:rsidRPr="00434D94">
        <w:tab/>
      </w:r>
      <w:r w:rsidR="005575B7" w:rsidRPr="00434D94">
        <w:tab/>
        <w:t>9</w:t>
      </w:r>
    </w:p>
    <w:p w14:paraId="08730FBA" w14:textId="77777777" w:rsidR="005575B7" w:rsidRPr="00434D94" w:rsidRDefault="005575B7" w:rsidP="005575B7">
      <w:pPr>
        <w:pStyle w:val="NormalBold"/>
      </w:pPr>
      <w:r w:rsidRPr="00434D94">
        <w:t>Predlog sklepa</w:t>
      </w:r>
    </w:p>
    <w:p w14:paraId="412F0EAA" w14:textId="77777777" w:rsidR="005575B7" w:rsidRPr="00434D94" w:rsidRDefault="005575B7" w:rsidP="005575B7">
      <w:pPr>
        <w:pStyle w:val="NormalBold"/>
      </w:pPr>
      <w:r w:rsidRPr="00434D94">
        <w:t>Člen 1 – odstavek 1 – točka 4 a (novo)</w:t>
      </w:r>
    </w:p>
    <w:p w14:paraId="45525D29" w14:textId="173E3DCD" w:rsidR="005575B7" w:rsidRPr="00434D94" w:rsidRDefault="005575B7" w:rsidP="005575B7">
      <w:r w:rsidRPr="00434D94">
        <w:t>Sklep (EU) 2015/1814</w:t>
      </w:r>
    </w:p>
    <w:p w14:paraId="18BBF1B3" w14:textId="131D723A" w:rsidR="00DF08C8" w:rsidRPr="00434D94" w:rsidRDefault="00DF08C8" w:rsidP="005575B7">
      <w:r w:rsidRPr="00434D94">
        <w:t>Člen 1 a – odstavek 7</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75B7" w:rsidRPr="00434D94" w14:paraId="5FFDC127" w14:textId="77777777" w:rsidTr="00C276FA">
        <w:trPr>
          <w:trHeight w:val="240"/>
          <w:jc w:val="center"/>
        </w:trPr>
        <w:tc>
          <w:tcPr>
            <w:tcW w:w="9752" w:type="dxa"/>
            <w:gridSpan w:val="2"/>
            <w:tcBorders>
              <w:top w:val="nil"/>
              <w:left w:val="nil"/>
              <w:bottom w:val="nil"/>
              <w:right w:val="nil"/>
            </w:tcBorders>
          </w:tcPr>
          <w:p w14:paraId="03CCB9BA" w14:textId="77777777" w:rsidR="005575B7" w:rsidRPr="00434D94" w:rsidRDefault="005575B7" w:rsidP="00C276FA"/>
        </w:tc>
      </w:tr>
      <w:tr w:rsidR="005575B7" w:rsidRPr="00434D94" w14:paraId="3CE2B12E" w14:textId="77777777" w:rsidTr="00C276FA">
        <w:trPr>
          <w:trHeight w:val="240"/>
          <w:jc w:val="center"/>
        </w:trPr>
        <w:tc>
          <w:tcPr>
            <w:tcW w:w="4876" w:type="dxa"/>
            <w:tcBorders>
              <w:top w:val="nil"/>
              <w:left w:val="nil"/>
              <w:bottom w:val="nil"/>
              <w:right w:val="nil"/>
            </w:tcBorders>
            <w:hideMark/>
          </w:tcPr>
          <w:p w14:paraId="24E7D1EE" w14:textId="77777777" w:rsidR="005575B7" w:rsidRPr="00434D94" w:rsidRDefault="005575B7" w:rsidP="00C276FA">
            <w:pPr>
              <w:pStyle w:val="AmColumnHeading"/>
            </w:pPr>
            <w:r w:rsidRPr="00434D94">
              <w:t>Veljavno besedilo</w:t>
            </w:r>
          </w:p>
        </w:tc>
        <w:tc>
          <w:tcPr>
            <w:tcW w:w="4876" w:type="dxa"/>
            <w:tcBorders>
              <w:top w:val="nil"/>
              <w:left w:val="nil"/>
              <w:bottom w:val="nil"/>
              <w:right w:val="nil"/>
            </w:tcBorders>
            <w:hideMark/>
          </w:tcPr>
          <w:p w14:paraId="6C6D6C5A" w14:textId="49D599E5" w:rsidR="005575B7" w:rsidRPr="00434D94" w:rsidRDefault="00434D94" w:rsidP="00C276FA">
            <w:pPr>
              <w:pStyle w:val="AmColumnHeading"/>
            </w:pPr>
            <w:r w:rsidRPr="00434D94">
              <w:t>Sprememba</w:t>
            </w:r>
          </w:p>
        </w:tc>
      </w:tr>
      <w:tr w:rsidR="005575B7" w:rsidRPr="00434D94" w14:paraId="00EC4336" w14:textId="77777777" w:rsidTr="00C276FA">
        <w:trPr>
          <w:jc w:val="center"/>
        </w:trPr>
        <w:tc>
          <w:tcPr>
            <w:tcW w:w="4876" w:type="dxa"/>
            <w:tcBorders>
              <w:top w:val="nil"/>
              <w:left w:val="nil"/>
              <w:bottom w:val="nil"/>
              <w:right w:val="nil"/>
            </w:tcBorders>
          </w:tcPr>
          <w:p w14:paraId="5FB40E8C" w14:textId="77777777" w:rsidR="005575B7" w:rsidRPr="00434D94" w:rsidRDefault="005575B7" w:rsidP="00C276FA">
            <w:pPr>
              <w:pStyle w:val="Normal6a"/>
            </w:pPr>
          </w:p>
        </w:tc>
        <w:tc>
          <w:tcPr>
            <w:tcW w:w="4876" w:type="dxa"/>
            <w:tcBorders>
              <w:top w:val="nil"/>
              <w:left w:val="nil"/>
              <w:bottom w:val="nil"/>
              <w:right w:val="nil"/>
            </w:tcBorders>
            <w:hideMark/>
          </w:tcPr>
          <w:p w14:paraId="199EECB9" w14:textId="227DB76A" w:rsidR="005575B7" w:rsidRPr="00434D94" w:rsidRDefault="005575B7" w:rsidP="00C276FA">
            <w:pPr>
              <w:pStyle w:val="Normal6a"/>
            </w:pPr>
            <w:r w:rsidRPr="00434D94">
              <w:rPr>
                <w:b/>
                <w:i/>
              </w:rPr>
              <w:t>(4a)</w:t>
            </w:r>
            <w:r w:rsidRPr="00434D94">
              <w:tab/>
            </w:r>
            <w:r w:rsidRPr="00434D94">
              <w:rPr>
                <w:b/>
                <w:i/>
              </w:rPr>
              <w:t>v odstavku 7 se drugi stavek nadomesti z naslednjim:</w:t>
            </w:r>
          </w:p>
        </w:tc>
      </w:tr>
      <w:tr w:rsidR="005575B7" w:rsidRPr="00434D94" w14:paraId="2656B24C" w14:textId="77777777" w:rsidTr="00C276FA">
        <w:trPr>
          <w:jc w:val="center"/>
        </w:trPr>
        <w:tc>
          <w:tcPr>
            <w:tcW w:w="4876" w:type="dxa"/>
            <w:tcBorders>
              <w:top w:val="nil"/>
              <w:left w:val="nil"/>
              <w:bottom w:val="nil"/>
              <w:right w:val="nil"/>
            </w:tcBorders>
            <w:hideMark/>
          </w:tcPr>
          <w:p w14:paraId="02DB2578" w14:textId="77777777" w:rsidR="005575B7" w:rsidRPr="00434D94" w:rsidRDefault="005575B7" w:rsidP="00C276FA">
            <w:pPr>
              <w:pStyle w:val="Normal6a"/>
            </w:pPr>
            <w:r w:rsidRPr="00434D94">
              <w:t xml:space="preserve">Količine, ki se sprostijo iz rezerve, se enakomerno porazdelijo v obdobju treh mesecev, ki se začne najpozneje </w:t>
            </w:r>
            <w:r w:rsidRPr="00434D94">
              <w:rPr>
                <w:b/>
                <w:i/>
              </w:rPr>
              <w:t>dva meseca</w:t>
            </w:r>
            <w:r w:rsidRPr="00434D94">
              <w:t xml:space="preserve"> po datumu, ko so bili izpolnjeni pogoji v skladu z njihovo objavo v Uradnem listu Evropske unije na podlagi člena 30h(8) Direktive 2003/87/ES.</w:t>
            </w:r>
          </w:p>
        </w:tc>
        <w:tc>
          <w:tcPr>
            <w:tcW w:w="4876" w:type="dxa"/>
            <w:tcBorders>
              <w:top w:val="nil"/>
              <w:left w:val="nil"/>
              <w:bottom w:val="nil"/>
              <w:right w:val="nil"/>
            </w:tcBorders>
            <w:hideMark/>
          </w:tcPr>
          <w:p w14:paraId="2C391E93" w14:textId="77777777" w:rsidR="005575B7" w:rsidRPr="00434D94" w:rsidRDefault="005575B7" w:rsidP="00C276FA">
            <w:pPr>
              <w:pStyle w:val="Normal6a"/>
            </w:pPr>
            <w:r w:rsidRPr="00434D94">
              <w:rPr>
                <w:b/>
                <w:i/>
              </w:rPr>
              <w:t>„</w:t>
            </w:r>
            <w:r w:rsidRPr="00434D94">
              <w:t xml:space="preserve">Količine, ki se sprostijo iz rezerve, se enakomerno porazdelijo v obdobju treh mesecev, ki se začne najpozneje </w:t>
            </w:r>
            <w:r w:rsidRPr="00434D94">
              <w:rPr>
                <w:b/>
                <w:i/>
              </w:rPr>
              <w:t>30 dni</w:t>
            </w:r>
            <w:r w:rsidRPr="00434D94">
              <w:t xml:space="preserve"> po datumu, ko so bili izpolnjeni pogoji v skladu z njihovo objavo v Uradnem listu Evropske unije na podlagi člena 30h(8) Direktive 2003/87/ES.</w:t>
            </w:r>
            <w:r w:rsidRPr="00434D94">
              <w:rPr>
                <w:b/>
                <w:i/>
              </w:rPr>
              <w:t>“</w:t>
            </w:r>
          </w:p>
        </w:tc>
      </w:tr>
    </w:tbl>
    <w:p w14:paraId="695F02BD" w14:textId="4BF23373" w:rsidR="005575B7" w:rsidRPr="00434D94" w:rsidRDefault="00434D94" w:rsidP="005575B7">
      <w:pPr>
        <w:pStyle w:val="AmNumberTabs"/>
      </w:pPr>
      <w:r w:rsidRPr="00434D94">
        <w:t>Sprememba</w:t>
      </w:r>
      <w:r w:rsidR="005575B7" w:rsidRPr="00434D94">
        <w:tab/>
      </w:r>
      <w:r w:rsidR="005575B7" w:rsidRPr="00434D94">
        <w:tab/>
        <w:t>10</w:t>
      </w:r>
    </w:p>
    <w:p w14:paraId="7CF9085D" w14:textId="77777777" w:rsidR="005575B7" w:rsidRPr="00434D94" w:rsidRDefault="005575B7" w:rsidP="005575B7">
      <w:pPr>
        <w:pStyle w:val="NormalBold"/>
      </w:pPr>
      <w:r w:rsidRPr="00434D94">
        <w:t>Predlog sklepa</w:t>
      </w:r>
    </w:p>
    <w:p w14:paraId="78C2D3B7" w14:textId="77777777" w:rsidR="005575B7" w:rsidRPr="00434D94" w:rsidRDefault="005575B7" w:rsidP="005575B7">
      <w:pPr>
        <w:pStyle w:val="NormalBold"/>
      </w:pPr>
      <w:r w:rsidRPr="00434D94">
        <w:t>Člen 1 a (novo)</w:t>
      </w:r>
    </w:p>
    <w:p w14:paraId="47D05B9B" w14:textId="77777777" w:rsidR="00DF08C8" w:rsidRPr="00434D94" w:rsidRDefault="00DF08C8" w:rsidP="00DF08C8">
      <w:r w:rsidRPr="00434D94">
        <w:t>Sklep (EU) 2015/1814</w:t>
      </w:r>
    </w:p>
    <w:p w14:paraId="62094FF7" w14:textId="48F72E1A" w:rsidR="00DF08C8" w:rsidRPr="00434D94" w:rsidRDefault="00DF08C8" w:rsidP="00DF08C8">
      <w:pPr>
        <w:pStyle w:val="NormalBold"/>
        <w:rPr>
          <w:b w:val="0"/>
          <w:bCs/>
        </w:rPr>
      </w:pPr>
      <w:r w:rsidRPr="00434D94">
        <w:rPr>
          <w:b w:val="0"/>
          <w:bCs/>
        </w:rPr>
        <w:t>Člen 3 – odstavek 1 a (novo)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575B7" w:rsidRPr="00434D94" w14:paraId="09611792" w14:textId="77777777" w:rsidTr="00C276FA">
        <w:trPr>
          <w:trHeight w:val="240"/>
          <w:jc w:val="center"/>
        </w:trPr>
        <w:tc>
          <w:tcPr>
            <w:tcW w:w="9752" w:type="dxa"/>
            <w:gridSpan w:val="2"/>
            <w:tcBorders>
              <w:top w:val="nil"/>
              <w:left w:val="nil"/>
              <w:bottom w:val="nil"/>
              <w:right w:val="nil"/>
            </w:tcBorders>
          </w:tcPr>
          <w:p w14:paraId="6540FE1A" w14:textId="77777777" w:rsidR="005575B7" w:rsidRPr="00434D94" w:rsidRDefault="005575B7" w:rsidP="00C276FA"/>
        </w:tc>
      </w:tr>
      <w:tr w:rsidR="005575B7" w:rsidRPr="00434D94" w14:paraId="3D1ACF94" w14:textId="77777777" w:rsidTr="00C276FA">
        <w:trPr>
          <w:trHeight w:val="240"/>
          <w:jc w:val="center"/>
        </w:trPr>
        <w:tc>
          <w:tcPr>
            <w:tcW w:w="4876" w:type="dxa"/>
            <w:tcBorders>
              <w:top w:val="nil"/>
              <w:left w:val="nil"/>
              <w:bottom w:val="nil"/>
              <w:right w:val="nil"/>
            </w:tcBorders>
            <w:hideMark/>
          </w:tcPr>
          <w:p w14:paraId="6CD1F3A2" w14:textId="77777777" w:rsidR="005575B7" w:rsidRPr="00434D94" w:rsidRDefault="005575B7" w:rsidP="00C276FA">
            <w:pPr>
              <w:pStyle w:val="AmColumnHeading"/>
            </w:pPr>
            <w:r w:rsidRPr="00434D94">
              <w:t>Besedilo, ki ga predlaga Komisija</w:t>
            </w:r>
          </w:p>
        </w:tc>
        <w:tc>
          <w:tcPr>
            <w:tcW w:w="4876" w:type="dxa"/>
            <w:tcBorders>
              <w:top w:val="nil"/>
              <w:left w:val="nil"/>
              <w:bottom w:val="nil"/>
              <w:right w:val="nil"/>
            </w:tcBorders>
            <w:hideMark/>
          </w:tcPr>
          <w:p w14:paraId="4D7C8583" w14:textId="25ACA9BB" w:rsidR="005575B7" w:rsidRPr="00434D94" w:rsidRDefault="00434D94" w:rsidP="00C276FA">
            <w:pPr>
              <w:pStyle w:val="AmColumnHeading"/>
            </w:pPr>
            <w:r w:rsidRPr="00434D94">
              <w:t>Sprememba</w:t>
            </w:r>
          </w:p>
        </w:tc>
      </w:tr>
      <w:tr w:rsidR="005575B7" w:rsidRPr="00434D94" w14:paraId="28985244" w14:textId="77777777" w:rsidTr="00C276FA">
        <w:trPr>
          <w:jc w:val="center"/>
        </w:trPr>
        <w:tc>
          <w:tcPr>
            <w:tcW w:w="4876" w:type="dxa"/>
            <w:tcBorders>
              <w:top w:val="nil"/>
              <w:left w:val="nil"/>
              <w:bottom w:val="nil"/>
              <w:right w:val="nil"/>
            </w:tcBorders>
          </w:tcPr>
          <w:p w14:paraId="489A2433" w14:textId="77777777" w:rsidR="005575B7" w:rsidRPr="00434D94" w:rsidRDefault="005575B7" w:rsidP="00C276FA">
            <w:pPr>
              <w:pStyle w:val="Normal6a"/>
            </w:pPr>
          </w:p>
        </w:tc>
        <w:tc>
          <w:tcPr>
            <w:tcW w:w="4876" w:type="dxa"/>
            <w:tcBorders>
              <w:top w:val="nil"/>
              <w:left w:val="nil"/>
              <w:bottom w:val="nil"/>
              <w:right w:val="nil"/>
            </w:tcBorders>
            <w:hideMark/>
          </w:tcPr>
          <w:p w14:paraId="5C6BA4A6" w14:textId="2224FDE9" w:rsidR="005575B7" w:rsidRPr="00434D94" w:rsidRDefault="005575B7" w:rsidP="00C276FA">
            <w:pPr>
              <w:pStyle w:val="Normal6a"/>
              <w:jc w:val="center"/>
            </w:pPr>
            <w:r w:rsidRPr="00434D94">
              <w:rPr>
                <w:b/>
                <w:i/>
              </w:rPr>
              <w:t>Člen 1a</w:t>
            </w:r>
          </w:p>
        </w:tc>
      </w:tr>
      <w:tr w:rsidR="005575B7" w:rsidRPr="00434D94" w14:paraId="7817E579" w14:textId="77777777" w:rsidTr="00C276FA">
        <w:trPr>
          <w:jc w:val="center"/>
        </w:trPr>
        <w:tc>
          <w:tcPr>
            <w:tcW w:w="4876" w:type="dxa"/>
            <w:tcBorders>
              <w:top w:val="nil"/>
              <w:left w:val="nil"/>
              <w:bottom w:val="nil"/>
              <w:right w:val="nil"/>
            </w:tcBorders>
          </w:tcPr>
          <w:p w14:paraId="7698CBFF" w14:textId="77777777" w:rsidR="005575B7" w:rsidRPr="00434D94" w:rsidRDefault="005575B7" w:rsidP="00C276FA">
            <w:pPr>
              <w:pStyle w:val="Normal6a"/>
            </w:pPr>
          </w:p>
        </w:tc>
        <w:tc>
          <w:tcPr>
            <w:tcW w:w="4876" w:type="dxa"/>
            <w:tcBorders>
              <w:top w:val="nil"/>
              <w:left w:val="nil"/>
              <w:bottom w:val="nil"/>
              <w:right w:val="nil"/>
            </w:tcBorders>
            <w:hideMark/>
          </w:tcPr>
          <w:p w14:paraId="5ED6F8E9" w14:textId="2C008DCC" w:rsidR="005575B7" w:rsidRPr="00434D94" w:rsidRDefault="00DF08C8" w:rsidP="00C276FA">
            <w:pPr>
              <w:pStyle w:val="Normal6a"/>
            </w:pPr>
            <w:r w:rsidRPr="00434D94">
              <w:rPr>
                <w:b/>
                <w:i/>
              </w:rPr>
              <w:t>V</w:t>
            </w:r>
            <w:r w:rsidR="005575B7" w:rsidRPr="00434D94">
              <w:rPr>
                <w:b/>
                <w:i/>
              </w:rPr>
              <w:t xml:space="preserve"> členu 3 </w:t>
            </w:r>
            <w:r w:rsidRPr="00434D94">
              <w:rPr>
                <w:b/>
                <w:i/>
              </w:rPr>
              <w:t xml:space="preserve">Sklepa (EU) 2015/1814 </w:t>
            </w:r>
            <w:r w:rsidR="005575B7" w:rsidRPr="00434D94">
              <w:rPr>
                <w:b/>
                <w:i/>
              </w:rPr>
              <w:t>se doda naslednji odstavek:</w:t>
            </w:r>
          </w:p>
        </w:tc>
      </w:tr>
      <w:tr w:rsidR="005575B7" w:rsidRPr="00434D94" w14:paraId="68E4C218" w14:textId="77777777" w:rsidTr="00C276FA">
        <w:trPr>
          <w:jc w:val="center"/>
        </w:trPr>
        <w:tc>
          <w:tcPr>
            <w:tcW w:w="4876" w:type="dxa"/>
            <w:tcBorders>
              <w:top w:val="nil"/>
              <w:left w:val="nil"/>
              <w:bottom w:val="nil"/>
              <w:right w:val="nil"/>
            </w:tcBorders>
          </w:tcPr>
          <w:p w14:paraId="47CB4333" w14:textId="77777777" w:rsidR="005575B7" w:rsidRPr="00434D94" w:rsidRDefault="005575B7" w:rsidP="00C276FA">
            <w:pPr>
              <w:pStyle w:val="Normal6a"/>
            </w:pPr>
          </w:p>
        </w:tc>
        <w:tc>
          <w:tcPr>
            <w:tcW w:w="4876" w:type="dxa"/>
            <w:tcBorders>
              <w:top w:val="nil"/>
              <w:left w:val="nil"/>
              <w:bottom w:val="nil"/>
              <w:right w:val="nil"/>
            </w:tcBorders>
            <w:hideMark/>
          </w:tcPr>
          <w:p w14:paraId="5BDDD943" w14:textId="0D33E7A3" w:rsidR="005575B7" w:rsidRPr="00434D94" w:rsidRDefault="005575B7" w:rsidP="00C276FA">
            <w:pPr>
              <w:pStyle w:val="Normal6a"/>
            </w:pPr>
            <w:r w:rsidRPr="00434D94">
              <w:rPr>
                <w:b/>
                <w:i/>
              </w:rPr>
              <w:t xml:space="preserve">„Komisija v štirih letih od začetka delovanja trgovanja z emisijami za stavbni sektor, sektor cestnega prometa in dodatne sektorje iz poglavja </w:t>
            </w:r>
            <w:proofErr w:type="spellStart"/>
            <w:r w:rsidRPr="00434D94">
              <w:rPr>
                <w:b/>
                <w:i/>
              </w:rPr>
              <w:t>IVa</w:t>
            </w:r>
            <w:proofErr w:type="spellEnd"/>
            <w:r w:rsidRPr="00434D94">
              <w:rPr>
                <w:b/>
                <w:i/>
              </w:rPr>
              <w:t xml:space="preserve"> Direktive 2003/87/ES izvede oceno učinka, vključno </w:t>
            </w:r>
            <w:r w:rsidRPr="00434D94">
              <w:rPr>
                <w:b/>
                <w:i/>
              </w:rPr>
              <w:lastRenderedPageBreak/>
              <w:t xml:space="preserve">z oceno porazdelitvenega učinka, in oceno </w:t>
            </w:r>
            <w:proofErr w:type="spellStart"/>
            <w:r w:rsidRPr="00434D94">
              <w:rPr>
                <w:b/>
                <w:i/>
              </w:rPr>
              <w:t>okoljskega</w:t>
            </w:r>
            <w:proofErr w:type="spellEnd"/>
            <w:r w:rsidRPr="00434D94">
              <w:rPr>
                <w:b/>
                <w:i/>
              </w:rPr>
              <w:t xml:space="preserve">, socialnega in gospodarskega učinka preostalih pravic v rezervi na podlagi člena 1a </w:t>
            </w:r>
            <w:r w:rsidR="00DF08C8" w:rsidRPr="00434D94">
              <w:rPr>
                <w:b/>
                <w:i/>
              </w:rPr>
              <w:t xml:space="preserve">tega sklepa </w:t>
            </w:r>
            <w:r w:rsidRPr="00434D94">
              <w:rPr>
                <w:b/>
                <w:i/>
              </w:rPr>
              <w:t>ter določi, ali je ustrezno delno ali v celoti razveljaviti te pravice. Poročilu se lahko po potrebi priloži zakonodajni predlog.“</w:t>
            </w:r>
          </w:p>
        </w:tc>
      </w:tr>
    </w:tbl>
    <w:p w14:paraId="27F7F789" w14:textId="5DE3B214" w:rsidR="00E365E1" w:rsidRPr="00855EAC" w:rsidRDefault="00E365E1" w:rsidP="00A402E6"/>
    <w:sectPr w:rsidR="00E365E1" w:rsidRPr="00855EAC" w:rsidSect="00855EAC">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39EA8B" w14:textId="77777777" w:rsidR="00A402E6" w:rsidRPr="00434D94" w:rsidRDefault="00A402E6">
      <w:r w:rsidRPr="00434D94">
        <w:separator/>
      </w:r>
    </w:p>
  </w:endnote>
  <w:endnote w:type="continuationSeparator" w:id="0">
    <w:p w14:paraId="5E2FE241" w14:textId="77777777" w:rsidR="00A402E6" w:rsidRPr="00434D94" w:rsidRDefault="00A402E6">
      <w:r w:rsidRPr="00434D9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55CB24" w14:textId="77777777" w:rsidR="00064002" w:rsidRPr="00434D94"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EFCCAE" w14:textId="77777777" w:rsidR="00064002" w:rsidRPr="00434D94"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7C2EBB" w14:textId="77777777" w:rsidR="00064002" w:rsidRPr="00434D94"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AD3702" w14:textId="77777777" w:rsidR="00A402E6" w:rsidRPr="00434D94" w:rsidRDefault="00A402E6">
      <w:r w:rsidRPr="00434D94">
        <w:separator/>
      </w:r>
    </w:p>
  </w:footnote>
  <w:footnote w:type="continuationSeparator" w:id="0">
    <w:p w14:paraId="2690B2BC" w14:textId="77777777" w:rsidR="00A402E6" w:rsidRPr="00434D94" w:rsidRDefault="00A402E6">
      <w:r w:rsidRPr="00434D94">
        <w:continuationSeparator/>
      </w:r>
    </w:p>
  </w:footnote>
  <w:footnote w:id="1">
    <w:p w14:paraId="36ED23BE" w14:textId="5421C7C7" w:rsidR="00CF2664" w:rsidRPr="00BA2CE4" w:rsidRDefault="00CF2664" w:rsidP="00CF2664">
      <w:pPr>
        <w:pStyle w:val="FootnoteText"/>
        <w:ind w:left="567" w:hanging="567"/>
        <w:rPr>
          <w:sz w:val="24"/>
          <w:szCs w:val="24"/>
          <w:lang w:val="sl-SI"/>
        </w:rPr>
      </w:pPr>
      <w:r w:rsidRPr="00BA2CE4">
        <w:rPr>
          <w:rStyle w:val="FootnoteReference"/>
          <w:sz w:val="24"/>
          <w:szCs w:val="24"/>
        </w:rPr>
        <w:footnoteRef/>
      </w:r>
      <w:r w:rsidRPr="00BA2CE4">
        <w:rPr>
          <w:sz w:val="24"/>
          <w:szCs w:val="24"/>
          <w:lang w:val="sl-SI"/>
        </w:rPr>
        <w:t xml:space="preserve"> </w:t>
      </w:r>
      <w:r w:rsidRPr="00BA2CE4">
        <w:rPr>
          <w:sz w:val="24"/>
          <w:szCs w:val="24"/>
          <w:lang w:val="sl-SI"/>
        </w:rPr>
        <w:tab/>
        <w:t>Zadeva je bila v skladu s četrtim pododstavkom člena 60(4) Poslovnika vrnjena pristojnemu odboru v medinstitucionalna pogajanja (A10-</w:t>
      </w:r>
      <w:r>
        <w:rPr>
          <w:sz w:val="24"/>
          <w:szCs w:val="24"/>
          <w:lang w:val="sl-SI"/>
        </w:rPr>
        <w:t>0098</w:t>
      </w:r>
      <w:r w:rsidRPr="00BA2CE4">
        <w:rPr>
          <w:sz w:val="24"/>
          <w:szCs w:val="24"/>
          <w:lang w:val="sl-SI"/>
        </w:rPr>
        <w:t>/</w:t>
      </w:r>
      <w:r>
        <w:rPr>
          <w:sz w:val="24"/>
          <w:szCs w:val="24"/>
          <w:lang w:val="sl-SI"/>
        </w:rPr>
        <w:t>2026</w:t>
      </w:r>
      <w:r w:rsidRPr="00BA2CE4">
        <w:rPr>
          <w:sz w:val="24"/>
          <w:szCs w:val="24"/>
          <w:lang w:val="sl-SI"/>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70EFCC" w14:textId="77777777" w:rsidR="00064002" w:rsidRPr="00434D94"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8FEF97" w14:textId="77777777" w:rsidR="00064002" w:rsidRPr="00434D94"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B03F7E" w14:textId="77777777" w:rsidR="00064002" w:rsidRPr="00434D94"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578633582">
    <w:abstractNumId w:val="9"/>
  </w:num>
  <w:num w:numId="2" w16cid:durableId="1783257751">
    <w:abstractNumId w:val="9"/>
  </w:num>
  <w:num w:numId="3" w16cid:durableId="1864048772">
    <w:abstractNumId w:val="7"/>
  </w:num>
  <w:num w:numId="4" w16cid:durableId="690685909">
    <w:abstractNumId w:val="7"/>
  </w:num>
  <w:num w:numId="5" w16cid:durableId="2102946940">
    <w:abstractNumId w:val="6"/>
  </w:num>
  <w:num w:numId="6" w16cid:durableId="1833257826">
    <w:abstractNumId w:val="6"/>
  </w:num>
  <w:num w:numId="7" w16cid:durableId="860315034">
    <w:abstractNumId w:val="5"/>
  </w:num>
  <w:num w:numId="8" w16cid:durableId="213539852">
    <w:abstractNumId w:val="5"/>
  </w:num>
  <w:num w:numId="9" w16cid:durableId="1246840232">
    <w:abstractNumId w:val="4"/>
  </w:num>
  <w:num w:numId="10" w16cid:durableId="1204292890">
    <w:abstractNumId w:val="4"/>
  </w:num>
  <w:num w:numId="11" w16cid:durableId="1587764348">
    <w:abstractNumId w:val="8"/>
  </w:num>
  <w:num w:numId="12" w16cid:durableId="1695766910">
    <w:abstractNumId w:val="8"/>
  </w:num>
  <w:num w:numId="13" w16cid:durableId="893321536">
    <w:abstractNumId w:val="3"/>
  </w:num>
  <w:num w:numId="14" w16cid:durableId="1039234512">
    <w:abstractNumId w:val="3"/>
  </w:num>
  <w:num w:numId="15" w16cid:durableId="301160806">
    <w:abstractNumId w:val="2"/>
  </w:num>
  <w:num w:numId="16" w16cid:durableId="120534996">
    <w:abstractNumId w:val="2"/>
  </w:num>
  <w:num w:numId="17" w16cid:durableId="885945255">
    <w:abstractNumId w:val="1"/>
  </w:num>
  <w:num w:numId="18" w16cid:durableId="1558515996">
    <w:abstractNumId w:val="1"/>
  </w:num>
  <w:num w:numId="19" w16cid:durableId="1322932063">
    <w:abstractNumId w:val="0"/>
  </w:num>
  <w:num w:numId="20" w16cid:durableId="1852256525">
    <w:abstractNumId w:val="0"/>
  </w:num>
  <w:num w:numId="21" w16cid:durableId="2028872507">
    <w:abstractNumId w:val="9"/>
  </w:num>
  <w:num w:numId="22" w16cid:durableId="587228386">
    <w:abstractNumId w:val="7"/>
  </w:num>
  <w:num w:numId="23" w16cid:durableId="502356017">
    <w:abstractNumId w:val="6"/>
  </w:num>
  <w:num w:numId="24" w16cid:durableId="1588659354">
    <w:abstractNumId w:val="5"/>
  </w:num>
  <w:num w:numId="25" w16cid:durableId="1512833903">
    <w:abstractNumId w:val="4"/>
  </w:num>
  <w:num w:numId="26" w16cid:durableId="990864387">
    <w:abstractNumId w:val="8"/>
  </w:num>
  <w:num w:numId="27" w16cid:durableId="829521915">
    <w:abstractNumId w:val="3"/>
  </w:num>
  <w:num w:numId="28" w16cid:durableId="1835105475">
    <w:abstractNumId w:val="2"/>
  </w:num>
  <w:num w:numId="29" w16cid:durableId="785848119">
    <w:abstractNumId w:val="1"/>
  </w:num>
  <w:num w:numId="30" w16cid:durableId="906577727">
    <w:abstractNumId w:val="0"/>
  </w:num>
  <w:num w:numId="31" w16cid:durableId="1850363371">
    <w:abstractNumId w:val="9"/>
  </w:num>
  <w:num w:numId="32" w16cid:durableId="1072895867">
    <w:abstractNumId w:val="7"/>
  </w:num>
  <w:num w:numId="33" w16cid:durableId="1177185125">
    <w:abstractNumId w:val="6"/>
  </w:num>
  <w:num w:numId="34" w16cid:durableId="1846168996">
    <w:abstractNumId w:val="5"/>
  </w:num>
  <w:num w:numId="35" w16cid:durableId="691228478">
    <w:abstractNumId w:val="4"/>
  </w:num>
  <w:num w:numId="36" w16cid:durableId="1402605468">
    <w:abstractNumId w:val="8"/>
  </w:num>
  <w:num w:numId="37" w16cid:durableId="1885555594">
    <w:abstractNumId w:val="3"/>
  </w:num>
  <w:num w:numId="38" w16cid:durableId="1815877665">
    <w:abstractNumId w:val="2"/>
  </w:num>
  <w:num w:numId="39" w16cid:durableId="560754442">
    <w:abstractNumId w:val="1"/>
  </w:num>
  <w:num w:numId="40" w16cid:durableId="1010839855">
    <w:abstractNumId w:val="0"/>
  </w:num>
  <w:num w:numId="41" w16cid:durableId="896166050">
    <w:abstractNumId w:val="10"/>
  </w:num>
  <w:num w:numId="42" w16cid:durableId="2018187352">
    <w:abstractNumId w:val="10"/>
  </w:num>
  <w:num w:numId="43" w16cid:durableId="683021483">
    <w:abstractNumId w:val="10"/>
  </w:num>
  <w:num w:numId="44" w16cid:durableId="138972345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2"/>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98/2026"/>
    <w:docVar w:name="dvlangue" w:val="SL"/>
    <w:docVar w:name="dvnumam" w:val="10"/>
    <w:docVar w:name="dvpe" w:val="781.492"/>
    <w:docVar w:name="dvrapporteur" w:val="Poročevalka: "/>
    <w:docVar w:name="dvstar" w:val="***I"/>
    <w:docVar w:name="dvtitre" w:val="Zakonodajna resolucija Evropskega parlamenta z dne … 2026 o predlogu sklepa Evropskega parlamenta in Sveta o spremembi Sklepa (EU) 2015/1814 glede rezerve za stabilnost trga za stavbni sektor, sektor cestnega prometa in dodatne sektorje(COM(2025)0738 – C10-0320/2025 – 2025/0380(COD))"/>
  </w:docVars>
  <w:rsids>
    <w:rsidRoot w:val="00A402E6"/>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34D94"/>
    <w:rsid w:val="00471C19"/>
    <w:rsid w:val="004867E3"/>
    <w:rsid w:val="00494A28"/>
    <w:rsid w:val="004C0004"/>
    <w:rsid w:val="004C5D52"/>
    <w:rsid w:val="0050519A"/>
    <w:rsid w:val="005072A1"/>
    <w:rsid w:val="00514517"/>
    <w:rsid w:val="00545827"/>
    <w:rsid w:val="005575B7"/>
    <w:rsid w:val="00560270"/>
    <w:rsid w:val="005C0CD8"/>
    <w:rsid w:val="005C2568"/>
    <w:rsid w:val="005F1B17"/>
    <w:rsid w:val="005F713D"/>
    <w:rsid w:val="006037C0"/>
    <w:rsid w:val="006631B6"/>
    <w:rsid w:val="00680577"/>
    <w:rsid w:val="006F74FA"/>
    <w:rsid w:val="00731ADD"/>
    <w:rsid w:val="00734777"/>
    <w:rsid w:val="00747932"/>
    <w:rsid w:val="00751A4A"/>
    <w:rsid w:val="00756632"/>
    <w:rsid w:val="00762C74"/>
    <w:rsid w:val="00786EC0"/>
    <w:rsid w:val="007B69A9"/>
    <w:rsid w:val="007D1690"/>
    <w:rsid w:val="007E22AD"/>
    <w:rsid w:val="00817416"/>
    <w:rsid w:val="00842779"/>
    <w:rsid w:val="00855EAC"/>
    <w:rsid w:val="00865F67"/>
    <w:rsid w:val="00881A7B"/>
    <w:rsid w:val="008840E5"/>
    <w:rsid w:val="00887B3E"/>
    <w:rsid w:val="008C2AC6"/>
    <w:rsid w:val="00930C23"/>
    <w:rsid w:val="0093193B"/>
    <w:rsid w:val="009509D8"/>
    <w:rsid w:val="00950B64"/>
    <w:rsid w:val="00981893"/>
    <w:rsid w:val="009D5902"/>
    <w:rsid w:val="00A1687D"/>
    <w:rsid w:val="00A34E7D"/>
    <w:rsid w:val="00A402E6"/>
    <w:rsid w:val="00A43E52"/>
    <w:rsid w:val="00A457F5"/>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CF2664"/>
    <w:rsid w:val="00D058B8"/>
    <w:rsid w:val="00D56C11"/>
    <w:rsid w:val="00D834A0"/>
    <w:rsid w:val="00D872DF"/>
    <w:rsid w:val="00D91E21"/>
    <w:rsid w:val="00DA7FCD"/>
    <w:rsid w:val="00DF08C8"/>
    <w:rsid w:val="00E0327B"/>
    <w:rsid w:val="00E04E15"/>
    <w:rsid w:val="00E365E1"/>
    <w:rsid w:val="00E820A4"/>
    <w:rsid w:val="00EB006A"/>
    <w:rsid w:val="00EB4772"/>
    <w:rsid w:val="00ED169E"/>
    <w:rsid w:val="00ED4235"/>
    <w:rsid w:val="00F04346"/>
    <w:rsid w:val="00F075DC"/>
    <w:rsid w:val="00F149E9"/>
    <w:rsid w:val="00F5134D"/>
    <w:rsid w:val="00F61F50"/>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E58EE2"/>
  <w15:chartTrackingRefBased/>
  <w15:docId w15:val="{71F0CBB7-B4E3-4ECD-B1D6-0BE7D43DED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sl-S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symbol,Footnote Reference Number,Footnote Reference_LVL6,Footnote Reference_LVL61,Footnote Reference_LVL62,Footnote Reference_LVL63,Footnote Reference_LVL64,Footnote reference number,BVI fnr,SUPERS,16 Point,Superscript 6 Poin"/>
    <w:uiPriority w:val="99"/>
    <w:rsid w:val="00395FA1"/>
    <w:rPr>
      <w:b w:val="0"/>
      <w:vertAlign w:val="superscript"/>
    </w:rPr>
  </w:style>
  <w:style w:type="paragraph" w:styleId="FootnoteText">
    <w:name w:val="footnote text"/>
    <w:aliases w:val=" Char Char Char Char,Footnote Text Char Char,Fußnote,FSR footnote,lábléc,Carattere1,Footnote Text Char1 Char,Footnote Text Char2 Char Char Char,Footnote Text Char1 Char Char Char Char,Footnote Text Char Char Char Char Char Char,fn,f"/>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aliases w:val=" Char Char Char Char Char,Footnote Text Char Char Char,Fußnote Char,FSR footnote Char,lábléc Char,Carattere1 Char,Footnote Text Char1 Char Char,Footnote Text Char2 Char Char Char Char,Footnote Text Char1 Char Char Char Char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6a">
    <w:name w:val="Normal6a"/>
    <w:basedOn w:val="Normal"/>
    <w:rsid w:val="005575B7"/>
    <w:pPr>
      <w:spacing w:after="120"/>
    </w:pPr>
  </w:style>
  <w:style w:type="paragraph" w:customStyle="1" w:styleId="NormalBold">
    <w:name w:val="NormalBold"/>
    <w:basedOn w:val="Normal"/>
    <w:link w:val="NormalBoldChar"/>
    <w:rsid w:val="005575B7"/>
    <w:rPr>
      <w:b/>
    </w:rPr>
  </w:style>
  <w:style w:type="paragraph" w:customStyle="1" w:styleId="NormalHanging12a">
    <w:name w:val="NormalHanging12a"/>
    <w:basedOn w:val="Normal"/>
    <w:rsid w:val="005575B7"/>
    <w:pPr>
      <w:spacing w:after="240"/>
      <w:ind w:left="567" w:hanging="567"/>
    </w:pPr>
  </w:style>
  <w:style w:type="paragraph" w:customStyle="1" w:styleId="AmCrossRef">
    <w:name w:val="AmCrossRef"/>
    <w:basedOn w:val="Normal"/>
    <w:rsid w:val="005575B7"/>
    <w:pPr>
      <w:spacing w:before="240" w:after="240"/>
      <w:jc w:val="center"/>
    </w:pPr>
    <w:rPr>
      <w:i/>
    </w:rPr>
  </w:style>
  <w:style w:type="paragraph" w:customStyle="1" w:styleId="AmColumnHeading">
    <w:name w:val="AmColumnHeading"/>
    <w:basedOn w:val="Normal"/>
    <w:rsid w:val="005575B7"/>
    <w:pPr>
      <w:spacing w:after="240"/>
      <w:jc w:val="center"/>
    </w:pPr>
    <w:rPr>
      <w:i/>
    </w:rPr>
  </w:style>
  <w:style w:type="paragraph" w:customStyle="1" w:styleId="AmNumberTabs">
    <w:name w:val="AmNumberTabs"/>
    <w:basedOn w:val="Normal"/>
    <w:rsid w:val="005575B7"/>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EPComma">
    <w:name w:val="EPComma"/>
    <w:basedOn w:val="Normal"/>
    <w:rsid w:val="005575B7"/>
    <w:pPr>
      <w:spacing w:before="480" w:after="240"/>
    </w:pPr>
  </w:style>
  <w:style w:type="character" w:styleId="Hyperlink">
    <w:name w:val="Hyperlink"/>
    <w:basedOn w:val="DefaultParagraphFont"/>
    <w:rsid w:val="005575B7"/>
    <w:rPr>
      <w:color w:val="0563C1" w:themeColor="hyperlink"/>
      <w:u w:val="single"/>
    </w:rPr>
  </w:style>
  <w:style w:type="character" w:customStyle="1" w:styleId="NormalBoldChar">
    <w:name w:val="NormalBold Char"/>
    <w:basedOn w:val="DefaultParagraphFont"/>
    <w:link w:val="NormalBold"/>
    <w:locked/>
    <w:rsid w:val="005575B7"/>
    <w:rPr>
      <w:b/>
      <w:sz w:val="24"/>
      <w:lang w:val="sl-SI"/>
    </w:rPr>
  </w:style>
  <w:style w:type="paragraph" w:styleId="Revision">
    <w:name w:val="Revision"/>
    <w:hidden/>
    <w:uiPriority w:val="99"/>
    <w:semiHidden/>
    <w:rsid w:val="00DF08C8"/>
    <w:rPr>
      <w:sz w:val="24"/>
      <w:lang w:val="sl-SI"/>
    </w:rPr>
  </w:style>
  <w:style w:type="character" w:styleId="CommentReference">
    <w:name w:val="annotation reference"/>
    <w:basedOn w:val="DefaultParagraphFont"/>
    <w:rsid w:val="00DF08C8"/>
    <w:rPr>
      <w:sz w:val="16"/>
      <w:szCs w:val="16"/>
    </w:rPr>
  </w:style>
  <w:style w:type="paragraph" w:styleId="CommentText">
    <w:name w:val="annotation text"/>
    <w:basedOn w:val="Normal"/>
    <w:link w:val="CommentTextChar"/>
    <w:rsid w:val="00DF08C8"/>
    <w:rPr>
      <w:sz w:val="20"/>
    </w:rPr>
  </w:style>
  <w:style w:type="character" w:customStyle="1" w:styleId="CommentTextChar">
    <w:name w:val="Comment Text Char"/>
    <w:basedOn w:val="DefaultParagraphFont"/>
    <w:link w:val="CommentText"/>
    <w:rsid w:val="00DF08C8"/>
    <w:rPr>
      <w:lang w:val="sl-SI"/>
    </w:rPr>
  </w:style>
  <w:style w:type="paragraph" w:styleId="CommentSubject">
    <w:name w:val="annotation subject"/>
    <w:basedOn w:val="CommentText"/>
    <w:next w:val="CommentText"/>
    <w:link w:val="CommentSubjectChar"/>
    <w:rsid w:val="00DF08C8"/>
    <w:rPr>
      <w:b/>
      <w:bCs/>
    </w:rPr>
  </w:style>
  <w:style w:type="character" w:customStyle="1" w:styleId="CommentSubjectChar">
    <w:name w:val="Comment Subject Char"/>
    <w:basedOn w:val="CommentTextChar"/>
    <w:link w:val="CommentSubject"/>
    <w:rsid w:val="00DF08C8"/>
    <w:rPr>
      <w:b/>
      <w:bCs/>
      <w:lang w:val="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Pages>
  <Words>1407</Words>
  <Characters>8341</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9729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BAH Anita</dc:creator>
  <cp:keywords/>
  <cp:lastModifiedBy>BAH Anita</cp:lastModifiedBy>
  <cp:revision>2</cp:revision>
  <cp:lastPrinted>2004-11-19T15:42:00Z</cp:lastPrinted>
  <dcterms:created xsi:type="dcterms:W3CDTF">2026-04-29T11:40:00Z</dcterms:created>
  <dcterms:modified xsi:type="dcterms:W3CDTF">2026-04-29T11:40:00Z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A10-0098/2026</vt:lpwstr>
  </property>
  <property fmtid="{D5CDD505-2E9C-101B-9397-08002B2CF9AE}" pid="4" name="&lt;Type&gt;">
    <vt:lpwstr>RR</vt:lpwstr>
  </property>
</Properties>
</file>