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5AE3" w14:paraId="478227A3" w14:textId="77777777" w:rsidTr="0010095E">
        <w:trPr>
          <w:trHeight w:hRule="exact" w:val="1418"/>
        </w:trPr>
        <w:tc>
          <w:tcPr>
            <w:tcW w:w="6804" w:type="dxa"/>
            <w:shd w:val="clear" w:color="auto" w:fill="auto"/>
            <w:vAlign w:val="center"/>
          </w:tcPr>
          <w:p w14:paraId="6A8D044C" w14:textId="587CD216" w:rsidR="00751A4A" w:rsidRPr="009C5AE3" w:rsidRDefault="000A02BE" w:rsidP="0010095E">
            <w:pPr>
              <w:pStyle w:val="EPName"/>
            </w:pPr>
            <w:r w:rsidRPr="009C5AE3">
              <w:t>Europaparlamentet</w:t>
            </w:r>
          </w:p>
          <w:p w14:paraId="3EEAD364" w14:textId="77777777" w:rsidR="00751A4A" w:rsidRPr="009C5AE3" w:rsidRDefault="005F1B17" w:rsidP="005F1B17">
            <w:pPr>
              <w:pStyle w:val="EPTerm"/>
              <w:rPr>
                <w:rStyle w:val="HideTWBExt"/>
                <w:noProof w:val="0"/>
                <w:vanish w:val="0"/>
                <w:color w:val="auto"/>
              </w:rPr>
            </w:pPr>
            <w:r w:rsidRPr="009C5AE3">
              <w:t>2024</w:t>
            </w:r>
            <w:r w:rsidR="00817416" w:rsidRPr="009C5AE3">
              <w:t>-202</w:t>
            </w:r>
            <w:r w:rsidRPr="009C5AE3">
              <w:t>9</w:t>
            </w:r>
          </w:p>
        </w:tc>
        <w:tc>
          <w:tcPr>
            <w:tcW w:w="2268" w:type="dxa"/>
            <w:shd w:val="clear" w:color="auto" w:fill="auto"/>
          </w:tcPr>
          <w:p w14:paraId="51BC7FDD" w14:textId="77777777" w:rsidR="00751A4A" w:rsidRPr="009C5AE3" w:rsidRDefault="00187494" w:rsidP="0010095E">
            <w:pPr>
              <w:pStyle w:val="EPLogo"/>
            </w:pPr>
            <w:r w:rsidRPr="009C5AE3">
              <w:rPr>
                <w:noProof/>
                <w:lang w:eastAsia="ja-JP"/>
              </w:rPr>
              <w:drawing>
                <wp:inline distT="0" distB="0" distL="0" distR="0" wp14:anchorId="345F0ADF" wp14:editId="3D30CD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3776B3" w14:textId="77777777" w:rsidR="00D058B8" w:rsidRPr="009C5AE3" w:rsidRDefault="00D058B8" w:rsidP="004C5D52">
      <w:pPr>
        <w:pStyle w:val="LineTop"/>
      </w:pPr>
    </w:p>
    <w:p w14:paraId="55D18CBD" w14:textId="27BDAB95" w:rsidR="00680577" w:rsidRPr="009C5AE3" w:rsidRDefault="000A02BE" w:rsidP="00680577">
      <w:pPr>
        <w:pStyle w:val="EPBodyTA1"/>
      </w:pPr>
      <w:r w:rsidRPr="009C5AE3">
        <w:t>ANTAGNA TEXTER</w:t>
      </w:r>
    </w:p>
    <w:p w14:paraId="63111516" w14:textId="77777777" w:rsidR="00D058B8" w:rsidRPr="009C5AE3" w:rsidRDefault="00D058B8" w:rsidP="00D058B8">
      <w:pPr>
        <w:pStyle w:val="LineBottom"/>
      </w:pPr>
    </w:p>
    <w:p w14:paraId="5ED99000" w14:textId="608FEDF4" w:rsidR="000A02BE" w:rsidRPr="009C5AE3" w:rsidRDefault="000A02BE" w:rsidP="000A02BE">
      <w:pPr>
        <w:pStyle w:val="ATHeading1"/>
      </w:pPr>
      <w:bookmarkStart w:id="0" w:name="TANumber"/>
      <w:r w:rsidRPr="009C5AE3">
        <w:t>P10_TA(2026)</w:t>
      </w:r>
      <w:bookmarkEnd w:id="0"/>
      <w:r w:rsidR="009C5AE3" w:rsidRPr="009C5AE3">
        <w:t>0</w:t>
      </w:r>
      <w:r w:rsidR="009C5AE3">
        <w:t>139</w:t>
      </w:r>
    </w:p>
    <w:p w14:paraId="56C7ED52" w14:textId="3831096A" w:rsidR="000A02BE" w:rsidRPr="009C5AE3" w:rsidRDefault="000A02BE" w:rsidP="000A02BE">
      <w:pPr>
        <w:pStyle w:val="ATHeading2"/>
      </w:pPr>
      <w:bookmarkStart w:id="1" w:name="title"/>
      <w:r w:rsidRPr="009C5AE3">
        <w:t>Marknadsstabilitet för byggnads- och vägtransportsektorerna samt ytterligare sektorer</w:t>
      </w:r>
      <w:bookmarkEnd w:id="1"/>
    </w:p>
    <w:p w14:paraId="4DF605BF" w14:textId="77777777" w:rsidR="000A02BE" w:rsidRPr="009C5AE3" w:rsidRDefault="000A02BE" w:rsidP="000A02BE">
      <w:pPr>
        <w:rPr>
          <w:i/>
          <w:vanish/>
        </w:rPr>
      </w:pPr>
      <w:r w:rsidRPr="009C5AE3">
        <w:rPr>
          <w:i/>
        </w:rPr>
        <w:fldChar w:fldCharType="begin"/>
      </w:r>
      <w:r w:rsidRPr="009C5AE3">
        <w:rPr>
          <w:i/>
        </w:rPr>
        <w:instrText xml:space="preserve"> TC"(</w:instrText>
      </w:r>
      <w:bookmarkStart w:id="2" w:name="DocNumber"/>
      <w:r w:rsidRPr="009C5AE3">
        <w:rPr>
          <w:i/>
        </w:rPr>
        <w:instrText>A10-0098/2026</w:instrText>
      </w:r>
      <w:bookmarkEnd w:id="2"/>
      <w:r w:rsidRPr="009C5AE3">
        <w:rPr>
          <w:i/>
        </w:rPr>
        <w:instrText xml:space="preserve"> - Föredragande: </w:instrText>
      </w:r>
      <w:proofErr w:type="spellStart"/>
      <w:r w:rsidRPr="009C5AE3">
        <w:rPr>
          <w:i/>
        </w:rPr>
        <w:instrText>Danuše</w:instrText>
      </w:r>
      <w:proofErr w:type="spellEnd"/>
      <w:r w:rsidRPr="009C5AE3">
        <w:rPr>
          <w:i/>
        </w:rPr>
        <w:instrText xml:space="preserve"> </w:instrText>
      </w:r>
      <w:proofErr w:type="spellStart"/>
      <w:r w:rsidRPr="009C5AE3">
        <w:rPr>
          <w:i/>
        </w:rPr>
        <w:instrText>Nerudová</w:instrText>
      </w:r>
      <w:proofErr w:type="spellEnd"/>
      <w:r w:rsidRPr="009C5AE3">
        <w:rPr>
          <w:i/>
        </w:rPr>
        <w:instrText xml:space="preserve">)"\l3 \n&gt; \* MERGEFORMAT </w:instrText>
      </w:r>
      <w:r w:rsidRPr="009C5AE3">
        <w:rPr>
          <w:i/>
        </w:rPr>
        <w:fldChar w:fldCharType="end"/>
      </w:r>
    </w:p>
    <w:p w14:paraId="6DDB30F1" w14:textId="77777777" w:rsidR="000A02BE" w:rsidRPr="009C5AE3" w:rsidRDefault="000A02BE" w:rsidP="000A02BE">
      <w:pPr>
        <w:rPr>
          <w:vanish/>
        </w:rPr>
      </w:pPr>
      <w:bookmarkStart w:id="3" w:name="Commission"/>
      <w:r w:rsidRPr="009C5AE3">
        <w:rPr>
          <w:vanish/>
        </w:rPr>
        <w:t>Utskottet för miljö, klimat och livsmedelssäkerhet</w:t>
      </w:r>
      <w:bookmarkEnd w:id="3"/>
    </w:p>
    <w:p w14:paraId="382C5D30" w14:textId="43522782" w:rsidR="000A02BE" w:rsidRPr="009C5AE3" w:rsidRDefault="000A02BE" w:rsidP="000A02BE">
      <w:pPr>
        <w:rPr>
          <w:vanish/>
        </w:rPr>
      </w:pPr>
      <w:bookmarkStart w:id="4" w:name="PE"/>
      <w:r w:rsidRPr="009C5AE3">
        <w:rPr>
          <w:vanish/>
        </w:rPr>
        <w:t>PE78</w:t>
      </w:r>
      <w:r w:rsidR="00854AEC" w:rsidRPr="009C5AE3">
        <w:rPr>
          <w:vanish/>
        </w:rPr>
        <w:t>3</w:t>
      </w:r>
      <w:r w:rsidRPr="009C5AE3">
        <w:rPr>
          <w:vanish/>
        </w:rPr>
        <w:t>.</w:t>
      </w:r>
      <w:bookmarkEnd w:id="4"/>
      <w:r w:rsidR="00854AEC" w:rsidRPr="009C5AE3">
        <w:rPr>
          <w:vanish/>
        </w:rPr>
        <w:t>023</w:t>
      </w:r>
    </w:p>
    <w:p w14:paraId="53AE8CF2" w14:textId="3A064D98" w:rsidR="000A02BE" w:rsidRPr="008D6C1B" w:rsidRDefault="009C5AE3" w:rsidP="000A02BE">
      <w:pPr>
        <w:pStyle w:val="ATHeading3"/>
      </w:pPr>
      <w:bookmarkStart w:id="5" w:name="Sujet"/>
      <w:r w:rsidRPr="009C5AE3">
        <w:t xml:space="preserve">Europaparlamentets ändringar antagna den </w:t>
      </w:r>
      <w:r w:rsidR="00854AEC" w:rsidRPr="009C5AE3">
        <w:t xml:space="preserve">29 april </w:t>
      </w:r>
      <w:r w:rsidR="000A02BE" w:rsidRPr="009C5AE3">
        <w:t xml:space="preserve">2026 </w:t>
      </w:r>
      <w:r>
        <w:t>av</w:t>
      </w:r>
      <w:r w:rsidRPr="009C5AE3">
        <w:t xml:space="preserve"> </w:t>
      </w:r>
      <w:r w:rsidR="000A02BE" w:rsidRPr="009C5AE3">
        <w:t>förslaget till Europaparlamentets och rådets beslut om ändring av beslut (EU) 2015/1814 vad gäller reserven för marknadsstabilitet för byggnads- och vägtransportsektorerna samt ytterligare sektorer</w:t>
      </w:r>
      <w:bookmarkEnd w:id="5"/>
      <w:r w:rsidR="000A02BE" w:rsidRPr="009C5AE3">
        <w:t xml:space="preserve"> </w:t>
      </w:r>
      <w:bookmarkStart w:id="6" w:name="References"/>
      <w:r w:rsidR="000A02BE" w:rsidRPr="009C5AE3">
        <w:t>(COM(2025)0738 – C10-0320/</w:t>
      </w:r>
      <w:r w:rsidR="000A02BE" w:rsidRPr="008D6C1B">
        <w:t>2025 – 2025/0380(COD))</w:t>
      </w:r>
      <w:bookmarkEnd w:id="6"/>
      <w:r w:rsidRPr="003B360B">
        <w:rPr>
          <w:b w:val="0"/>
          <w:szCs w:val="24"/>
          <w:vertAlign w:val="superscript"/>
          <w:lang w:val="fr-FR" w:eastAsia="en-GB"/>
        </w:rPr>
        <w:footnoteReference w:id="1"/>
      </w:r>
    </w:p>
    <w:p w14:paraId="29F9C962" w14:textId="2F82B10E" w:rsidR="00F716FC" w:rsidRPr="009C5AE3" w:rsidRDefault="008023BA" w:rsidP="00F716FC">
      <w:pPr>
        <w:pStyle w:val="NormalBold"/>
      </w:pPr>
      <w:r w:rsidRPr="009C5AE3">
        <w:t>(</w:t>
      </w:r>
      <w:r w:rsidR="00F716FC" w:rsidRPr="009C5AE3">
        <w:t>Ordinarie lagstiftningsförfarande</w:t>
      </w:r>
      <w:r w:rsidRPr="009C5AE3">
        <w:t>:</w:t>
      </w:r>
      <w:r w:rsidR="00F716FC" w:rsidRPr="009C5AE3">
        <w:t xml:space="preserve"> första behandlingen)</w:t>
      </w:r>
    </w:p>
    <w:p w14:paraId="2C40A1FF" w14:textId="131D3166" w:rsidR="008D6C1B" w:rsidRDefault="008D6C1B" w:rsidP="00F716FC">
      <w:pPr>
        <w:pStyle w:val="NormalHanging12a"/>
        <w:sectPr w:rsidR="008D6C1B" w:rsidSect="00B866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B9F4A2" w14:textId="30BF46A2" w:rsidR="00F716FC" w:rsidRPr="009C5AE3" w:rsidRDefault="00F716FC" w:rsidP="00F716FC">
      <w:pPr>
        <w:pStyle w:val="NormalHanging12a"/>
      </w:pPr>
    </w:p>
    <w:p w14:paraId="76EA975B" w14:textId="77777777" w:rsidR="00F716FC" w:rsidRPr="009C5AE3" w:rsidRDefault="00F716FC" w:rsidP="00F716FC">
      <w:pPr>
        <w:pStyle w:val="NormalHanging12a"/>
      </w:pPr>
    </w:p>
    <w:p w14:paraId="20BD7A38" w14:textId="77777777" w:rsidR="00F716FC" w:rsidRPr="009C5AE3" w:rsidRDefault="00F716FC" w:rsidP="00F716FC"/>
    <w:p w14:paraId="20066913" w14:textId="61FCE301" w:rsidR="00F716FC" w:rsidRPr="009C5AE3" w:rsidRDefault="009C5AE3" w:rsidP="00F716FC">
      <w:pPr>
        <w:pStyle w:val="AmNumberTabs"/>
        <w:keepNext/>
      </w:pPr>
      <w:r>
        <w:t>Ändring</w:t>
      </w:r>
      <w:r w:rsidR="00F716FC" w:rsidRPr="009C5AE3">
        <w:tab/>
      </w:r>
      <w:r w:rsidR="00F716FC" w:rsidRPr="009C5AE3">
        <w:tab/>
        <w:t>1</w:t>
      </w:r>
    </w:p>
    <w:p w14:paraId="30F9B041" w14:textId="77777777" w:rsidR="00F716FC" w:rsidRPr="009C5AE3" w:rsidRDefault="00F716FC" w:rsidP="00F716FC">
      <w:pPr>
        <w:pStyle w:val="NormalBold"/>
      </w:pPr>
      <w:r w:rsidRPr="009C5AE3">
        <w:t>Förslag till beslut</w:t>
      </w:r>
    </w:p>
    <w:p w14:paraId="75EB89D9" w14:textId="77777777" w:rsidR="00F716FC" w:rsidRPr="009C5AE3" w:rsidRDefault="00F716FC" w:rsidP="00F716FC">
      <w:pPr>
        <w:pStyle w:val="NormalBold"/>
      </w:pPr>
      <w:r w:rsidRPr="009C5AE3">
        <w:t>Skäl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6B1BC79A" w14:textId="77777777" w:rsidTr="005F00D9">
        <w:trPr>
          <w:trHeight w:val="240"/>
          <w:jc w:val="center"/>
        </w:trPr>
        <w:tc>
          <w:tcPr>
            <w:tcW w:w="9752" w:type="dxa"/>
            <w:gridSpan w:val="2"/>
            <w:tcBorders>
              <w:top w:val="nil"/>
              <w:left w:val="nil"/>
              <w:bottom w:val="nil"/>
              <w:right w:val="nil"/>
            </w:tcBorders>
          </w:tcPr>
          <w:p w14:paraId="68143AAC" w14:textId="77777777" w:rsidR="00F716FC" w:rsidRPr="009C5AE3" w:rsidRDefault="00F716FC" w:rsidP="005F00D9"/>
        </w:tc>
      </w:tr>
      <w:tr w:rsidR="00F716FC" w:rsidRPr="009C5AE3" w14:paraId="1820488D" w14:textId="77777777" w:rsidTr="005F00D9">
        <w:trPr>
          <w:trHeight w:val="240"/>
          <w:jc w:val="center"/>
        </w:trPr>
        <w:tc>
          <w:tcPr>
            <w:tcW w:w="4876" w:type="dxa"/>
            <w:tcBorders>
              <w:top w:val="nil"/>
              <w:left w:val="nil"/>
              <w:bottom w:val="nil"/>
              <w:right w:val="nil"/>
            </w:tcBorders>
            <w:hideMark/>
          </w:tcPr>
          <w:p w14:paraId="23C54719"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62455023" w14:textId="3D9D8C1C" w:rsidR="00F716FC" w:rsidRPr="009C5AE3" w:rsidRDefault="009C5AE3" w:rsidP="005F00D9">
            <w:pPr>
              <w:pStyle w:val="AmColumnHeading"/>
            </w:pPr>
            <w:r>
              <w:t>Ändring</w:t>
            </w:r>
          </w:p>
        </w:tc>
      </w:tr>
      <w:tr w:rsidR="00F716FC" w:rsidRPr="009C5AE3" w14:paraId="03D0BCF5" w14:textId="77777777" w:rsidTr="005F00D9">
        <w:trPr>
          <w:jc w:val="center"/>
        </w:trPr>
        <w:tc>
          <w:tcPr>
            <w:tcW w:w="4876" w:type="dxa"/>
            <w:tcBorders>
              <w:top w:val="nil"/>
              <w:left w:val="nil"/>
              <w:bottom w:val="nil"/>
              <w:right w:val="nil"/>
            </w:tcBorders>
          </w:tcPr>
          <w:p w14:paraId="298C0A0A" w14:textId="77777777" w:rsidR="00F716FC" w:rsidRPr="009C5AE3" w:rsidRDefault="00F716FC" w:rsidP="005F00D9">
            <w:pPr>
              <w:pStyle w:val="Normal6a"/>
            </w:pPr>
          </w:p>
        </w:tc>
        <w:tc>
          <w:tcPr>
            <w:tcW w:w="4876" w:type="dxa"/>
            <w:tcBorders>
              <w:top w:val="nil"/>
              <w:left w:val="nil"/>
              <w:bottom w:val="nil"/>
              <w:right w:val="nil"/>
            </w:tcBorders>
            <w:hideMark/>
          </w:tcPr>
          <w:p w14:paraId="7C69D9AD" w14:textId="77777777" w:rsidR="00F716FC" w:rsidRPr="009C5AE3" w:rsidRDefault="00F716FC" w:rsidP="005F00D9">
            <w:pPr>
              <w:pStyle w:val="Normal6a"/>
            </w:pPr>
            <w:r w:rsidRPr="009C5AE3">
              <w:rPr>
                <w:b/>
                <w:i/>
              </w:rPr>
              <w:t>(1a)</w:t>
            </w:r>
            <w:r w:rsidRPr="009C5AE3">
              <w:tab/>
            </w:r>
            <w:r w:rsidRPr="009C5AE3">
              <w:rPr>
                <w:b/>
                <w:i/>
              </w:rPr>
              <w:t>Europeiska rådets slutsatser av den 12 december 2019 står bakom målet att i överensstämmelse med målen i Parisavtalet uppnå en klimatneutral union senast 2050.</w:t>
            </w:r>
          </w:p>
        </w:tc>
      </w:tr>
    </w:tbl>
    <w:p w14:paraId="79EDC743" w14:textId="77777777" w:rsidR="00F716FC" w:rsidRPr="009C5AE3" w:rsidRDefault="00F716FC" w:rsidP="00F716FC"/>
    <w:p w14:paraId="32024163" w14:textId="6014D37B" w:rsidR="00F716FC" w:rsidRPr="009C5AE3" w:rsidRDefault="009C5AE3" w:rsidP="00F716FC">
      <w:pPr>
        <w:pStyle w:val="AmNumberTabs"/>
      </w:pPr>
      <w:r>
        <w:t>Ändring</w:t>
      </w:r>
      <w:r w:rsidR="00F716FC" w:rsidRPr="009C5AE3">
        <w:tab/>
      </w:r>
      <w:r w:rsidR="00F716FC" w:rsidRPr="009C5AE3">
        <w:tab/>
        <w:t>2</w:t>
      </w:r>
    </w:p>
    <w:p w14:paraId="1B934A1C" w14:textId="77777777" w:rsidR="00F716FC" w:rsidRPr="009C5AE3" w:rsidRDefault="00F716FC" w:rsidP="00F716FC">
      <w:pPr>
        <w:pStyle w:val="NormalBold"/>
      </w:pPr>
      <w:r w:rsidRPr="009C5AE3">
        <w:t>Förslag till beslut</w:t>
      </w:r>
    </w:p>
    <w:p w14:paraId="7C8ED129" w14:textId="77777777" w:rsidR="00F716FC" w:rsidRPr="009C5AE3" w:rsidRDefault="00F716FC" w:rsidP="00F716FC">
      <w:pPr>
        <w:pStyle w:val="NormalBold"/>
      </w:pPr>
      <w:r w:rsidRPr="009C5AE3">
        <w:t xml:space="preserve">Skäl 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731D6465" w14:textId="77777777" w:rsidTr="005F00D9">
        <w:trPr>
          <w:trHeight w:val="240"/>
          <w:jc w:val="center"/>
        </w:trPr>
        <w:tc>
          <w:tcPr>
            <w:tcW w:w="9752" w:type="dxa"/>
            <w:gridSpan w:val="2"/>
            <w:tcBorders>
              <w:top w:val="nil"/>
              <w:left w:val="nil"/>
              <w:bottom w:val="nil"/>
              <w:right w:val="nil"/>
            </w:tcBorders>
          </w:tcPr>
          <w:p w14:paraId="0DFB0C8E" w14:textId="77777777" w:rsidR="00F716FC" w:rsidRPr="009C5AE3" w:rsidRDefault="00F716FC" w:rsidP="005F00D9"/>
        </w:tc>
      </w:tr>
      <w:tr w:rsidR="00F716FC" w:rsidRPr="009C5AE3" w14:paraId="4F043301" w14:textId="77777777" w:rsidTr="005F00D9">
        <w:trPr>
          <w:trHeight w:val="240"/>
          <w:jc w:val="center"/>
        </w:trPr>
        <w:tc>
          <w:tcPr>
            <w:tcW w:w="4876" w:type="dxa"/>
            <w:tcBorders>
              <w:top w:val="nil"/>
              <w:left w:val="nil"/>
              <w:bottom w:val="nil"/>
              <w:right w:val="nil"/>
            </w:tcBorders>
            <w:hideMark/>
          </w:tcPr>
          <w:p w14:paraId="49A17B77"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530A58F9" w14:textId="1A01F033" w:rsidR="00F716FC" w:rsidRPr="009C5AE3" w:rsidRDefault="009C5AE3" w:rsidP="005F00D9">
            <w:pPr>
              <w:pStyle w:val="AmColumnHeading"/>
            </w:pPr>
            <w:r>
              <w:t>Ändring</w:t>
            </w:r>
          </w:p>
        </w:tc>
      </w:tr>
      <w:tr w:rsidR="00F716FC" w:rsidRPr="009C5AE3" w14:paraId="502B244D" w14:textId="77777777" w:rsidTr="005F00D9">
        <w:trPr>
          <w:jc w:val="center"/>
        </w:trPr>
        <w:tc>
          <w:tcPr>
            <w:tcW w:w="4876" w:type="dxa"/>
            <w:tcBorders>
              <w:top w:val="nil"/>
              <w:left w:val="nil"/>
              <w:bottom w:val="nil"/>
              <w:right w:val="nil"/>
            </w:tcBorders>
            <w:hideMark/>
          </w:tcPr>
          <w:p w14:paraId="6F259270" w14:textId="77777777" w:rsidR="00F716FC" w:rsidRPr="009C5AE3" w:rsidRDefault="00F716FC" w:rsidP="005F00D9">
            <w:pPr>
              <w:pStyle w:val="Normal6a"/>
            </w:pPr>
            <w:r w:rsidRPr="009C5AE3">
              <w:t>(3)</w:t>
            </w:r>
            <w:r w:rsidRPr="009C5AE3">
              <w:tab/>
              <w:t>En analys av reservens förväntade funktion, med beaktande av aktuell information, visar att riktade ändringar av vissa parametrar skulle förbättra förutsägbarheten på marknaden och stabilisera prisrörelserna under det nya systemets första år.</w:t>
            </w:r>
          </w:p>
        </w:tc>
        <w:tc>
          <w:tcPr>
            <w:tcW w:w="4876" w:type="dxa"/>
            <w:tcBorders>
              <w:top w:val="nil"/>
              <w:left w:val="nil"/>
              <w:bottom w:val="nil"/>
              <w:right w:val="nil"/>
            </w:tcBorders>
            <w:hideMark/>
          </w:tcPr>
          <w:p w14:paraId="0F6FD42B" w14:textId="77777777" w:rsidR="00F716FC" w:rsidRPr="009C5AE3" w:rsidRDefault="00F716FC" w:rsidP="005F00D9">
            <w:pPr>
              <w:pStyle w:val="Normal6a"/>
            </w:pPr>
            <w:r w:rsidRPr="009C5AE3">
              <w:t>(3)</w:t>
            </w:r>
            <w:r w:rsidRPr="009C5AE3">
              <w:tab/>
              <w:t xml:space="preserve">En analys av reservens förväntade funktion, med beaktande av aktuell information, visar att riktade ändringar av vissa parametrar skulle förbättra förutsägbarheten på marknaden och stabilisera prisrörelserna under det nya systemets första år. </w:t>
            </w:r>
            <w:r w:rsidRPr="009C5AE3">
              <w:rPr>
                <w:b/>
                <w:i/>
              </w:rPr>
              <w:t>För att dessa ändringar inte ska hindra unionens insatser för att fasa ut fossila bränslen krävs ytterligare åtgärder från medlemsstaternas sida. Enligt Europeiska centralbanken ligger de gröna investeringarna i unionen fortfarande under de nivåer som krävs för att uppnå målet om minskade koldioxidutsläpp senast 2030. Medlemsstaterna måste därför fortsätta att vara vaksamma mot risken för ett grönt finansieringsunderskott.</w:t>
            </w:r>
          </w:p>
        </w:tc>
      </w:tr>
    </w:tbl>
    <w:p w14:paraId="221C7E08" w14:textId="77777777" w:rsidR="00F716FC" w:rsidRPr="009C5AE3" w:rsidRDefault="00F716FC" w:rsidP="00F716FC"/>
    <w:p w14:paraId="3A1BCD80" w14:textId="57689830" w:rsidR="00F716FC" w:rsidRPr="009C5AE3" w:rsidRDefault="009C5AE3" w:rsidP="00F716FC">
      <w:pPr>
        <w:pStyle w:val="AmNumberTabs"/>
      </w:pPr>
      <w:r>
        <w:t>Ändring</w:t>
      </w:r>
      <w:r w:rsidR="00F716FC" w:rsidRPr="009C5AE3">
        <w:tab/>
      </w:r>
      <w:r w:rsidR="00F716FC" w:rsidRPr="009C5AE3">
        <w:tab/>
        <w:t>3</w:t>
      </w:r>
    </w:p>
    <w:p w14:paraId="57A7841C" w14:textId="77777777" w:rsidR="00F716FC" w:rsidRPr="009C5AE3" w:rsidRDefault="00F716FC" w:rsidP="00F716FC">
      <w:pPr>
        <w:pStyle w:val="NormalBold"/>
      </w:pPr>
      <w:r w:rsidRPr="009C5AE3">
        <w:t>Förslag till beslut</w:t>
      </w:r>
    </w:p>
    <w:p w14:paraId="5084137E" w14:textId="77777777" w:rsidR="00F716FC" w:rsidRPr="009C5AE3" w:rsidRDefault="00F716FC" w:rsidP="00F716FC">
      <w:pPr>
        <w:pStyle w:val="NormalBold"/>
      </w:pPr>
      <w:r w:rsidRPr="009C5AE3">
        <w:t>Skäl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123B51CE" w14:textId="77777777" w:rsidTr="005F00D9">
        <w:trPr>
          <w:trHeight w:val="240"/>
          <w:jc w:val="center"/>
        </w:trPr>
        <w:tc>
          <w:tcPr>
            <w:tcW w:w="9752" w:type="dxa"/>
            <w:gridSpan w:val="2"/>
            <w:tcBorders>
              <w:top w:val="nil"/>
              <w:left w:val="nil"/>
              <w:bottom w:val="nil"/>
              <w:right w:val="nil"/>
            </w:tcBorders>
          </w:tcPr>
          <w:p w14:paraId="75ECA322" w14:textId="77777777" w:rsidR="00F716FC" w:rsidRPr="009C5AE3" w:rsidRDefault="00F716FC" w:rsidP="005F00D9"/>
        </w:tc>
      </w:tr>
      <w:tr w:rsidR="00F716FC" w:rsidRPr="009C5AE3" w14:paraId="12BE895A" w14:textId="77777777" w:rsidTr="005F00D9">
        <w:trPr>
          <w:trHeight w:val="240"/>
          <w:jc w:val="center"/>
        </w:trPr>
        <w:tc>
          <w:tcPr>
            <w:tcW w:w="4876" w:type="dxa"/>
            <w:tcBorders>
              <w:top w:val="nil"/>
              <w:left w:val="nil"/>
              <w:bottom w:val="nil"/>
              <w:right w:val="nil"/>
            </w:tcBorders>
            <w:hideMark/>
          </w:tcPr>
          <w:p w14:paraId="08BE0875" w14:textId="77777777" w:rsidR="00F716FC" w:rsidRPr="009C5AE3" w:rsidRDefault="00F716FC" w:rsidP="005F00D9">
            <w:pPr>
              <w:pStyle w:val="AmColumnHeading"/>
            </w:pPr>
            <w:r w:rsidRPr="009C5AE3">
              <w:lastRenderedPageBreak/>
              <w:t>Kommissionens förslag</w:t>
            </w:r>
          </w:p>
        </w:tc>
        <w:tc>
          <w:tcPr>
            <w:tcW w:w="4876" w:type="dxa"/>
            <w:tcBorders>
              <w:top w:val="nil"/>
              <w:left w:val="nil"/>
              <w:bottom w:val="nil"/>
              <w:right w:val="nil"/>
            </w:tcBorders>
            <w:hideMark/>
          </w:tcPr>
          <w:p w14:paraId="7D5721F4" w14:textId="62A34419" w:rsidR="00F716FC" w:rsidRPr="009C5AE3" w:rsidRDefault="009C5AE3" w:rsidP="005F00D9">
            <w:pPr>
              <w:pStyle w:val="AmColumnHeading"/>
            </w:pPr>
            <w:r>
              <w:t>Ändring</w:t>
            </w:r>
          </w:p>
        </w:tc>
      </w:tr>
      <w:tr w:rsidR="00F716FC" w:rsidRPr="009C5AE3" w14:paraId="44225E8B" w14:textId="77777777" w:rsidTr="005F00D9">
        <w:trPr>
          <w:jc w:val="center"/>
        </w:trPr>
        <w:tc>
          <w:tcPr>
            <w:tcW w:w="4876" w:type="dxa"/>
            <w:tcBorders>
              <w:top w:val="nil"/>
              <w:left w:val="nil"/>
              <w:bottom w:val="nil"/>
              <w:right w:val="nil"/>
            </w:tcBorders>
          </w:tcPr>
          <w:p w14:paraId="32A7F0FA" w14:textId="77777777" w:rsidR="00F716FC" w:rsidRPr="009C5AE3" w:rsidRDefault="00F716FC" w:rsidP="005F00D9">
            <w:pPr>
              <w:pStyle w:val="Normal6a"/>
            </w:pPr>
          </w:p>
        </w:tc>
        <w:tc>
          <w:tcPr>
            <w:tcW w:w="4876" w:type="dxa"/>
            <w:tcBorders>
              <w:top w:val="nil"/>
              <w:left w:val="nil"/>
              <w:bottom w:val="nil"/>
              <w:right w:val="nil"/>
            </w:tcBorders>
            <w:hideMark/>
          </w:tcPr>
          <w:p w14:paraId="6FD471E5" w14:textId="77777777" w:rsidR="00F716FC" w:rsidRPr="009C5AE3" w:rsidRDefault="00F716FC" w:rsidP="005F00D9">
            <w:pPr>
              <w:pStyle w:val="Normal6a"/>
            </w:pPr>
            <w:r w:rsidRPr="009C5AE3">
              <w:rPr>
                <w:b/>
                <w:i/>
              </w:rPr>
              <w:t>(3a)</w:t>
            </w:r>
            <w:r w:rsidRPr="009C5AE3">
              <w:tab/>
            </w:r>
            <w:r w:rsidRPr="009C5AE3">
              <w:rPr>
                <w:b/>
                <w:i/>
              </w:rPr>
              <w:t xml:space="preserve">Genomförandet av utsläppshandelssystemet för byggnads- och vägtransportsektorerna samt ytterligare sektorer måste åtföljas av kompletterande åtgärder för en utfasning av fossila bränslen, som är det effektivaste verktyget för att hjälpa hushållen att minska sitt beroende av fossila bränslen och därmed för att begränsa effekterna av ETS2 för konsumenterna eftersom efterfrågan på bränsle i byggnads- och transportsektorerna fortsätter att i ett kortare perspektiv huvudsakligen vara icke-elastisk. Medlemsstaterna är skyldiga att använda intäkterna från auktionen av utsläppsrätter för de ändamål som anges i artikel 30d.6 i direktiv 2003/87/EG och prioritera verksamhet som kan bidra till att hantera de sociala aspekterna av handeln med utsläppsrätter inom ramen för ETS2. Det skulle därför vara lämpligt om medlemsstaterna använde intäkterna från auktioneringen av utsläppsrätter som tagits ut från reserven för att komplettera sina sociala klimatplaner. Det är lika viktigt att kommissionen kompletterar sin analys av de slutliga uppdaterade nationella energi- och klimatplanerna genom att för varje medlemsstat identifiera sektorsspecifika åtgärder för en utfasning av fossila bränslen och en bättre användning av ETS-intäkterna som skulle kunna bidra till att minska efterfrågan på ETS2-utsläppsrätter. Det är också viktigt att stärka EIB:s </w:t>
            </w:r>
            <w:proofErr w:type="spellStart"/>
            <w:r w:rsidRPr="009C5AE3">
              <w:rPr>
                <w:b/>
                <w:i/>
              </w:rPr>
              <w:t>Frontloading</w:t>
            </w:r>
            <w:proofErr w:type="spellEnd"/>
            <w:r w:rsidRPr="009C5AE3">
              <w:rPr>
                <w:b/>
                <w:i/>
              </w:rPr>
              <w:t xml:space="preserve"> </w:t>
            </w:r>
            <w:proofErr w:type="spellStart"/>
            <w:r w:rsidRPr="009C5AE3">
              <w:rPr>
                <w:b/>
                <w:i/>
              </w:rPr>
              <w:t>Facility</w:t>
            </w:r>
            <w:proofErr w:type="spellEnd"/>
            <w:r w:rsidRPr="009C5AE3">
              <w:rPr>
                <w:b/>
                <w:i/>
              </w:rPr>
              <w:t xml:space="preserve"> och att överväga ytterligare åtgärder för att öka budgeten för den sociala klimatfonden så att hushållen får ekonomiskt stöd i god tid och på en nivå som återspeglar utvecklingen av ETS2-priserna. Kommissionen måste överväga att förlänga den sociala klimatfondens löptid.</w:t>
            </w:r>
          </w:p>
        </w:tc>
      </w:tr>
    </w:tbl>
    <w:p w14:paraId="7591DA2D" w14:textId="77777777" w:rsidR="00F716FC" w:rsidRPr="009C5AE3" w:rsidRDefault="00F716FC" w:rsidP="00F716FC"/>
    <w:p w14:paraId="776BEED3" w14:textId="2C786B0B" w:rsidR="00F716FC" w:rsidRPr="009C5AE3" w:rsidRDefault="009C5AE3" w:rsidP="00F716FC">
      <w:pPr>
        <w:pStyle w:val="AmNumberTabs"/>
      </w:pPr>
      <w:r>
        <w:t>Ändring</w:t>
      </w:r>
      <w:r w:rsidR="00F716FC" w:rsidRPr="009C5AE3">
        <w:tab/>
      </w:r>
      <w:r w:rsidR="00F716FC" w:rsidRPr="009C5AE3">
        <w:tab/>
        <w:t>4</w:t>
      </w:r>
    </w:p>
    <w:p w14:paraId="02B605E0" w14:textId="77777777" w:rsidR="00F716FC" w:rsidRPr="009C5AE3" w:rsidRDefault="00F716FC" w:rsidP="00F716FC">
      <w:pPr>
        <w:pStyle w:val="NormalBold"/>
      </w:pPr>
      <w:r w:rsidRPr="009C5AE3">
        <w:t>Förslag till beslut</w:t>
      </w:r>
    </w:p>
    <w:p w14:paraId="1C0C012C" w14:textId="77777777" w:rsidR="00F716FC" w:rsidRPr="009C5AE3" w:rsidRDefault="00F716FC" w:rsidP="00F716FC">
      <w:pPr>
        <w:pStyle w:val="NormalBold"/>
      </w:pPr>
      <w:r w:rsidRPr="009C5AE3">
        <w:t>Skäl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732F9437" w14:textId="77777777" w:rsidTr="005F00D9">
        <w:trPr>
          <w:trHeight w:val="240"/>
          <w:jc w:val="center"/>
        </w:trPr>
        <w:tc>
          <w:tcPr>
            <w:tcW w:w="9752" w:type="dxa"/>
            <w:gridSpan w:val="2"/>
            <w:tcBorders>
              <w:top w:val="nil"/>
              <w:left w:val="nil"/>
              <w:bottom w:val="nil"/>
              <w:right w:val="nil"/>
            </w:tcBorders>
          </w:tcPr>
          <w:p w14:paraId="1395C191" w14:textId="77777777" w:rsidR="00F716FC" w:rsidRPr="009C5AE3" w:rsidRDefault="00F716FC" w:rsidP="005F00D9"/>
        </w:tc>
      </w:tr>
      <w:tr w:rsidR="00F716FC" w:rsidRPr="009C5AE3" w14:paraId="4F0B33C4" w14:textId="77777777" w:rsidTr="005F00D9">
        <w:trPr>
          <w:trHeight w:val="240"/>
          <w:jc w:val="center"/>
        </w:trPr>
        <w:tc>
          <w:tcPr>
            <w:tcW w:w="4876" w:type="dxa"/>
            <w:tcBorders>
              <w:top w:val="nil"/>
              <w:left w:val="nil"/>
              <w:bottom w:val="nil"/>
              <w:right w:val="nil"/>
            </w:tcBorders>
            <w:hideMark/>
          </w:tcPr>
          <w:p w14:paraId="0355F932"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1445A658" w14:textId="22AF576B" w:rsidR="00F716FC" w:rsidRPr="009C5AE3" w:rsidRDefault="009C5AE3" w:rsidP="005F00D9">
            <w:pPr>
              <w:pStyle w:val="AmColumnHeading"/>
            </w:pPr>
            <w:r>
              <w:t>Ändring</w:t>
            </w:r>
          </w:p>
        </w:tc>
      </w:tr>
      <w:tr w:rsidR="00F716FC" w:rsidRPr="009C5AE3" w14:paraId="1F39F91D" w14:textId="77777777" w:rsidTr="005F00D9">
        <w:trPr>
          <w:jc w:val="center"/>
        </w:trPr>
        <w:tc>
          <w:tcPr>
            <w:tcW w:w="4876" w:type="dxa"/>
            <w:tcBorders>
              <w:top w:val="nil"/>
              <w:left w:val="nil"/>
              <w:bottom w:val="nil"/>
              <w:right w:val="nil"/>
            </w:tcBorders>
            <w:hideMark/>
          </w:tcPr>
          <w:p w14:paraId="7BCDD013" w14:textId="77777777" w:rsidR="00F716FC" w:rsidRPr="009C5AE3" w:rsidRDefault="00F716FC" w:rsidP="005F00D9">
            <w:pPr>
              <w:pStyle w:val="Normal6a"/>
            </w:pPr>
            <w:r w:rsidRPr="009C5AE3">
              <w:t>(4)</w:t>
            </w:r>
            <w:r w:rsidRPr="009C5AE3">
              <w:tab/>
              <w:t xml:space="preserve">För att öka den långsiktiga förutsägbarheten på marknaden bör de utsläppsrätter som placerats i reserven för byggnads- och vägtransportsektorerna samt ytterligare sektorer och som inte har tagits ut förbli giltiga </w:t>
            </w:r>
            <w:r w:rsidRPr="009C5AE3">
              <w:rPr>
                <w:b/>
                <w:i/>
              </w:rPr>
              <w:t>efter</w:t>
            </w:r>
            <w:r w:rsidRPr="009C5AE3">
              <w:t xml:space="preserve"> den 31 december </w:t>
            </w:r>
            <w:r w:rsidRPr="009C5AE3">
              <w:rPr>
                <w:b/>
                <w:i/>
              </w:rPr>
              <w:t>2030</w:t>
            </w:r>
            <w:r w:rsidRPr="009C5AE3">
              <w:t>.</w:t>
            </w:r>
          </w:p>
        </w:tc>
        <w:tc>
          <w:tcPr>
            <w:tcW w:w="4876" w:type="dxa"/>
            <w:tcBorders>
              <w:top w:val="nil"/>
              <w:left w:val="nil"/>
              <w:bottom w:val="nil"/>
              <w:right w:val="nil"/>
            </w:tcBorders>
            <w:hideMark/>
          </w:tcPr>
          <w:p w14:paraId="21B45BFF" w14:textId="77777777" w:rsidR="00F716FC" w:rsidRPr="009C5AE3" w:rsidRDefault="00F716FC" w:rsidP="005F00D9">
            <w:pPr>
              <w:pStyle w:val="Normal6a"/>
            </w:pPr>
            <w:r w:rsidRPr="009C5AE3">
              <w:t>(4)</w:t>
            </w:r>
            <w:r w:rsidRPr="009C5AE3">
              <w:tab/>
              <w:t xml:space="preserve">För att öka den långsiktiga förutsägbarheten på marknaden bör de utsläppsrätter som placerats i reserven för byggnads- och vägtransportsektorerna samt ytterligare sektorer och som inte har tagits ut förbli giltiga </w:t>
            </w:r>
            <w:r w:rsidRPr="009C5AE3">
              <w:rPr>
                <w:b/>
                <w:i/>
              </w:rPr>
              <w:t>fram till</w:t>
            </w:r>
            <w:r w:rsidRPr="009C5AE3">
              <w:t xml:space="preserve"> den 31 december </w:t>
            </w:r>
            <w:r w:rsidRPr="009C5AE3">
              <w:rPr>
                <w:b/>
                <w:i/>
              </w:rPr>
              <w:t>2033, och delvis fram till den 31 december 2035.</w:t>
            </w:r>
            <w:r w:rsidRPr="009C5AE3">
              <w:t xml:space="preserve"> </w:t>
            </w:r>
            <w:r w:rsidRPr="009C5AE3">
              <w:rPr>
                <w:b/>
                <w:i/>
              </w:rPr>
              <w:t>Inom fyra år efter det att ETS2 har tagits i drift bör kommissionen genomföra en konsekvensbedömning, inbegripet en bedömning av fördelningseffekterna, och en utvärdering av de miljömässiga, sociala och ekonomiska konsekvenserna av de återstående utsläppsrätterna i reserven.</w:t>
            </w:r>
          </w:p>
        </w:tc>
      </w:tr>
    </w:tbl>
    <w:p w14:paraId="0E169F36" w14:textId="77777777" w:rsidR="00F716FC" w:rsidRPr="009C5AE3" w:rsidRDefault="00F716FC" w:rsidP="00F716FC"/>
    <w:p w14:paraId="14E68DA5" w14:textId="3BB97638" w:rsidR="00F716FC" w:rsidRPr="009C5AE3" w:rsidRDefault="009C5AE3" w:rsidP="00F716FC">
      <w:pPr>
        <w:pStyle w:val="AmNumberTabs"/>
      </w:pPr>
      <w:r>
        <w:t>Ändring</w:t>
      </w:r>
      <w:r w:rsidR="00F716FC" w:rsidRPr="009C5AE3">
        <w:tab/>
      </w:r>
      <w:r w:rsidR="00F716FC" w:rsidRPr="009C5AE3">
        <w:tab/>
        <w:t>5</w:t>
      </w:r>
    </w:p>
    <w:p w14:paraId="6BD4C12A" w14:textId="77777777" w:rsidR="00F716FC" w:rsidRPr="009C5AE3" w:rsidRDefault="00F716FC" w:rsidP="00F716FC">
      <w:pPr>
        <w:pStyle w:val="NormalBold"/>
      </w:pPr>
      <w:r w:rsidRPr="009C5AE3">
        <w:t>Förslag till beslut</w:t>
      </w:r>
    </w:p>
    <w:p w14:paraId="5C035A5F" w14:textId="77777777" w:rsidR="00F716FC" w:rsidRPr="009C5AE3" w:rsidRDefault="00F716FC" w:rsidP="00F716FC">
      <w:pPr>
        <w:pStyle w:val="NormalBold"/>
      </w:pPr>
      <w:r w:rsidRPr="009C5AE3">
        <w:t>Skäl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5AF7CBF2" w14:textId="77777777" w:rsidTr="005F00D9">
        <w:trPr>
          <w:trHeight w:val="240"/>
          <w:jc w:val="center"/>
        </w:trPr>
        <w:tc>
          <w:tcPr>
            <w:tcW w:w="9752" w:type="dxa"/>
            <w:gridSpan w:val="2"/>
            <w:tcBorders>
              <w:top w:val="nil"/>
              <w:left w:val="nil"/>
              <w:bottom w:val="nil"/>
              <w:right w:val="nil"/>
            </w:tcBorders>
          </w:tcPr>
          <w:p w14:paraId="07AEE0EE" w14:textId="77777777" w:rsidR="00F716FC" w:rsidRPr="009C5AE3" w:rsidRDefault="00F716FC" w:rsidP="005F00D9"/>
        </w:tc>
      </w:tr>
      <w:tr w:rsidR="00F716FC" w:rsidRPr="009C5AE3" w14:paraId="5EF60734" w14:textId="77777777" w:rsidTr="005F00D9">
        <w:trPr>
          <w:trHeight w:val="240"/>
          <w:jc w:val="center"/>
        </w:trPr>
        <w:tc>
          <w:tcPr>
            <w:tcW w:w="4876" w:type="dxa"/>
            <w:tcBorders>
              <w:top w:val="nil"/>
              <w:left w:val="nil"/>
              <w:bottom w:val="nil"/>
              <w:right w:val="nil"/>
            </w:tcBorders>
            <w:hideMark/>
          </w:tcPr>
          <w:p w14:paraId="6F57F9AC"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1D1237DE" w14:textId="54F90DB8" w:rsidR="00F716FC" w:rsidRPr="009C5AE3" w:rsidRDefault="009C5AE3" w:rsidP="005F00D9">
            <w:pPr>
              <w:pStyle w:val="AmColumnHeading"/>
            </w:pPr>
            <w:r>
              <w:t>Ändring</w:t>
            </w:r>
          </w:p>
        </w:tc>
      </w:tr>
      <w:tr w:rsidR="00F716FC" w:rsidRPr="009C5AE3" w14:paraId="2E2FF191" w14:textId="77777777" w:rsidTr="005F00D9">
        <w:trPr>
          <w:jc w:val="center"/>
        </w:trPr>
        <w:tc>
          <w:tcPr>
            <w:tcW w:w="4876" w:type="dxa"/>
            <w:tcBorders>
              <w:top w:val="nil"/>
              <w:left w:val="nil"/>
              <w:bottom w:val="nil"/>
              <w:right w:val="nil"/>
            </w:tcBorders>
            <w:hideMark/>
          </w:tcPr>
          <w:p w14:paraId="1F7F41A4" w14:textId="77777777" w:rsidR="00F716FC" w:rsidRPr="009C5AE3" w:rsidRDefault="00F716FC" w:rsidP="005F00D9">
            <w:pPr>
              <w:pStyle w:val="Normal6a"/>
            </w:pPr>
            <w:r w:rsidRPr="009C5AE3">
              <w:t>(6)</w:t>
            </w:r>
            <w:r w:rsidRPr="009C5AE3">
              <w:tab/>
              <w:t>Mekanismen för att öka prisstabiliteten under de första tre år då utsläppshandelssystemet för byggnads- och vägtransportsektorerna samt ytterligare sektorer tillämpas bör stärkas med försiktighet, i syfte att ytterligare förbättra dess förmåga att reagera på omotiverade prisfluktuationer och öka förutsägbarheten på marknaden. Detta skulle kunna innebära att en större volym utsläppsrätter släpps ut på marknaden. Om åtgärden tillämpas två gånger under samma 12-månadersperiod bör även det ytterligare uttaget göras vid två tillfällen.</w:t>
            </w:r>
          </w:p>
        </w:tc>
        <w:tc>
          <w:tcPr>
            <w:tcW w:w="4876" w:type="dxa"/>
            <w:tcBorders>
              <w:top w:val="nil"/>
              <w:left w:val="nil"/>
              <w:bottom w:val="nil"/>
              <w:right w:val="nil"/>
            </w:tcBorders>
            <w:hideMark/>
          </w:tcPr>
          <w:p w14:paraId="7005EBB2" w14:textId="77777777" w:rsidR="00F716FC" w:rsidRPr="009C5AE3" w:rsidRDefault="00F716FC" w:rsidP="005F00D9">
            <w:pPr>
              <w:pStyle w:val="Normal6a"/>
            </w:pPr>
            <w:r w:rsidRPr="009C5AE3">
              <w:t>(6)</w:t>
            </w:r>
            <w:r w:rsidRPr="009C5AE3">
              <w:tab/>
              <w:t xml:space="preserve">Mekanismen för att öka prisstabiliteten under de första tre år då utsläppshandelssystemet för byggnads- och vägtransportsektorerna samt ytterligare sektorer tillämpas bör stärkas med försiktighet, i syfte att ytterligare förbättra dess förmåga att reagera på omotiverade prisfluktuationer och öka förutsägbarheten på marknaden. Detta skulle kunna innebära att en större volym utsläppsrätter </w:t>
            </w:r>
            <w:r w:rsidRPr="009C5AE3">
              <w:rPr>
                <w:b/>
                <w:i/>
              </w:rPr>
              <w:t>utan dröjsmål</w:t>
            </w:r>
            <w:r w:rsidRPr="009C5AE3">
              <w:t xml:space="preserve"> släpps ut på marknaden. Om åtgärden tillämpas två gånger under samma 12-månadersperiod bör även det ytterligare uttaget göras vid två tillfällen.</w:t>
            </w:r>
          </w:p>
        </w:tc>
      </w:tr>
    </w:tbl>
    <w:p w14:paraId="005322B8" w14:textId="77777777" w:rsidR="00F716FC" w:rsidRPr="009C5AE3" w:rsidRDefault="00F716FC" w:rsidP="00F716FC"/>
    <w:p w14:paraId="1067948F" w14:textId="719041B4" w:rsidR="00F716FC" w:rsidRPr="009C5AE3" w:rsidRDefault="009C5AE3" w:rsidP="00F716FC">
      <w:pPr>
        <w:pStyle w:val="AmNumberTabs"/>
      </w:pPr>
      <w:r>
        <w:t>Ändring</w:t>
      </w:r>
      <w:r w:rsidR="00F716FC" w:rsidRPr="009C5AE3">
        <w:tab/>
      </w:r>
      <w:r w:rsidR="00F716FC" w:rsidRPr="009C5AE3">
        <w:tab/>
        <w:t>6</w:t>
      </w:r>
    </w:p>
    <w:p w14:paraId="70BAEFC4" w14:textId="77777777" w:rsidR="00F716FC" w:rsidRPr="009C5AE3" w:rsidRDefault="00F716FC" w:rsidP="00F716FC">
      <w:pPr>
        <w:pStyle w:val="NormalBold"/>
      </w:pPr>
      <w:r w:rsidRPr="009C5AE3">
        <w:t>Förslag till beslut</w:t>
      </w:r>
    </w:p>
    <w:p w14:paraId="4E8D14CA" w14:textId="77777777" w:rsidR="00F716FC" w:rsidRPr="009C5AE3" w:rsidRDefault="00F716FC" w:rsidP="00F716FC">
      <w:pPr>
        <w:pStyle w:val="NormalBold"/>
      </w:pPr>
      <w:r w:rsidRPr="009C5AE3">
        <w:t>Skäl 6a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224C8316" w14:textId="77777777" w:rsidTr="005F00D9">
        <w:trPr>
          <w:trHeight w:val="240"/>
          <w:jc w:val="center"/>
        </w:trPr>
        <w:tc>
          <w:tcPr>
            <w:tcW w:w="9752" w:type="dxa"/>
            <w:gridSpan w:val="2"/>
            <w:tcBorders>
              <w:top w:val="nil"/>
              <w:left w:val="nil"/>
              <w:bottom w:val="nil"/>
              <w:right w:val="nil"/>
            </w:tcBorders>
          </w:tcPr>
          <w:p w14:paraId="15636CAA" w14:textId="77777777" w:rsidR="00F716FC" w:rsidRPr="009C5AE3" w:rsidRDefault="00F716FC" w:rsidP="005F00D9"/>
        </w:tc>
      </w:tr>
      <w:tr w:rsidR="00F716FC" w:rsidRPr="009C5AE3" w14:paraId="322E3FE1" w14:textId="77777777" w:rsidTr="005F00D9">
        <w:trPr>
          <w:trHeight w:val="240"/>
          <w:jc w:val="center"/>
        </w:trPr>
        <w:tc>
          <w:tcPr>
            <w:tcW w:w="4876" w:type="dxa"/>
            <w:tcBorders>
              <w:top w:val="nil"/>
              <w:left w:val="nil"/>
              <w:bottom w:val="nil"/>
              <w:right w:val="nil"/>
            </w:tcBorders>
            <w:hideMark/>
          </w:tcPr>
          <w:p w14:paraId="6C4DA7D9"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7A2D2D42" w14:textId="46358BE1" w:rsidR="00F716FC" w:rsidRPr="009C5AE3" w:rsidRDefault="009C5AE3" w:rsidP="005F00D9">
            <w:pPr>
              <w:pStyle w:val="AmColumnHeading"/>
            </w:pPr>
            <w:r>
              <w:t>Ändring</w:t>
            </w:r>
          </w:p>
        </w:tc>
      </w:tr>
      <w:tr w:rsidR="00F716FC" w:rsidRPr="009C5AE3" w14:paraId="6ACC0EB0" w14:textId="77777777" w:rsidTr="005F00D9">
        <w:trPr>
          <w:jc w:val="center"/>
        </w:trPr>
        <w:tc>
          <w:tcPr>
            <w:tcW w:w="4876" w:type="dxa"/>
            <w:tcBorders>
              <w:top w:val="nil"/>
              <w:left w:val="nil"/>
              <w:bottom w:val="nil"/>
              <w:right w:val="nil"/>
            </w:tcBorders>
          </w:tcPr>
          <w:p w14:paraId="33555ACE" w14:textId="77777777" w:rsidR="00F716FC" w:rsidRPr="009C5AE3" w:rsidRDefault="00F716FC" w:rsidP="005F00D9">
            <w:pPr>
              <w:pStyle w:val="Normal6a"/>
            </w:pPr>
          </w:p>
        </w:tc>
        <w:tc>
          <w:tcPr>
            <w:tcW w:w="4876" w:type="dxa"/>
            <w:tcBorders>
              <w:top w:val="nil"/>
              <w:left w:val="nil"/>
              <w:bottom w:val="nil"/>
              <w:right w:val="nil"/>
            </w:tcBorders>
            <w:hideMark/>
          </w:tcPr>
          <w:p w14:paraId="6C894FEC" w14:textId="77777777" w:rsidR="00F716FC" w:rsidRPr="009C5AE3" w:rsidRDefault="00F716FC" w:rsidP="005F00D9">
            <w:pPr>
              <w:pStyle w:val="Normal6a"/>
            </w:pPr>
            <w:r w:rsidRPr="009C5AE3">
              <w:rPr>
                <w:b/>
                <w:i/>
              </w:rPr>
              <w:t>(6a)</w:t>
            </w:r>
            <w:r w:rsidRPr="009C5AE3">
              <w:tab/>
            </w:r>
            <w:r w:rsidRPr="009C5AE3">
              <w:rPr>
                <w:b/>
                <w:i/>
              </w:rPr>
              <w:t xml:space="preserve">Alltför höga prisnivåer på utsläppsrätter inom </w:t>
            </w:r>
            <w:r w:rsidRPr="009C5AE3">
              <w:rPr>
                <w:b/>
                <w:i/>
              </w:rPr>
              <w:lastRenderedPageBreak/>
              <w:t>utsläppshandelssystemet för byggnads- och vägtransportsektorerna samt ytterligare sektorer kan fortfarande få oproportionerliga konsekvenser för utsatta hushåll, samtidigt som kraftiga prisfluktuationer kanske inte bara inträffar två gånger om året. I samband med översynen av Europaparlamentets och rådets direktiv 2003/87/EG är det viktigt att överväga ytterligare sociala skyddsåtgärder, och det vore lämpligt om kommissionen skulle överväga starkare instrument för att begränsa prisökningar i syfte att garantera prisstabilitet på lång sikt. I detta avseende skulle kommissionen kunna överväga en lista med alternativ såsom att efter den 31 december 2029 stärka och förlänga den mekanism för alltför stora prisökningar på 45 EUR, fastställd i 2026 års priser, anpassa reserven för marknadsstabilitet i enlighet med detta, inbegripet frekvensen och volymen för uttag av utsläppsrätter och volymen i reserven vid behov, bedöma möjligheten att låta medlemsstater genom undantag tillfälligt inte tillämpa systemet på bostadshus, förutsatt att de visar att de kan uppnå ansvarsfördelningsmålen genom att införa andra åtgärder och förutsatt att de har införlivat Europaparlamentets och rådets direktiv (EU) 2024/1275 i nationell rätt, vilket säkerställer möjligheten att använda intäkterna från utsläppshandeln till direktstöd, såsom klimatmässig utdelning, utan att behöva bevisa en positiv miljöpåverkan eller införa andra åtgärder för att minimera de kostnader som överförs på utsatta hushåll. Senast den 1 mars 2027 måste kommissionen bedöma dessa alternativ i vederbörlig ordning, med avseende på deras sociala och miljömässiga konsekvenser, samtidigt som det säkerställs att de inte inverkar negativt på uppnåendet av unionens klimatmål enligt Europaparlamentets och rådets förordning (EU) 2021/1119.</w:t>
            </w:r>
          </w:p>
        </w:tc>
      </w:tr>
    </w:tbl>
    <w:p w14:paraId="315C5CD1" w14:textId="77777777" w:rsidR="00F716FC" w:rsidRPr="009C5AE3" w:rsidRDefault="00F716FC" w:rsidP="00F716FC"/>
    <w:p w14:paraId="3F61808A" w14:textId="0F440963" w:rsidR="00F716FC" w:rsidRPr="009C5AE3" w:rsidRDefault="009C5AE3" w:rsidP="00F716FC">
      <w:pPr>
        <w:pStyle w:val="AmNumberTabs"/>
      </w:pPr>
      <w:r>
        <w:t>Ändring</w:t>
      </w:r>
      <w:r w:rsidR="00F716FC" w:rsidRPr="009C5AE3">
        <w:tab/>
      </w:r>
      <w:r w:rsidR="00F716FC" w:rsidRPr="009C5AE3">
        <w:tab/>
        <w:t>7</w:t>
      </w:r>
    </w:p>
    <w:p w14:paraId="1A8CF3F8" w14:textId="77777777" w:rsidR="00F716FC" w:rsidRPr="009C5AE3" w:rsidRDefault="00F716FC" w:rsidP="00F716FC">
      <w:pPr>
        <w:pStyle w:val="NormalBold"/>
      </w:pPr>
      <w:r w:rsidRPr="009C5AE3">
        <w:lastRenderedPageBreak/>
        <w:t>Förslag till beslut</w:t>
      </w:r>
    </w:p>
    <w:p w14:paraId="2C782FA9" w14:textId="77777777" w:rsidR="00F716FC" w:rsidRPr="009C5AE3" w:rsidRDefault="00F716FC" w:rsidP="00F716FC">
      <w:pPr>
        <w:pStyle w:val="NormalBold"/>
      </w:pPr>
      <w:r w:rsidRPr="009C5AE3">
        <w:t>Skäl 6b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56CC4553" w14:textId="77777777" w:rsidTr="005F00D9">
        <w:trPr>
          <w:trHeight w:val="240"/>
          <w:jc w:val="center"/>
        </w:trPr>
        <w:tc>
          <w:tcPr>
            <w:tcW w:w="9752" w:type="dxa"/>
            <w:gridSpan w:val="2"/>
            <w:tcBorders>
              <w:top w:val="nil"/>
              <w:left w:val="nil"/>
              <w:bottom w:val="nil"/>
              <w:right w:val="nil"/>
            </w:tcBorders>
          </w:tcPr>
          <w:p w14:paraId="19C93393" w14:textId="77777777" w:rsidR="00F716FC" w:rsidRPr="009C5AE3" w:rsidRDefault="00F716FC" w:rsidP="005F00D9"/>
        </w:tc>
      </w:tr>
      <w:tr w:rsidR="00F716FC" w:rsidRPr="009C5AE3" w14:paraId="0BCBB666" w14:textId="77777777" w:rsidTr="005F00D9">
        <w:trPr>
          <w:trHeight w:val="240"/>
          <w:jc w:val="center"/>
        </w:trPr>
        <w:tc>
          <w:tcPr>
            <w:tcW w:w="4876" w:type="dxa"/>
            <w:tcBorders>
              <w:top w:val="nil"/>
              <w:left w:val="nil"/>
              <w:bottom w:val="nil"/>
              <w:right w:val="nil"/>
            </w:tcBorders>
            <w:hideMark/>
          </w:tcPr>
          <w:p w14:paraId="758C6075"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255D6A82" w14:textId="4028DBDA" w:rsidR="00F716FC" w:rsidRPr="009C5AE3" w:rsidRDefault="009C5AE3" w:rsidP="005F00D9">
            <w:pPr>
              <w:pStyle w:val="AmColumnHeading"/>
            </w:pPr>
            <w:r>
              <w:t>Ändring</w:t>
            </w:r>
          </w:p>
        </w:tc>
      </w:tr>
      <w:tr w:rsidR="00F716FC" w:rsidRPr="009C5AE3" w14:paraId="42381E87" w14:textId="77777777" w:rsidTr="005F00D9">
        <w:trPr>
          <w:jc w:val="center"/>
        </w:trPr>
        <w:tc>
          <w:tcPr>
            <w:tcW w:w="4876" w:type="dxa"/>
            <w:tcBorders>
              <w:top w:val="nil"/>
              <w:left w:val="nil"/>
              <w:bottom w:val="nil"/>
              <w:right w:val="nil"/>
            </w:tcBorders>
          </w:tcPr>
          <w:p w14:paraId="2121313C" w14:textId="77777777" w:rsidR="00F716FC" w:rsidRPr="009C5AE3" w:rsidRDefault="00F716FC" w:rsidP="005F00D9">
            <w:pPr>
              <w:pStyle w:val="Normal6a"/>
            </w:pPr>
          </w:p>
        </w:tc>
        <w:tc>
          <w:tcPr>
            <w:tcW w:w="4876" w:type="dxa"/>
            <w:tcBorders>
              <w:top w:val="nil"/>
              <w:left w:val="nil"/>
              <w:bottom w:val="nil"/>
              <w:right w:val="nil"/>
            </w:tcBorders>
            <w:hideMark/>
          </w:tcPr>
          <w:p w14:paraId="116A9DE5" w14:textId="544E9BDD" w:rsidR="00F716FC" w:rsidRPr="009C5AE3" w:rsidRDefault="00F716FC" w:rsidP="005F00D9">
            <w:pPr>
              <w:pStyle w:val="Normal6a"/>
            </w:pPr>
            <w:r w:rsidRPr="009C5AE3">
              <w:rPr>
                <w:b/>
                <w:i/>
              </w:rPr>
              <w:t>(6b)</w:t>
            </w:r>
            <w:r w:rsidRPr="009C5AE3">
              <w:tab/>
            </w:r>
            <w:r w:rsidRPr="009C5AE3">
              <w:rPr>
                <w:b/>
                <w:i/>
              </w:rPr>
              <w:t xml:space="preserve">Efter översynen av den reserv för marknadsstabilitet som föreskrivs i detta ändringsbeslut vore det lämpligt om kommissionen skulle kunna genomföra en konsekvensbedömning av utsläppshandelssystemet för byggnads- och vägtransportsektorerna samt ytterligare sektorer för att bedöma dess sociala konsekvenser och dess inverkan på uppnåendet av klimatmålen, samt en bedömning av fördelningseffekterna vad gäller antalet utsatta hushåll för vilka stöd har gjorts tillgängligt från den sociala klimatfonden och </w:t>
            </w:r>
            <w:r w:rsidR="000A6985" w:rsidRPr="009C5AE3">
              <w:rPr>
                <w:b/>
                <w:i/>
              </w:rPr>
              <w:t xml:space="preserve">EIB:s </w:t>
            </w:r>
            <w:r w:rsidRPr="009C5AE3">
              <w:rPr>
                <w:b/>
                <w:i/>
              </w:rPr>
              <w:t>facilitet för förskottstilldelning (</w:t>
            </w:r>
            <w:proofErr w:type="spellStart"/>
            <w:r w:rsidRPr="009C5AE3">
              <w:rPr>
                <w:b/>
                <w:i/>
              </w:rPr>
              <w:t>frontloading</w:t>
            </w:r>
            <w:proofErr w:type="spellEnd"/>
            <w:r w:rsidRPr="009C5AE3">
              <w:rPr>
                <w:b/>
                <w:i/>
              </w:rPr>
              <w:t xml:space="preserve"> </w:t>
            </w:r>
            <w:proofErr w:type="spellStart"/>
            <w:r w:rsidRPr="009C5AE3">
              <w:rPr>
                <w:b/>
                <w:i/>
              </w:rPr>
              <w:t>facility</w:t>
            </w:r>
            <w:proofErr w:type="spellEnd"/>
            <w:r w:rsidRPr="009C5AE3">
              <w:rPr>
                <w:b/>
                <w:i/>
              </w:rPr>
              <w:t>) senast det datumet, inbegripet, när så är möjligt, en uppdelning efter typ av geografiskt område, inkomstfördelning och kön, som också måste överväga ytterligare åtgärder för att säkerställa både miljömässig integritet och social rättvisa inom ETS2.</w:t>
            </w:r>
          </w:p>
        </w:tc>
      </w:tr>
    </w:tbl>
    <w:p w14:paraId="7DF7EDB1" w14:textId="77777777" w:rsidR="00F716FC" w:rsidRPr="009C5AE3" w:rsidRDefault="00F716FC" w:rsidP="00F716FC"/>
    <w:p w14:paraId="2B669889" w14:textId="7A871F92" w:rsidR="00F716FC" w:rsidRPr="009C5AE3" w:rsidRDefault="009C5AE3" w:rsidP="00F716FC">
      <w:pPr>
        <w:pStyle w:val="AmNumberTabs"/>
      </w:pPr>
      <w:r>
        <w:t>Ändring</w:t>
      </w:r>
      <w:r w:rsidR="00F716FC" w:rsidRPr="009C5AE3">
        <w:tab/>
      </w:r>
      <w:r w:rsidR="00F716FC" w:rsidRPr="009C5AE3">
        <w:tab/>
        <w:t>8</w:t>
      </w:r>
    </w:p>
    <w:p w14:paraId="19F695B7" w14:textId="77777777" w:rsidR="00F716FC" w:rsidRPr="009C5AE3" w:rsidRDefault="00F716FC" w:rsidP="00F716FC">
      <w:pPr>
        <w:pStyle w:val="NormalBold"/>
      </w:pPr>
      <w:r w:rsidRPr="009C5AE3">
        <w:t>Förslag till beslut</w:t>
      </w:r>
    </w:p>
    <w:p w14:paraId="23DA4E12" w14:textId="77777777" w:rsidR="00F716FC" w:rsidRPr="009C5AE3" w:rsidRDefault="00F716FC" w:rsidP="00F716FC">
      <w:pPr>
        <w:pStyle w:val="NormalBold"/>
      </w:pPr>
      <w:r w:rsidRPr="009C5AE3">
        <w:t>Artikel 1 – stycke 1 – led 1</w:t>
      </w:r>
    </w:p>
    <w:p w14:paraId="0C26E3BF" w14:textId="7196CBED" w:rsidR="00C61D4A" w:rsidRPr="009C5AE3" w:rsidRDefault="00C61D4A" w:rsidP="00F716FC">
      <w:pPr>
        <w:pStyle w:val="NormalBold"/>
        <w:rPr>
          <w:b w:val="0"/>
          <w:bCs/>
        </w:rPr>
      </w:pPr>
      <w:r w:rsidRPr="009C5AE3">
        <w:rPr>
          <w:b w:val="0"/>
          <w:bCs/>
        </w:rPr>
        <w:t>Beslut (EU) 2015/1814</w:t>
      </w:r>
    </w:p>
    <w:p w14:paraId="08F1D20C" w14:textId="66BE3F8E" w:rsidR="00F716FC" w:rsidRPr="009C5AE3" w:rsidRDefault="00F716FC" w:rsidP="00F716FC">
      <w:r w:rsidRPr="009C5AE3">
        <w:t xml:space="preserve">Artikel 1a </w:t>
      </w:r>
      <w:r w:rsidR="00DC1E5A" w:rsidRPr="009C5AE3">
        <w:t>– punkt 3</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40"/>
        <w:gridCol w:w="4876"/>
        <w:gridCol w:w="4876"/>
      </w:tblGrid>
      <w:tr w:rsidR="00F716FC" w:rsidRPr="009C5AE3" w14:paraId="5349BBDE" w14:textId="77777777" w:rsidTr="00264D8B">
        <w:trPr>
          <w:gridBefore w:val="1"/>
          <w:wBefore w:w="340" w:type="dxa"/>
          <w:trHeight w:val="240"/>
          <w:jc w:val="center"/>
        </w:trPr>
        <w:tc>
          <w:tcPr>
            <w:tcW w:w="9752" w:type="dxa"/>
            <w:gridSpan w:val="2"/>
            <w:tcBorders>
              <w:top w:val="nil"/>
              <w:left w:val="nil"/>
              <w:bottom w:val="nil"/>
              <w:right w:val="nil"/>
            </w:tcBorders>
          </w:tcPr>
          <w:p w14:paraId="4013D11A" w14:textId="77777777" w:rsidR="00F716FC" w:rsidRPr="009C5AE3" w:rsidRDefault="00F716FC" w:rsidP="005F00D9"/>
        </w:tc>
      </w:tr>
      <w:tr w:rsidR="00F716FC" w:rsidRPr="009C5AE3" w14:paraId="1F62CB34" w14:textId="77777777" w:rsidTr="00264D8B">
        <w:trPr>
          <w:gridBefore w:val="1"/>
          <w:wBefore w:w="340" w:type="dxa"/>
          <w:trHeight w:val="240"/>
          <w:jc w:val="center"/>
        </w:trPr>
        <w:tc>
          <w:tcPr>
            <w:tcW w:w="4876" w:type="dxa"/>
            <w:tcBorders>
              <w:top w:val="nil"/>
              <w:left w:val="nil"/>
              <w:bottom w:val="nil"/>
              <w:right w:val="nil"/>
            </w:tcBorders>
            <w:hideMark/>
          </w:tcPr>
          <w:p w14:paraId="4EB9234B"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2F8BC073" w14:textId="2CD31B07" w:rsidR="00F716FC" w:rsidRPr="009C5AE3" w:rsidRDefault="009C5AE3" w:rsidP="005F00D9">
            <w:pPr>
              <w:pStyle w:val="AmColumnHeading"/>
            </w:pPr>
            <w:r>
              <w:t>Ändring</w:t>
            </w:r>
          </w:p>
        </w:tc>
      </w:tr>
      <w:tr w:rsidR="00F716FC" w:rsidRPr="009C5AE3" w14:paraId="58C94B80" w14:textId="77777777" w:rsidTr="00264D8B">
        <w:trPr>
          <w:gridBefore w:val="1"/>
          <w:wBefore w:w="340" w:type="dxa"/>
          <w:jc w:val="center"/>
        </w:trPr>
        <w:tc>
          <w:tcPr>
            <w:tcW w:w="4876" w:type="dxa"/>
            <w:tcBorders>
              <w:top w:val="nil"/>
              <w:left w:val="nil"/>
              <w:bottom w:val="nil"/>
              <w:right w:val="nil"/>
            </w:tcBorders>
            <w:hideMark/>
          </w:tcPr>
          <w:p w14:paraId="2C1A520C" w14:textId="77777777" w:rsidR="00F716FC" w:rsidRPr="009C5AE3" w:rsidRDefault="00F716FC" w:rsidP="005F00D9">
            <w:pPr>
              <w:pStyle w:val="Normal6a"/>
            </w:pPr>
            <w:r w:rsidRPr="009C5AE3">
              <w:t>(1)</w:t>
            </w:r>
            <w:r w:rsidRPr="009C5AE3">
              <w:tab/>
              <w:t xml:space="preserve">I punkt 3 ska andra meningen </w:t>
            </w:r>
            <w:r w:rsidRPr="009C5AE3">
              <w:rPr>
                <w:b/>
                <w:i/>
              </w:rPr>
              <w:t>utgå</w:t>
            </w:r>
            <w:r w:rsidRPr="009C5AE3">
              <w:t>.</w:t>
            </w:r>
          </w:p>
        </w:tc>
        <w:tc>
          <w:tcPr>
            <w:tcW w:w="4876" w:type="dxa"/>
            <w:tcBorders>
              <w:top w:val="nil"/>
              <w:left w:val="nil"/>
              <w:bottom w:val="nil"/>
              <w:right w:val="nil"/>
            </w:tcBorders>
            <w:hideMark/>
          </w:tcPr>
          <w:p w14:paraId="08CA6D21" w14:textId="2B99155C" w:rsidR="00F716FC" w:rsidRPr="009C5AE3" w:rsidRDefault="00F716FC" w:rsidP="005F00D9">
            <w:pPr>
              <w:pStyle w:val="Normal6a"/>
            </w:pPr>
            <w:r w:rsidRPr="009C5AE3">
              <w:t>(1)</w:t>
            </w:r>
            <w:r w:rsidRPr="009C5AE3">
              <w:tab/>
              <w:t xml:space="preserve">I punkt 3 ska andra meningen </w:t>
            </w:r>
            <w:r w:rsidRPr="009C5AE3">
              <w:rPr>
                <w:b/>
                <w:i/>
              </w:rPr>
              <w:t>ersättas med följande:</w:t>
            </w:r>
          </w:p>
        </w:tc>
      </w:tr>
      <w:tr w:rsidR="00264D8B" w:rsidRPr="009C5AE3" w14:paraId="38124F0F" w14:textId="77777777" w:rsidTr="00264D8B">
        <w:trPr>
          <w:jc w:val="center"/>
        </w:trPr>
        <w:tc>
          <w:tcPr>
            <w:tcW w:w="5216" w:type="dxa"/>
            <w:gridSpan w:val="2"/>
            <w:tcBorders>
              <w:top w:val="nil"/>
              <w:left w:val="nil"/>
              <w:bottom w:val="nil"/>
              <w:right w:val="nil"/>
            </w:tcBorders>
            <w:hideMark/>
          </w:tcPr>
          <w:p w14:paraId="06C18943" w14:textId="72744B73" w:rsidR="00264D8B" w:rsidRPr="009C5AE3" w:rsidRDefault="00264D8B" w:rsidP="005F00D9">
            <w:pPr>
              <w:pStyle w:val="Normal6a"/>
            </w:pPr>
          </w:p>
        </w:tc>
        <w:tc>
          <w:tcPr>
            <w:tcW w:w="4876" w:type="dxa"/>
            <w:tcBorders>
              <w:top w:val="nil"/>
              <w:left w:val="nil"/>
              <w:bottom w:val="nil"/>
              <w:right w:val="nil"/>
            </w:tcBorders>
            <w:hideMark/>
          </w:tcPr>
          <w:p w14:paraId="49BB78B3" w14:textId="427B9251" w:rsidR="00264D8B" w:rsidRPr="009C5AE3" w:rsidRDefault="00264D8B" w:rsidP="005F00D9">
            <w:pPr>
              <w:pStyle w:val="Normal6a"/>
            </w:pPr>
            <w:r w:rsidRPr="009C5AE3">
              <w:rPr>
                <w:b/>
                <w:i/>
              </w:rPr>
              <w:t>”Från och med den 1 januari 2034 ska 50 % av de utsläppsrätter som avses i det stycket och som inte har tagits ut från reserven inte längre vara giltiga. Från och med den 1 januari 2036 ska de återstående utsläppsrätter som avses i det stycket och som inte har tagits ut från reserven inte längre vara giltiga.”.</w:t>
            </w:r>
          </w:p>
        </w:tc>
      </w:tr>
    </w:tbl>
    <w:p w14:paraId="3D625666" w14:textId="77777777" w:rsidR="00F716FC" w:rsidRPr="009C5AE3" w:rsidRDefault="00F716FC" w:rsidP="00F716FC"/>
    <w:p w14:paraId="00996C49" w14:textId="39C0A01A" w:rsidR="00F716FC" w:rsidRPr="009C5AE3" w:rsidRDefault="009C5AE3" w:rsidP="00F716FC">
      <w:pPr>
        <w:pStyle w:val="AmNumberTabs"/>
      </w:pPr>
      <w:r>
        <w:lastRenderedPageBreak/>
        <w:t>Ändring</w:t>
      </w:r>
      <w:r w:rsidR="00F716FC" w:rsidRPr="009C5AE3">
        <w:tab/>
      </w:r>
      <w:r w:rsidR="00F716FC" w:rsidRPr="009C5AE3">
        <w:tab/>
        <w:t>9</w:t>
      </w:r>
    </w:p>
    <w:p w14:paraId="18DBEF35" w14:textId="77777777" w:rsidR="00F716FC" w:rsidRPr="009C5AE3" w:rsidRDefault="00F716FC" w:rsidP="00F716FC">
      <w:pPr>
        <w:pStyle w:val="NormalBold"/>
      </w:pPr>
      <w:r w:rsidRPr="009C5AE3">
        <w:t>Förslag till beslut</w:t>
      </w:r>
    </w:p>
    <w:p w14:paraId="4874910E" w14:textId="77777777" w:rsidR="00F716FC" w:rsidRPr="009C5AE3" w:rsidRDefault="00F716FC" w:rsidP="00F716FC">
      <w:pPr>
        <w:pStyle w:val="NormalBold"/>
      </w:pPr>
      <w:r w:rsidRPr="009C5AE3">
        <w:t>Artikel 1 – stycke 1 – led 4a (nytt)</w:t>
      </w:r>
    </w:p>
    <w:p w14:paraId="2F0FE77C" w14:textId="50A4AB94" w:rsidR="00DC1E5A" w:rsidRPr="009C5AE3" w:rsidRDefault="00DC1E5A" w:rsidP="00F716FC">
      <w:r w:rsidRPr="009C5AE3">
        <w:t>Beslut (EU) 2015/1814</w:t>
      </w:r>
    </w:p>
    <w:p w14:paraId="3AEDB265" w14:textId="2AD53E0B" w:rsidR="00F716FC" w:rsidRPr="009C5AE3" w:rsidRDefault="00F716FC" w:rsidP="00F716FC">
      <w:r w:rsidRPr="009C5AE3">
        <w:t xml:space="preserve">Artikel 1a </w:t>
      </w:r>
      <w:r w:rsidR="00DC1E5A" w:rsidRPr="009C5AE3">
        <w:t>– punkt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2B179D12" w14:textId="77777777" w:rsidTr="005F00D9">
        <w:trPr>
          <w:trHeight w:val="240"/>
          <w:jc w:val="center"/>
        </w:trPr>
        <w:tc>
          <w:tcPr>
            <w:tcW w:w="9752" w:type="dxa"/>
            <w:gridSpan w:val="2"/>
            <w:tcBorders>
              <w:top w:val="nil"/>
              <w:left w:val="nil"/>
              <w:bottom w:val="nil"/>
              <w:right w:val="nil"/>
            </w:tcBorders>
          </w:tcPr>
          <w:p w14:paraId="4BE1A8DA" w14:textId="77777777" w:rsidR="00F716FC" w:rsidRPr="009C5AE3" w:rsidRDefault="00F716FC" w:rsidP="005F00D9"/>
        </w:tc>
      </w:tr>
      <w:tr w:rsidR="00F716FC" w:rsidRPr="009C5AE3" w14:paraId="0008102C" w14:textId="77777777" w:rsidTr="005F00D9">
        <w:trPr>
          <w:trHeight w:val="240"/>
          <w:jc w:val="center"/>
        </w:trPr>
        <w:tc>
          <w:tcPr>
            <w:tcW w:w="4876" w:type="dxa"/>
            <w:tcBorders>
              <w:top w:val="nil"/>
              <w:left w:val="nil"/>
              <w:bottom w:val="nil"/>
              <w:right w:val="nil"/>
            </w:tcBorders>
            <w:hideMark/>
          </w:tcPr>
          <w:p w14:paraId="43F18844" w14:textId="77777777" w:rsidR="00F716FC" w:rsidRPr="009C5AE3" w:rsidRDefault="00F716FC" w:rsidP="005F00D9">
            <w:pPr>
              <w:pStyle w:val="AmColumnHeading"/>
            </w:pPr>
            <w:r w:rsidRPr="009C5AE3">
              <w:t>Nuvarande lydelse</w:t>
            </w:r>
          </w:p>
        </w:tc>
        <w:tc>
          <w:tcPr>
            <w:tcW w:w="4876" w:type="dxa"/>
            <w:tcBorders>
              <w:top w:val="nil"/>
              <w:left w:val="nil"/>
              <w:bottom w:val="nil"/>
              <w:right w:val="nil"/>
            </w:tcBorders>
            <w:hideMark/>
          </w:tcPr>
          <w:p w14:paraId="2405728B" w14:textId="2DCAE701" w:rsidR="00F716FC" w:rsidRPr="009C5AE3" w:rsidRDefault="009C5AE3" w:rsidP="005F00D9">
            <w:pPr>
              <w:pStyle w:val="AmColumnHeading"/>
            </w:pPr>
            <w:r>
              <w:t>Ändring</w:t>
            </w:r>
          </w:p>
        </w:tc>
      </w:tr>
      <w:tr w:rsidR="00F716FC" w:rsidRPr="009C5AE3" w14:paraId="58BCCCD0" w14:textId="77777777" w:rsidTr="005F00D9">
        <w:trPr>
          <w:jc w:val="center"/>
        </w:trPr>
        <w:tc>
          <w:tcPr>
            <w:tcW w:w="4876" w:type="dxa"/>
            <w:tcBorders>
              <w:top w:val="nil"/>
              <w:left w:val="nil"/>
              <w:bottom w:val="nil"/>
              <w:right w:val="nil"/>
            </w:tcBorders>
          </w:tcPr>
          <w:p w14:paraId="50611B03" w14:textId="77777777" w:rsidR="00F716FC" w:rsidRPr="009C5AE3" w:rsidRDefault="00F716FC" w:rsidP="005F00D9">
            <w:pPr>
              <w:pStyle w:val="Normal6a"/>
            </w:pPr>
          </w:p>
        </w:tc>
        <w:tc>
          <w:tcPr>
            <w:tcW w:w="4876" w:type="dxa"/>
            <w:tcBorders>
              <w:top w:val="nil"/>
              <w:left w:val="nil"/>
              <w:bottom w:val="nil"/>
              <w:right w:val="nil"/>
            </w:tcBorders>
            <w:hideMark/>
          </w:tcPr>
          <w:p w14:paraId="38561051" w14:textId="77777777" w:rsidR="00F716FC" w:rsidRPr="009C5AE3" w:rsidRDefault="00F716FC" w:rsidP="005F00D9">
            <w:pPr>
              <w:pStyle w:val="Normal6a"/>
            </w:pPr>
            <w:r w:rsidRPr="009C5AE3">
              <w:rPr>
                <w:b/>
                <w:i/>
              </w:rPr>
              <w:t>(4a)</w:t>
            </w:r>
            <w:r w:rsidRPr="009C5AE3">
              <w:tab/>
            </w:r>
            <w:r w:rsidRPr="009C5AE3">
              <w:rPr>
                <w:b/>
                <w:i/>
              </w:rPr>
              <w:t>I punkt 7 ska andra meningen ersättas med följande:</w:t>
            </w:r>
          </w:p>
        </w:tc>
      </w:tr>
      <w:tr w:rsidR="00F716FC" w:rsidRPr="009C5AE3" w14:paraId="5D7C7CB6" w14:textId="77777777" w:rsidTr="005F00D9">
        <w:trPr>
          <w:jc w:val="center"/>
        </w:trPr>
        <w:tc>
          <w:tcPr>
            <w:tcW w:w="4876" w:type="dxa"/>
            <w:tcBorders>
              <w:top w:val="nil"/>
              <w:left w:val="nil"/>
              <w:bottom w:val="nil"/>
              <w:right w:val="nil"/>
            </w:tcBorders>
            <w:hideMark/>
          </w:tcPr>
          <w:p w14:paraId="5E0A3C26" w14:textId="77777777" w:rsidR="00F716FC" w:rsidRPr="009C5AE3" w:rsidRDefault="00F716FC" w:rsidP="005F00D9">
            <w:pPr>
              <w:pStyle w:val="Normal6a"/>
            </w:pPr>
            <w:r w:rsidRPr="009C5AE3">
              <w:t xml:space="preserve">De volymer som ska tas ut från reserven ska fördelas jämnt under en period på tre månader, med början senast </w:t>
            </w:r>
            <w:r w:rsidRPr="009C5AE3">
              <w:rPr>
                <w:b/>
                <w:i/>
              </w:rPr>
              <w:t>två månader</w:t>
            </w:r>
            <w:r w:rsidRPr="009C5AE3">
              <w:t xml:space="preserve"> efter den dag då villkoren uppfylldes enligt offentliggörandet i det hänseendet i Europeiska unionens officiella tidning enligt artikel 30h.8 i direktiv 2003/87/EG.</w:t>
            </w:r>
          </w:p>
        </w:tc>
        <w:tc>
          <w:tcPr>
            <w:tcW w:w="4876" w:type="dxa"/>
            <w:tcBorders>
              <w:top w:val="nil"/>
              <w:left w:val="nil"/>
              <w:bottom w:val="nil"/>
              <w:right w:val="nil"/>
            </w:tcBorders>
            <w:hideMark/>
          </w:tcPr>
          <w:p w14:paraId="49B26FEC" w14:textId="51B9FABF" w:rsidR="00F716FC" w:rsidRPr="009C5AE3" w:rsidRDefault="00F716FC" w:rsidP="005F00D9">
            <w:pPr>
              <w:pStyle w:val="Normal6a"/>
            </w:pPr>
            <w:r w:rsidRPr="009C5AE3">
              <w:rPr>
                <w:b/>
                <w:i/>
              </w:rPr>
              <w:t>”</w:t>
            </w:r>
            <w:r w:rsidRPr="009C5AE3">
              <w:t xml:space="preserve">De volymer som ska tas ut från reserven ska fördelas jämnt under en period på tre månader, med början senast </w:t>
            </w:r>
            <w:r w:rsidRPr="009C5AE3">
              <w:rPr>
                <w:b/>
                <w:i/>
              </w:rPr>
              <w:t>30 dagar</w:t>
            </w:r>
            <w:r w:rsidRPr="009C5AE3">
              <w:t xml:space="preserve"> efter den dag då villkoren uppfylldes enligt offentliggörandet i det hänseendet i Europeiska unionens officiella tidning enligt artikel 30h.8 i direktiv 2003/87/EG.</w:t>
            </w:r>
            <w:r w:rsidRPr="009C5AE3">
              <w:rPr>
                <w:b/>
                <w:i/>
              </w:rPr>
              <w:t>”</w:t>
            </w:r>
          </w:p>
        </w:tc>
      </w:tr>
    </w:tbl>
    <w:p w14:paraId="0BC93301" w14:textId="5003432A" w:rsidR="00F716FC" w:rsidRPr="009C5AE3" w:rsidRDefault="00F716FC" w:rsidP="00F716FC">
      <w:pPr>
        <w:pStyle w:val="AmCrossRef"/>
        <w:rPr>
          <w:i w:val="0"/>
          <w:iCs/>
        </w:rPr>
      </w:pPr>
      <w:r w:rsidRPr="009C5AE3">
        <w:rPr>
          <w:i w:val="0"/>
          <w:iCs/>
        </w:rPr>
        <w:t>(32015D1814)</w:t>
      </w:r>
    </w:p>
    <w:p w14:paraId="40B65B85" w14:textId="77777777" w:rsidR="00F716FC" w:rsidRPr="009C5AE3" w:rsidRDefault="00F716FC" w:rsidP="009C5AE3">
      <w:pPr>
        <w:pStyle w:val="AmCrossRef"/>
        <w:jc w:val="left"/>
      </w:pPr>
    </w:p>
    <w:p w14:paraId="2EE1D2F6" w14:textId="5C0CD7DF" w:rsidR="00F716FC" w:rsidRPr="009C5AE3" w:rsidRDefault="009C5AE3" w:rsidP="00F716FC">
      <w:pPr>
        <w:pStyle w:val="AmNumberTabs"/>
      </w:pPr>
      <w:r>
        <w:t>Ändring</w:t>
      </w:r>
      <w:r w:rsidR="00F716FC" w:rsidRPr="009C5AE3">
        <w:tab/>
      </w:r>
      <w:r w:rsidR="00F716FC" w:rsidRPr="009C5AE3">
        <w:tab/>
        <w:t>10</w:t>
      </w:r>
    </w:p>
    <w:p w14:paraId="2866F272" w14:textId="77777777" w:rsidR="00F716FC" w:rsidRPr="009C5AE3" w:rsidRDefault="00F716FC" w:rsidP="00F716FC">
      <w:pPr>
        <w:pStyle w:val="NormalBold"/>
      </w:pPr>
      <w:r w:rsidRPr="009C5AE3">
        <w:t>Förslag till beslut</w:t>
      </w:r>
    </w:p>
    <w:p w14:paraId="106FD968" w14:textId="77777777" w:rsidR="00F716FC" w:rsidRPr="009C5AE3" w:rsidRDefault="00F716FC" w:rsidP="00F716FC">
      <w:pPr>
        <w:pStyle w:val="NormalBold"/>
      </w:pPr>
      <w:r w:rsidRPr="009C5AE3">
        <w:t>Artikel 1a (ny)</w:t>
      </w:r>
    </w:p>
    <w:p w14:paraId="5BE12BFC" w14:textId="77777777" w:rsidR="002F7325" w:rsidRPr="009C5AE3" w:rsidRDefault="002F7325" w:rsidP="002F7325">
      <w:pPr>
        <w:pStyle w:val="NormalBold"/>
        <w:rPr>
          <w:b w:val="0"/>
          <w:bCs/>
        </w:rPr>
      </w:pPr>
      <w:r w:rsidRPr="009C5AE3">
        <w:rPr>
          <w:b w:val="0"/>
          <w:bCs/>
        </w:rPr>
        <w:t>Beslut (EU) 2015/1814</w:t>
      </w:r>
    </w:p>
    <w:p w14:paraId="311B0EFD" w14:textId="57D9805F" w:rsidR="002F7325" w:rsidRPr="009C5AE3" w:rsidRDefault="002F7325" w:rsidP="002F7325">
      <w:pPr>
        <w:pStyle w:val="NormalBold"/>
        <w:rPr>
          <w:b w:val="0"/>
          <w:bCs/>
        </w:rPr>
      </w:pPr>
      <w:r w:rsidRPr="009C5AE3">
        <w:rPr>
          <w:b w:val="0"/>
          <w:bCs/>
        </w:rPr>
        <w:t>Artikel 3 – punkt 1a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6FC" w:rsidRPr="009C5AE3" w14:paraId="0A16F1B2" w14:textId="77777777" w:rsidTr="005F00D9">
        <w:trPr>
          <w:trHeight w:val="240"/>
          <w:jc w:val="center"/>
        </w:trPr>
        <w:tc>
          <w:tcPr>
            <w:tcW w:w="9752" w:type="dxa"/>
            <w:gridSpan w:val="2"/>
            <w:tcBorders>
              <w:top w:val="nil"/>
              <w:left w:val="nil"/>
              <w:bottom w:val="nil"/>
              <w:right w:val="nil"/>
            </w:tcBorders>
          </w:tcPr>
          <w:p w14:paraId="2DF42407" w14:textId="77777777" w:rsidR="00F716FC" w:rsidRPr="009C5AE3" w:rsidRDefault="00F716FC" w:rsidP="005F00D9"/>
        </w:tc>
      </w:tr>
      <w:tr w:rsidR="00F716FC" w:rsidRPr="009C5AE3" w14:paraId="746E57FE" w14:textId="77777777" w:rsidTr="005F00D9">
        <w:trPr>
          <w:trHeight w:val="240"/>
          <w:jc w:val="center"/>
        </w:trPr>
        <w:tc>
          <w:tcPr>
            <w:tcW w:w="4876" w:type="dxa"/>
            <w:tcBorders>
              <w:top w:val="nil"/>
              <w:left w:val="nil"/>
              <w:bottom w:val="nil"/>
              <w:right w:val="nil"/>
            </w:tcBorders>
            <w:hideMark/>
          </w:tcPr>
          <w:p w14:paraId="2D42E247" w14:textId="77777777" w:rsidR="00F716FC" w:rsidRPr="009C5AE3" w:rsidRDefault="00F716FC" w:rsidP="005F00D9">
            <w:pPr>
              <w:pStyle w:val="AmColumnHeading"/>
            </w:pPr>
            <w:r w:rsidRPr="009C5AE3">
              <w:t>Kommissionens förslag</w:t>
            </w:r>
          </w:p>
        </w:tc>
        <w:tc>
          <w:tcPr>
            <w:tcW w:w="4876" w:type="dxa"/>
            <w:tcBorders>
              <w:top w:val="nil"/>
              <w:left w:val="nil"/>
              <w:bottom w:val="nil"/>
              <w:right w:val="nil"/>
            </w:tcBorders>
            <w:hideMark/>
          </w:tcPr>
          <w:p w14:paraId="79EF8280" w14:textId="73C25CED" w:rsidR="00F716FC" w:rsidRPr="009C5AE3" w:rsidRDefault="009C5AE3" w:rsidP="005F00D9">
            <w:pPr>
              <w:pStyle w:val="AmColumnHeading"/>
            </w:pPr>
            <w:r>
              <w:t>Ändring</w:t>
            </w:r>
          </w:p>
        </w:tc>
      </w:tr>
      <w:tr w:rsidR="00F716FC" w:rsidRPr="009C5AE3" w14:paraId="3B06E9C5" w14:textId="77777777" w:rsidTr="005F00D9">
        <w:trPr>
          <w:jc w:val="center"/>
        </w:trPr>
        <w:tc>
          <w:tcPr>
            <w:tcW w:w="4876" w:type="dxa"/>
            <w:tcBorders>
              <w:top w:val="nil"/>
              <w:left w:val="nil"/>
              <w:bottom w:val="nil"/>
              <w:right w:val="nil"/>
            </w:tcBorders>
          </w:tcPr>
          <w:p w14:paraId="48328FE7" w14:textId="77777777" w:rsidR="00F716FC" w:rsidRPr="009C5AE3" w:rsidRDefault="00F716FC" w:rsidP="005F00D9">
            <w:pPr>
              <w:pStyle w:val="Normal6a"/>
            </w:pPr>
          </w:p>
        </w:tc>
        <w:tc>
          <w:tcPr>
            <w:tcW w:w="4876" w:type="dxa"/>
            <w:tcBorders>
              <w:top w:val="nil"/>
              <w:left w:val="nil"/>
              <w:bottom w:val="nil"/>
              <w:right w:val="nil"/>
            </w:tcBorders>
            <w:hideMark/>
          </w:tcPr>
          <w:p w14:paraId="56C768A8" w14:textId="77777777" w:rsidR="00F716FC" w:rsidRPr="009C5AE3" w:rsidRDefault="00F716FC" w:rsidP="005F00D9">
            <w:pPr>
              <w:pStyle w:val="Normal6a"/>
              <w:jc w:val="center"/>
            </w:pPr>
            <w:r w:rsidRPr="009C5AE3">
              <w:rPr>
                <w:b/>
                <w:i/>
              </w:rPr>
              <w:t>Artikel 1a</w:t>
            </w:r>
            <w:r w:rsidRPr="009C5AE3">
              <w:tab/>
            </w:r>
          </w:p>
        </w:tc>
      </w:tr>
      <w:tr w:rsidR="00F716FC" w:rsidRPr="009C5AE3" w14:paraId="64BEF6BF" w14:textId="77777777" w:rsidTr="005F00D9">
        <w:trPr>
          <w:jc w:val="center"/>
        </w:trPr>
        <w:tc>
          <w:tcPr>
            <w:tcW w:w="4876" w:type="dxa"/>
            <w:tcBorders>
              <w:top w:val="nil"/>
              <w:left w:val="nil"/>
              <w:bottom w:val="nil"/>
              <w:right w:val="nil"/>
            </w:tcBorders>
          </w:tcPr>
          <w:p w14:paraId="13430442" w14:textId="77777777" w:rsidR="00F716FC" w:rsidRPr="009C5AE3" w:rsidRDefault="00F716FC" w:rsidP="005F00D9">
            <w:pPr>
              <w:pStyle w:val="Normal6a"/>
            </w:pPr>
          </w:p>
        </w:tc>
        <w:tc>
          <w:tcPr>
            <w:tcW w:w="4876" w:type="dxa"/>
            <w:tcBorders>
              <w:top w:val="nil"/>
              <w:left w:val="nil"/>
              <w:bottom w:val="nil"/>
              <w:right w:val="nil"/>
            </w:tcBorders>
            <w:hideMark/>
          </w:tcPr>
          <w:p w14:paraId="0D071BB7" w14:textId="66D5478D" w:rsidR="00F716FC" w:rsidRPr="009C5AE3" w:rsidRDefault="00F716FC" w:rsidP="005F00D9">
            <w:pPr>
              <w:pStyle w:val="Normal6a"/>
            </w:pPr>
            <w:r w:rsidRPr="009C5AE3">
              <w:rPr>
                <w:b/>
                <w:i/>
              </w:rPr>
              <w:t xml:space="preserve">I artikel 3 </w:t>
            </w:r>
            <w:r w:rsidR="002F7325" w:rsidRPr="009C5AE3">
              <w:rPr>
                <w:b/>
                <w:i/>
              </w:rPr>
              <w:t xml:space="preserve">i beslut (EU) 2015/1814, </w:t>
            </w:r>
            <w:r w:rsidRPr="009C5AE3">
              <w:rPr>
                <w:b/>
                <w:i/>
              </w:rPr>
              <w:t xml:space="preserve">ska följande </w:t>
            </w:r>
            <w:r w:rsidR="00886DD0" w:rsidRPr="009C5AE3">
              <w:rPr>
                <w:b/>
                <w:i/>
              </w:rPr>
              <w:t>stycke</w:t>
            </w:r>
            <w:r w:rsidRPr="009C5AE3">
              <w:rPr>
                <w:b/>
                <w:i/>
              </w:rPr>
              <w:t xml:space="preserve"> läggas till:</w:t>
            </w:r>
          </w:p>
        </w:tc>
      </w:tr>
      <w:tr w:rsidR="00F716FC" w:rsidRPr="00B866F0" w14:paraId="3F86E379" w14:textId="77777777" w:rsidTr="005F00D9">
        <w:trPr>
          <w:jc w:val="center"/>
        </w:trPr>
        <w:tc>
          <w:tcPr>
            <w:tcW w:w="4876" w:type="dxa"/>
            <w:tcBorders>
              <w:top w:val="nil"/>
              <w:left w:val="nil"/>
              <w:bottom w:val="nil"/>
              <w:right w:val="nil"/>
            </w:tcBorders>
          </w:tcPr>
          <w:p w14:paraId="0D0CF13B" w14:textId="77777777" w:rsidR="00F716FC" w:rsidRPr="009C5AE3" w:rsidRDefault="00F716FC" w:rsidP="005F00D9">
            <w:pPr>
              <w:pStyle w:val="Normal6a"/>
            </w:pPr>
          </w:p>
        </w:tc>
        <w:tc>
          <w:tcPr>
            <w:tcW w:w="4876" w:type="dxa"/>
            <w:tcBorders>
              <w:top w:val="nil"/>
              <w:left w:val="nil"/>
              <w:bottom w:val="nil"/>
              <w:right w:val="nil"/>
            </w:tcBorders>
            <w:hideMark/>
          </w:tcPr>
          <w:p w14:paraId="448F10DE" w14:textId="1F26E815" w:rsidR="00F716FC" w:rsidRPr="00B866F0" w:rsidRDefault="00F716FC" w:rsidP="005F00D9">
            <w:pPr>
              <w:pStyle w:val="Normal6a"/>
            </w:pPr>
            <w:r w:rsidRPr="009C5AE3">
              <w:rPr>
                <w:b/>
                <w:i/>
              </w:rPr>
              <w:t xml:space="preserve">”Inom fyra år från det att handeln med utsläppsrätter för byggnads- och vägtransportsektorerna samt ytterligare sektorer enligt kapitel </w:t>
            </w:r>
            <w:proofErr w:type="spellStart"/>
            <w:r w:rsidRPr="009C5AE3">
              <w:rPr>
                <w:b/>
                <w:i/>
              </w:rPr>
              <w:t>IVa</w:t>
            </w:r>
            <w:proofErr w:type="spellEnd"/>
            <w:r w:rsidRPr="009C5AE3">
              <w:rPr>
                <w:b/>
                <w:i/>
              </w:rPr>
              <w:t xml:space="preserve"> i direktiv 2003/87/EG inleds ska kommissionen genomföra en konsekvensbedömning, inbegripet en bedömning av fördelningseffekter, och en utvärdering av de miljömässiga, sociala och ekonomiska konsekvenserna av de återstående utsläppsrätterna i reserven enligt artikel </w:t>
            </w:r>
            <w:r w:rsidR="002F7325" w:rsidRPr="009C5AE3">
              <w:rPr>
                <w:b/>
                <w:i/>
              </w:rPr>
              <w:t>1a i detta beslut</w:t>
            </w:r>
            <w:r w:rsidRPr="009C5AE3">
              <w:rPr>
                <w:b/>
                <w:i/>
              </w:rPr>
              <w:t xml:space="preserve">, och fastställa om det är lämpligt att helt eller delvis ogiltigförklara dessa utsläppsrätter. Denna utvärdering ska, där så är lämpligt, åtföljas av ett </w:t>
            </w:r>
            <w:r w:rsidRPr="009C5AE3">
              <w:rPr>
                <w:b/>
                <w:i/>
              </w:rPr>
              <w:lastRenderedPageBreak/>
              <w:t>lagstiftningsförslag.</w:t>
            </w:r>
            <w:r w:rsidR="00011FFB" w:rsidRPr="009C5AE3">
              <w:rPr>
                <w:b/>
                <w:i/>
              </w:rPr>
              <w:t>”.</w:t>
            </w:r>
          </w:p>
        </w:tc>
      </w:tr>
    </w:tbl>
    <w:p w14:paraId="128EC740" w14:textId="6AED4F5F" w:rsidR="00E365E1" w:rsidRPr="00B866F0" w:rsidRDefault="00E365E1" w:rsidP="000A02BE"/>
    <w:sectPr w:rsidR="00E365E1" w:rsidRPr="00B866F0" w:rsidSect="00B866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BBF7D" w14:textId="77777777" w:rsidR="000A02BE" w:rsidRPr="00B866F0" w:rsidRDefault="000A02BE">
      <w:r w:rsidRPr="00B866F0">
        <w:separator/>
      </w:r>
    </w:p>
  </w:endnote>
  <w:endnote w:type="continuationSeparator" w:id="0">
    <w:p w14:paraId="421361A9" w14:textId="77777777" w:rsidR="000A02BE" w:rsidRPr="00B866F0" w:rsidRDefault="000A02BE">
      <w:r w:rsidRPr="00B86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875C" w14:textId="77777777" w:rsidR="00064002" w:rsidRPr="00B866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24A2" w14:textId="77777777" w:rsidR="00064002" w:rsidRPr="00B866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4466" w14:textId="77777777" w:rsidR="00064002" w:rsidRPr="00B866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5AE2" w14:textId="77777777" w:rsidR="000A02BE" w:rsidRPr="00B866F0" w:rsidRDefault="000A02BE">
      <w:r w:rsidRPr="00B866F0">
        <w:separator/>
      </w:r>
    </w:p>
  </w:footnote>
  <w:footnote w:type="continuationSeparator" w:id="0">
    <w:p w14:paraId="40A6F953" w14:textId="77777777" w:rsidR="000A02BE" w:rsidRPr="00B866F0" w:rsidRDefault="000A02BE">
      <w:r w:rsidRPr="00B866F0">
        <w:continuationSeparator/>
      </w:r>
    </w:p>
  </w:footnote>
  <w:footnote w:id="1">
    <w:p w14:paraId="5A72AFF1" w14:textId="777294BC" w:rsidR="009C5AE3" w:rsidRPr="008D0878" w:rsidRDefault="009C5AE3" w:rsidP="009C5AE3">
      <w:pPr>
        <w:pStyle w:val="FootnoteText"/>
        <w:ind w:left="567" w:hanging="567"/>
        <w:rPr>
          <w:lang w:val="cs-CZ"/>
        </w:rPr>
      </w:pPr>
      <w:r>
        <w:rPr>
          <w:rStyle w:val="FootnoteReference"/>
        </w:rPr>
        <w:footnoteRef/>
      </w:r>
      <w:r w:rsidRPr="00195F05">
        <w:rPr>
          <w:lang w:val="sv-SE"/>
        </w:rPr>
        <w:t xml:space="preserve"> </w:t>
      </w:r>
      <w:r>
        <w:rPr>
          <w:lang w:val="sv-SE"/>
        </w:rPr>
        <w:tab/>
      </w:r>
      <w:r w:rsidRPr="003B360B">
        <w:rPr>
          <w:sz w:val="24"/>
          <w:szCs w:val="24"/>
          <w:lang w:val="sv-SE"/>
        </w:rPr>
        <w:t>Ärendet återförvisades för interinstitutionella förhandlingar till det ansvariga utskottet, i enlighet med artikel 60.4 fjärde stycket i arbetsordningen (A10-00</w:t>
      </w:r>
      <w:r w:rsidR="008D6C1B" w:rsidRPr="003B360B">
        <w:rPr>
          <w:sz w:val="24"/>
          <w:szCs w:val="24"/>
          <w:lang w:val="sv-SE"/>
        </w:rPr>
        <w:t>98</w:t>
      </w:r>
      <w:r w:rsidRPr="003B360B">
        <w:rPr>
          <w:sz w:val="24"/>
          <w:szCs w:val="24"/>
          <w:lang w:val="sv-SE"/>
        </w:rPr>
        <w:t>/202</w:t>
      </w:r>
      <w:r w:rsidR="008D6C1B" w:rsidRPr="003B360B">
        <w:rPr>
          <w:sz w:val="24"/>
          <w:szCs w:val="24"/>
          <w:lang w:val="sv-SE"/>
        </w:rPr>
        <w:t>6</w:t>
      </w:r>
      <w:r w:rsidRPr="003B360B">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155A" w14:textId="77777777" w:rsidR="00064002" w:rsidRPr="00B866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C8B0" w14:textId="77777777" w:rsidR="00064002" w:rsidRPr="00B866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DDC9" w14:textId="77777777" w:rsidR="00064002" w:rsidRPr="00B866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0840628">
    <w:abstractNumId w:val="9"/>
  </w:num>
  <w:num w:numId="2" w16cid:durableId="1783059">
    <w:abstractNumId w:val="9"/>
  </w:num>
  <w:num w:numId="3" w16cid:durableId="898399160">
    <w:abstractNumId w:val="7"/>
  </w:num>
  <w:num w:numId="4" w16cid:durableId="727188974">
    <w:abstractNumId w:val="7"/>
  </w:num>
  <w:num w:numId="5" w16cid:durableId="287246872">
    <w:abstractNumId w:val="6"/>
  </w:num>
  <w:num w:numId="6" w16cid:durableId="591470624">
    <w:abstractNumId w:val="6"/>
  </w:num>
  <w:num w:numId="7" w16cid:durableId="1919634511">
    <w:abstractNumId w:val="5"/>
  </w:num>
  <w:num w:numId="8" w16cid:durableId="1468354870">
    <w:abstractNumId w:val="5"/>
  </w:num>
  <w:num w:numId="9" w16cid:durableId="839151347">
    <w:abstractNumId w:val="4"/>
  </w:num>
  <w:num w:numId="10" w16cid:durableId="1557666950">
    <w:abstractNumId w:val="4"/>
  </w:num>
  <w:num w:numId="11" w16cid:durableId="2106458293">
    <w:abstractNumId w:val="8"/>
  </w:num>
  <w:num w:numId="12" w16cid:durableId="1902910807">
    <w:abstractNumId w:val="8"/>
  </w:num>
  <w:num w:numId="13" w16cid:durableId="874730988">
    <w:abstractNumId w:val="3"/>
  </w:num>
  <w:num w:numId="14" w16cid:durableId="839658169">
    <w:abstractNumId w:val="3"/>
  </w:num>
  <w:num w:numId="15" w16cid:durableId="1117913458">
    <w:abstractNumId w:val="2"/>
  </w:num>
  <w:num w:numId="16" w16cid:durableId="301010505">
    <w:abstractNumId w:val="2"/>
  </w:num>
  <w:num w:numId="17" w16cid:durableId="255528241">
    <w:abstractNumId w:val="1"/>
  </w:num>
  <w:num w:numId="18" w16cid:durableId="1224172402">
    <w:abstractNumId w:val="1"/>
  </w:num>
  <w:num w:numId="19" w16cid:durableId="569388913">
    <w:abstractNumId w:val="0"/>
  </w:num>
  <w:num w:numId="20" w16cid:durableId="87509889">
    <w:abstractNumId w:val="0"/>
  </w:num>
  <w:num w:numId="21" w16cid:durableId="372770393">
    <w:abstractNumId w:val="9"/>
  </w:num>
  <w:num w:numId="22" w16cid:durableId="1636376501">
    <w:abstractNumId w:val="7"/>
  </w:num>
  <w:num w:numId="23" w16cid:durableId="1202985598">
    <w:abstractNumId w:val="6"/>
  </w:num>
  <w:num w:numId="24" w16cid:durableId="769620815">
    <w:abstractNumId w:val="5"/>
  </w:num>
  <w:num w:numId="25" w16cid:durableId="2026714265">
    <w:abstractNumId w:val="4"/>
  </w:num>
  <w:num w:numId="26" w16cid:durableId="866521627">
    <w:abstractNumId w:val="8"/>
  </w:num>
  <w:num w:numId="27" w16cid:durableId="2078746160">
    <w:abstractNumId w:val="3"/>
  </w:num>
  <w:num w:numId="28" w16cid:durableId="431363096">
    <w:abstractNumId w:val="2"/>
  </w:num>
  <w:num w:numId="29" w16cid:durableId="1738825293">
    <w:abstractNumId w:val="1"/>
  </w:num>
  <w:num w:numId="30" w16cid:durableId="1924415340">
    <w:abstractNumId w:val="0"/>
  </w:num>
  <w:num w:numId="31" w16cid:durableId="8408265">
    <w:abstractNumId w:val="9"/>
  </w:num>
  <w:num w:numId="32" w16cid:durableId="159005023">
    <w:abstractNumId w:val="7"/>
  </w:num>
  <w:num w:numId="33" w16cid:durableId="1656571577">
    <w:abstractNumId w:val="6"/>
  </w:num>
  <w:num w:numId="34" w16cid:durableId="147405829">
    <w:abstractNumId w:val="5"/>
  </w:num>
  <w:num w:numId="35" w16cid:durableId="849220679">
    <w:abstractNumId w:val="4"/>
  </w:num>
  <w:num w:numId="36" w16cid:durableId="864174501">
    <w:abstractNumId w:val="8"/>
  </w:num>
  <w:num w:numId="37" w16cid:durableId="1404378844">
    <w:abstractNumId w:val="3"/>
  </w:num>
  <w:num w:numId="38" w16cid:durableId="1897740298">
    <w:abstractNumId w:val="2"/>
  </w:num>
  <w:num w:numId="39" w16cid:durableId="438181479">
    <w:abstractNumId w:val="1"/>
  </w:num>
  <w:num w:numId="40" w16cid:durableId="2059547202">
    <w:abstractNumId w:val="0"/>
  </w:num>
  <w:num w:numId="41" w16cid:durableId="1622375802">
    <w:abstractNumId w:val="10"/>
  </w:num>
  <w:num w:numId="42" w16cid:durableId="1560287466">
    <w:abstractNumId w:val="10"/>
  </w:num>
  <w:num w:numId="43" w16cid:durableId="718558125">
    <w:abstractNumId w:val="10"/>
  </w:num>
  <w:num w:numId="44" w16cid:durableId="317151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SV"/>
    <w:docVar w:name="dvnumam" w:val="0"/>
    <w:docVar w:name="dvpe" w:val="781.492"/>
    <w:docVar w:name="dvrapporteur" w:val="Föredragande: "/>
    <w:docVar w:name="dvstar" w:val="***I"/>
    <w:docVar w:name="dvtitre" w:val="Europaparlamentets lagstiftningsresolution av den xx xx 2026 om förslaget till Europaparlamentets och rådets beslut om ändring av beslut (EU) 2015/1814 vad gäller reserven för marknadsstabilitet för byggnads- och vägtransportsektorerna samt ytterligare sektorer(COM(2025)0738 – C10-0320/2025 – 2025/0380(COD))"/>
  </w:docVars>
  <w:rsids>
    <w:rsidRoot w:val="000A02BE"/>
    <w:rsid w:val="00002272"/>
    <w:rsid w:val="00011FFB"/>
    <w:rsid w:val="00064002"/>
    <w:rsid w:val="000677B9"/>
    <w:rsid w:val="000831BA"/>
    <w:rsid w:val="000A02BE"/>
    <w:rsid w:val="000A42CC"/>
    <w:rsid w:val="000A6985"/>
    <w:rsid w:val="000E7DD9"/>
    <w:rsid w:val="0010095E"/>
    <w:rsid w:val="00125B37"/>
    <w:rsid w:val="00187494"/>
    <w:rsid w:val="001A67F9"/>
    <w:rsid w:val="001F32AE"/>
    <w:rsid w:val="00264D8B"/>
    <w:rsid w:val="002767FF"/>
    <w:rsid w:val="002B18FE"/>
    <w:rsid w:val="002B5493"/>
    <w:rsid w:val="002F7325"/>
    <w:rsid w:val="00326FFC"/>
    <w:rsid w:val="00343214"/>
    <w:rsid w:val="00361C00"/>
    <w:rsid w:val="00395FA1"/>
    <w:rsid w:val="003B360B"/>
    <w:rsid w:val="003E15D4"/>
    <w:rsid w:val="00411CCE"/>
    <w:rsid w:val="0041666E"/>
    <w:rsid w:val="00421060"/>
    <w:rsid w:val="00471C19"/>
    <w:rsid w:val="004867E3"/>
    <w:rsid w:val="00494A28"/>
    <w:rsid w:val="004C0004"/>
    <w:rsid w:val="004C5D52"/>
    <w:rsid w:val="0050519A"/>
    <w:rsid w:val="005072A1"/>
    <w:rsid w:val="00514517"/>
    <w:rsid w:val="00545827"/>
    <w:rsid w:val="00553E66"/>
    <w:rsid w:val="00560270"/>
    <w:rsid w:val="005C2568"/>
    <w:rsid w:val="005F1B17"/>
    <w:rsid w:val="006037C0"/>
    <w:rsid w:val="006631B6"/>
    <w:rsid w:val="00680577"/>
    <w:rsid w:val="00687D57"/>
    <w:rsid w:val="006F74FA"/>
    <w:rsid w:val="00731ADD"/>
    <w:rsid w:val="00734777"/>
    <w:rsid w:val="00747932"/>
    <w:rsid w:val="00751A4A"/>
    <w:rsid w:val="00756632"/>
    <w:rsid w:val="00762C74"/>
    <w:rsid w:val="00786EC0"/>
    <w:rsid w:val="007D1690"/>
    <w:rsid w:val="007E22AD"/>
    <w:rsid w:val="008023BA"/>
    <w:rsid w:val="00817416"/>
    <w:rsid w:val="00842779"/>
    <w:rsid w:val="00854AEC"/>
    <w:rsid w:val="00865F67"/>
    <w:rsid w:val="00881A7B"/>
    <w:rsid w:val="008840E5"/>
    <w:rsid w:val="00886DD0"/>
    <w:rsid w:val="00887B3E"/>
    <w:rsid w:val="008C2AC6"/>
    <w:rsid w:val="008D6C1B"/>
    <w:rsid w:val="00930C23"/>
    <w:rsid w:val="0093193B"/>
    <w:rsid w:val="009509D8"/>
    <w:rsid w:val="00950B64"/>
    <w:rsid w:val="00981893"/>
    <w:rsid w:val="009C5AE3"/>
    <w:rsid w:val="00A1687D"/>
    <w:rsid w:val="00A43E52"/>
    <w:rsid w:val="00A4678D"/>
    <w:rsid w:val="00A778C7"/>
    <w:rsid w:val="00AB441E"/>
    <w:rsid w:val="00AB6293"/>
    <w:rsid w:val="00AE0928"/>
    <w:rsid w:val="00AF3B82"/>
    <w:rsid w:val="00B12E95"/>
    <w:rsid w:val="00B22876"/>
    <w:rsid w:val="00B558F0"/>
    <w:rsid w:val="00B866F0"/>
    <w:rsid w:val="00BC6410"/>
    <w:rsid w:val="00BD48FE"/>
    <w:rsid w:val="00BD7BD8"/>
    <w:rsid w:val="00BE6ADC"/>
    <w:rsid w:val="00C05BFE"/>
    <w:rsid w:val="00C155AF"/>
    <w:rsid w:val="00C23CD4"/>
    <w:rsid w:val="00C507D5"/>
    <w:rsid w:val="00C61C0C"/>
    <w:rsid w:val="00C61D4A"/>
    <w:rsid w:val="00C941CB"/>
    <w:rsid w:val="00CC2357"/>
    <w:rsid w:val="00CF071A"/>
    <w:rsid w:val="00D058B8"/>
    <w:rsid w:val="00D56C11"/>
    <w:rsid w:val="00D834A0"/>
    <w:rsid w:val="00D872DF"/>
    <w:rsid w:val="00D91E21"/>
    <w:rsid w:val="00DA7FCD"/>
    <w:rsid w:val="00DC1E5A"/>
    <w:rsid w:val="00E365E1"/>
    <w:rsid w:val="00E820A4"/>
    <w:rsid w:val="00EB006A"/>
    <w:rsid w:val="00EB4772"/>
    <w:rsid w:val="00ED169E"/>
    <w:rsid w:val="00ED4235"/>
    <w:rsid w:val="00F04346"/>
    <w:rsid w:val="00F075DC"/>
    <w:rsid w:val="00F149E9"/>
    <w:rsid w:val="00F5134D"/>
    <w:rsid w:val="00F716FC"/>
    <w:rsid w:val="00F74202"/>
    <w:rsid w:val="00F8682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2F95C"/>
  <w15:chartTrackingRefBased/>
  <w15:docId w15:val="{EA45DAE4-E4ED-4D17-A1C8-EC6C0E75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716FC"/>
    <w:pPr>
      <w:spacing w:after="120"/>
    </w:pPr>
  </w:style>
  <w:style w:type="paragraph" w:customStyle="1" w:styleId="NormalBold">
    <w:name w:val="NormalBold"/>
    <w:basedOn w:val="Normal"/>
    <w:link w:val="NormalBoldChar"/>
    <w:rsid w:val="00F716FC"/>
    <w:rPr>
      <w:b/>
    </w:rPr>
  </w:style>
  <w:style w:type="paragraph" w:customStyle="1" w:styleId="NormalHanging12a">
    <w:name w:val="NormalHanging12a"/>
    <w:basedOn w:val="Normal"/>
    <w:rsid w:val="00F716FC"/>
    <w:pPr>
      <w:spacing w:after="240"/>
      <w:ind w:left="567" w:hanging="567"/>
    </w:pPr>
  </w:style>
  <w:style w:type="paragraph" w:customStyle="1" w:styleId="AmCrossRef">
    <w:name w:val="AmCrossRef"/>
    <w:basedOn w:val="Normal"/>
    <w:rsid w:val="00F716FC"/>
    <w:pPr>
      <w:spacing w:before="240" w:after="240"/>
      <w:jc w:val="center"/>
    </w:pPr>
    <w:rPr>
      <w:i/>
    </w:rPr>
  </w:style>
  <w:style w:type="paragraph" w:customStyle="1" w:styleId="AmColumnHeading">
    <w:name w:val="AmColumnHeading"/>
    <w:basedOn w:val="Normal"/>
    <w:rsid w:val="00F716FC"/>
    <w:pPr>
      <w:spacing w:after="240"/>
      <w:jc w:val="center"/>
    </w:pPr>
    <w:rPr>
      <w:i/>
    </w:rPr>
  </w:style>
  <w:style w:type="paragraph" w:customStyle="1" w:styleId="AmNumberTabs">
    <w:name w:val="AmNumberTabs"/>
    <w:basedOn w:val="Normal"/>
    <w:rsid w:val="00F716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716FC"/>
    <w:pPr>
      <w:spacing w:before="480" w:after="240"/>
    </w:pPr>
  </w:style>
  <w:style w:type="character" w:styleId="Hyperlink">
    <w:name w:val="Hyperlink"/>
    <w:basedOn w:val="DefaultParagraphFont"/>
    <w:rsid w:val="00F716FC"/>
    <w:rPr>
      <w:color w:val="0563C1" w:themeColor="hyperlink"/>
      <w:u w:val="single"/>
    </w:rPr>
  </w:style>
  <w:style w:type="character" w:customStyle="1" w:styleId="NormalBoldChar">
    <w:name w:val="NormalBold Char"/>
    <w:basedOn w:val="DefaultParagraphFont"/>
    <w:link w:val="NormalBold"/>
    <w:locked/>
    <w:rsid w:val="00F716FC"/>
    <w:rPr>
      <w:b/>
      <w:sz w:val="24"/>
      <w:lang w:val="sv-SE"/>
    </w:rPr>
  </w:style>
  <w:style w:type="paragraph" w:styleId="Revision">
    <w:name w:val="Revision"/>
    <w:hidden/>
    <w:uiPriority w:val="99"/>
    <w:semiHidden/>
    <w:rsid w:val="00854AEC"/>
    <w:rPr>
      <w:sz w:val="24"/>
      <w:lang w:val="sv-SE"/>
    </w:rPr>
  </w:style>
  <w:style w:type="character" w:styleId="CommentReference">
    <w:name w:val="annotation reference"/>
    <w:basedOn w:val="DefaultParagraphFont"/>
    <w:rsid w:val="00854AEC"/>
    <w:rPr>
      <w:sz w:val="16"/>
      <w:szCs w:val="16"/>
    </w:rPr>
  </w:style>
  <w:style w:type="paragraph" w:styleId="CommentText">
    <w:name w:val="annotation text"/>
    <w:basedOn w:val="Normal"/>
    <w:link w:val="CommentTextChar"/>
    <w:rsid w:val="00854AEC"/>
    <w:rPr>
      <w:sz w:val="20"/>
    </w:rPr>
  </w:style>
  <w:style w:type="character" w:customStyle="1" w:styleId="CommentTextChar">
    <w:name w:val="Comment Text Char"/>
    <w:basedOn w:val="DefaultParagraphFont"/>
    <w:link w:val="CommentText"/>
    <w:rsid w:val="00854AEC"/>
    <w:rPr>
      <w:lang w:val="sv-SE"/>
    </w:rPr>
  </w:style>
  <w:style w:type="paragraph" w:styleId="CommentSubject">
    <w:name w:val="annotation subject"/>
    <w:basedOn w:val="CommentText"/>
    <w:next w:val="CommentText"/>
    <w:link w:val="CommentSubjectChar"/>
    <w:rsid w:val="00854AEC"/>
    <w:rPr>
      <w:b/>
      <w:bCs/>
    </w:rPr>
  </w:style>
  <w:style w:type="character" w:customStyle="1" w:styleId="CommentSubjectChar">
    <w:name w:val="Comment Subject Char"/>
    <w:basedOn w:val="CommentTextChar"/>
    <w:link w:val="CommentSubject"/>
    <w:rsid w:val="00854AE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1452</Words>
  <Characters>9232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2026-04-29T13:25:00Z</dcterms:created>
  <dcterms:modified xsi:type="dcterms:W3CDTF">2026-04-29T13:25:00Z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A10-0098/2026</vt:lpwstr>
  </property>
  <property fmtid="{D5CDD505-2E9C-101B-9397-08002B2CF9AE}" pid="4" name="&lt;Type&gt;">
    <vt:lpwstr>RR</vt:lpwstr>
  </property>
</Properties>
</file>