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32D8" w14:paraId="037DE040" w14:textId="77777777" w:rsidTr="0010095E">
        <w:trPr>
          <w:trHeight w:hRule="exact" w:val="1418"/>
        </w:trPr>
        <w:tc>
          <w:tcPr>
            <w:tcW w:w="6804" w:type="dxa"/>
            <w:shd w:val="clear" w:color="auto" w:fill="auto"/>
            <w:vAlign w:val="center"/>
          </w:tcPr>
          <w:p w14:paraId="00F45370" w14:textId="77777777" w:rsidR="00751A4A" w:rsidRPr="00B432D8" w:rsidRDefault="00A26618" w:rsidP="0010095E">
            <w:pPr>
              <w:pStyle w:val="EPName"/>
            </w:pPr>
            <w:r w:rsidRPr="00B432D8">
              <w:t>Parlement européen</w:t>
            </w:r>
          </w:p>
          <w:p w14:paraId="383196E0" w14:textId="77777777" w:rsidR="00751A4A" w:rsidRPr="00B432D8" w:rsidRDefault="005F1B17" w:rsidP="005F1B17">
            <w:pPr>
              <w:pStyle w:val="EPTerm"/>
              <w:rPr>
                <w:rStyle w:val="HideTWBExt"/>
                <w:noProof w:val="0"/>
                <w:vanish w:val="0"/>
                <w:color w:val="auto"/>
              </w:rPr>
            </w:pPr>
            <w:r w:rsidRPr="00B432D8">
              <w:t>2024</w:t>
            </w:r>
            <w:r w:rsidR="00817416" w:rsidRPr="00B432D8">
              <w:t>-202</w:t>
            </w:r>
            <w:r w:rsidRPr="00B432D8">
              <w:t>9</w:t>
            </w:r>
          </w:p>
        </w:tc>
        <w:tc>
          <w:tcPr>
            <w:tcW w:w="2268" w:type="dxa"/>
            <w:shd w:val="clear" w:color="auto" w:fill="auto"/>
          </w:tcPr>
          <w:p w14:paraId="6175E923" w14:textId="77777777" w:rsidR="00751A4A" w:rsidRPr="00B432D8" w:rsidRDefault="00187494" w:rsidP="0010095E">
            <w:pPr>
              <w:pStyle w:val="EPLogo"/>
            </w:pPr>
            <w:r w:rsidRPr="00B432D8">
              <w:rPr>
                <w:noProof/>
                <w:lang w:eastAsia="ja-JP"/>
              </w:rPr>
              <w:drawing>
                <wp:inline distT="0" distB="0" distL="0" distR="0" wp14:anchorId="62CA4CDE" wp14:editId="05F3D1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10A662" w14:textId="77777777" w:rsidR="00D058B8" w:rsidRPr="00B432D8" w:rsidRDefault="00D058B8" w:rsidP="004C5D52">
      <w:pPr>
        <w:pStyle w:val="LineTop"/>
      </w:pPr>
    </w:p>
    <w:p w14:paraId="0CCBBABF" w14:textId="77777777" w:rsidR="00680577" w:rsidRPr="00B432D8" w:rsidRDefault="00A26618" w:rsidP="00680577">
      <w:pPr>
        <w:pStyle w:val="EPBodyTA1"/>
      </w:pPr>
      <w:r w:rsidRPr="00B432D8">
        <w:t>TEXTES ADOPTÉS</w:t>
      </w:r>
    </w:p>
    <w:p w14:paraId="7EC7ED40" w14:textId="77777777" w:rsidR="00D058B8" w:rsidRPr="00B432D8" w:rsidRDefault="00D058B8" w:rsidP="00D058B8">
      <w:pPr>
        <w:pStyle w:val="LineBottom"/>
      </w:pPr>
    </w:p>
    <w:p w14:paraId="56E5B579" w14:textId="0D908DF2" w:rsidR="00A26618" w:rsidRPr="00B432D8" w:rsidRDefault="00A26618" w:rsidP="00A26618">
      <w:pPr>
        <w:pStyle w:val="ATHeading1"/>
      </w:pPr>
      <w:bookmarkStart w:id="0" w:name="TANumber"/>
      <w:r w:rsidRPr="00B432D8">
        <w:t>P10_TA(2026)0</w:t>
      </w:r>
      <w:bookmarkEnd w:id="0"/>
      <w:r w:rsidR="003729B9" w:rsidRPr="00B432D8">
        <w:t>143</w:t>
      </w:r>
    </w:p>
    <w:p w14:paraId="456FBB4C" w14:textId="77777777" w:rsidR="00A26618" w:rsidRPr="00B432D8" w:rsidRDefault="00A26618" w:rsidP="00A26618">
      <w:pPr>
        <w:pStyle w:val="ATHeading2"/>
      </w:pPr>
      <w:bookmarkStart w:id="1" w:name="title"/>
      <w:r w:rsidRPr="00B432D8">
        <w:t>Accord UE-Norvège sur le transfert des données des dossiers passagers (PNR) pour la prévention et la détection des infractions terroristes et des formes graves de criminalité, ainsi que pour les enquêtes et les poursuites en la matière</w:t>
      </w:r>
      <w:bookmarkEnd w:id="1"/>
    </w:p>
    <w:p w14:paraId="6A71325E" w14:textId="77777777" w:rsidR="00A26618" w:rsidRPr="00B432D8" w:rsidRDefault="00A26618" w:rsidP="00A26618">
      <w:pPr>
        <w:rPr>
          <w:i/>
          <w:vanish/>
        </w:rPr>
      </w:pPr>
      <w:r w:rsidRPr="00B432D8">
        <w:rPr>
          <w:i/>
        </w:rPr>
        <w:fldChar w:fldCharType="begin"/>
      </w:r>
      <w:r w:rsidRPr="00B432D8">
        <w:rPr>
          <w:i/>
        </w:rPr>
        <w:instrText xml:space="preserve"> TC"(</w:instrText>
      </w:r>
      <w:bookmarkStart w:id="2" w:name="DocNumber"/>
      <w:r w:rsidRPr="00B432D8">
        <w:rPr>
          <w:i/>
        </w:rPr>
        <w:instrText>A10-0071/2026</w:instrText>
      </w:r>
      <w:bookmarkEnd w:id="2"/>
      <w:r w:rsidRPr="00B432D8">
        <w:rPr>
          <w:i/>
        </w:rPr>
        <w:instrText xml:space="preserve"> - Rapporteur: Jaroslav Bžoch)"\l3 \n&gt; \* MERGEFORMAT </w:instrText>
      </w:r>
      <w:r w:rsidRPr="00B432D8">
        <w:rPr>
          <w:i/>
        </w:rPr>
        <w:fldChar w:fldCharType="end"/>
      </w:r>
    </w:p>
    <w:p w14:paraId="13A61F3C" w14:textId="77777777" w:rsidR="00A26618" w:rsidRPr="00B432D8" w:rsidRDefault="00A26618" w:rsidP="00A26618">
      <w:pPr>
        <w:rPr>
          <w:vanish/>
        </w:rPr>
      </w:pPr>
      <w:bookmarkStart w:id="3" w:name="Commission"/>
      <w:r w:rsidRPr="00B432D8">
        <w:rPr>
          <w:vanish/>
        </w:rPr>
        <w:t>Commission des libertés civiles, de la justice et des affaires intérieures</w:t>
      </w:r>
      <w:bookmarkEnd w:id="3"/>
    </w:p>
    <w:p w14:paraId="67090787" w14:textId="77777777" w:rsidR="00A26618" w:rsidRPr="00B432D8" w:rsidRDefault="00A26618" w:rsidP="00A26618">
      <w:pPr>
        <w:rPr>
          <w:vanish/>
        </w:rPr>
      </w:pPr>
      <w:bookmarkStart w:id="4" w:name="PE"/>
      <w:r w:rsidRPr="00B432D8">
        <w:rPr>
          <w:vanish/>
        </w:rPr>
        <w:t>PE784.331</w:t>
      </w:r>
      <w:bookmarkEnd w:id="4"/>
    </w:p>
    <w:p w14:paraId="6072B1DD" w14:textId="77777777" w:rsidR="00A26618" w:rsidRPr="00B432D8" w:rsidRDefault="00A26618" w:rsidP="00A26618">
      <w:pPr>
        <w:pStyle w:val="ATHeading3"/>
      </w:pPr>
      <w:bookmarkStart w:id="5" w:name="Sujet"/>
      <w:r w:rsidRPr="00B432D8">
        <w:t>Résolution législative du Parlement européen du 29 avril 2026 sur le projet de décision du Conseil relative à la conclusion, au nom de l’Union, de l’accord entre l’Union européenne et le Royaume de Norvège sur le transfert des données des dossiers passagers (PNR) pour la prévention et la détection des infractions terroristes et des formes graves de criminalité, ainsi que pour les enquêtes et les poursuites en la matière</w:t>
      </w:r>
      <w:bookmarkEnd w:id="5"/>
      <w:r w:rsidRPr="00B432D8">
        <w:t xml:space="preserve"> </w:t>
      </w:r>
      <w:bookmarkStart w:id="6" w:name="References"/>
      <w:r w:rsidRPr="00B432D8">
        <w:t>(11280/2025 – C10-0279/2025 – 2025/0145(NLE))</w:t>
      </w:r>
      <w:bookmarkEnd w:id="6"/>
    </w:p>
    <w:p w14:paraId="1ED3A27D" w14:textId="77777777" w:rsidR="00167313" w:rsidRPr="00B432D8" w:rsidRDefault="00167313" w:rsidP="00167313">
      <w:pPr>
        <w:pStyle w:val="NormalBold"/>
      </w:pPr>
      <w:r w:rsidRPr="00B432D8">
        <w:t>(Approbation)</w:t>
      </w:r>
    </w:p>
    <w:p w14:paraId="380D667C" w14:textId="77777777" w:rsidR="00167313" w:rsidRPr="00B432D8" w:rsidRDefault="00167313" w:rsidP="00167313">
      <w:pPr>
        <w:pStyle w:val="EPComma"/>
      </w:pPr>
      <w:r w:rsidRPr="00B432D8">
        <w:rPr>
          <w:i/>
        </w:rPr>
        <w:t>Le Parlement européen</w:t>
      </w:r>
      <w:r w:rsidRPr="00B432D8">
        <w:t>,</w:t>
      </w:r>
    </w:p>
    <w:p w14:paraId="75216B0D" w14:textId="77777777" w:rsidR="00167313" w:rsidRPr="00B432D8" w:rsidRDefault="00167313" w:rsidP="00167313">
      <w:pPr>
        <w:pStyle w:val="NormalHanging12a"/>
      </w:pPr>
      <w:r w:rsidRPr="00B432D8">
        <w:t>–</w:t>
      </w:r>
      <w:r w:rsidRPr="00B432D8">
        <w:tab/>
        <w:t>vu le projet de décision du Conseil (11280/2025),</w:t>
      </w:r>
    </w:p>
    <w:p w14:paraId="1E14C0EB" w14:textId="77777777" w:rsidR="00167313" w:rsidRPr="00B432D8" w:rsidRDefault="00167313" w:rsidP="00167313">
      <w:pPr>
        <w:pStyle w:val="NormalHanging12a"/>
      </w:pPr>
      <w:r w:rsidRPr="00B432D8">
        <w:t>–</w:t>
      </w:r>
      <w:r w:rsidRPr="00B432D8">
        <w:tab/>
        <w:t>vu l’accord entre l’Union européenne et le Royaume de Norvège sur le transfert des données des dossiers passagers (PNR) pour la prévention et la détection des infractions terroristes et des formes graves de criminalité, ainsi que pour les enquêtes et les poursuites en la matière (</w:t>
      </w:r>
      <w:bookmarkStart w:id="7" w:name="_Hlk221278511"/>
      <w:r w:rsidRPr="00B432D8">
        <w:t>11281/2025</w:t>
      </w:r>
      <w:bookmarkEnd w:id="7"/>
      <w:r w:rsidRPr="00B432D8">
        <w:t>),</w:t>
      </w:r>
    </w:p>
    <w:p w14:paraId="1D39C021" w14:textId="77777777" w:rsidR="00167313" w:rsidRPr="00B432D8" w:rsidRDefault="00167313" w:rsidP="00167313">
      <w:pPr>
        <w:pStyle w:val="NormalHanging12a"/>
      </w:pPr>
      <w:r w:rsidRPr="00B432D8">
        <w:t>–</w:t>
      </w:r>
      <w:r w:rsidRPr="00B432D8">
        <w:tab/>
        <w:t>vu la demande d’approbation présentée par le Conseil conformément à l’article 16, paragraphe 2, à l’article 87, paragraphe 2, point a), et à l’article 218, paragraphe 6, deuxième alinéa, point a), du traité sur le fonctionnement de l’Union européenne (C10</w:t>
      </w:r>
      <w:r w:rsidRPr="00B432D8">
        <w:noBreakHyphen/>
        <w:t>0279/2025),</w:t>
      </w:r>
    </w:p>
    <w:p w14:paraId="4B8C73C6" w14:textId="77777777" w:rsidR="00167313" w:rsidRPr="00B432D8" w:rsidRDefault="00167313" w:rsidP="00167313">
      <w:pPr>
        <w:pStyle w:val="NormalHanging12a"/>
      </w:pPr>
      <w:r w:rsidRPr="00B432D8">
        <w:t>–</w:t>
      </w:r>
      <w:r w:rsidRPr="00B432D8">
        <w:tab/>
        <w:t>vu l’article 107, paragraphes 1 et 4, ainsi que l’article 117, paragraphe 7, de son règlement intérieur,</w:t>
      </w:r>
    </w:p>
    <w:p w14:paraId="66425F33" w14:textId="77777777" w:rsidR="00167313" w:rsidRPr="00B432D8" w:rsidRDefault="00167313" w:rsidP="00167313">
      <w:pPr>
        <w:pStyle w:val="NormalHanging12a"/>
      </w:pPr>
      <w:r w:rsidRPr="00B432D8">
        <w:t>–</w:t>
      </w:r>
      <w:r w:rsidRPr="00B432D8">
        <w:tab/>
        <w:t>vu la recommandation de la commission des libertés civiles, de la justice et des affaires intérieures (A10-0071/2026),</w:t>
      </w:r>
    </w:p>
    <w:p w14:paraId="1B4B136D" w14:textId="77777777" w:rsidR="00167313" w:rsidRPr="00B432D8" w:rsidRDefault="00167313" w:rsidP="00167313">
      <w:pPr>
        <w:pStyle w:val="NormalHanging12a"/>
      </w:pPr>
      <w:r w:rsidRPr="00B432D8">
        <w:t>1.</w:t>
      </w:r>
      <w:r w:rsidRPr="00B432D8">
        <w:tab/>
        <w:t>donne son approbation à la conclusion de l’accord;</w:t>
      </w:r>
    </w:p>
    <w:p w14:paraId="3C241BAE" w14:textId="4BCDC5D9" w:rsidR="00E365E1" w:rsidRPr="00B432D8" w:rsidRDefault="00167313" w:rsidP="00AC76C5">
      <w:pPr>
        <w:pStyle w:val="NormalHanging12a"/>
      </w:pPr>
      <w:r w:rsidRPr="00B432D8">
        <w:t>2.</w:t>
      </w:r>
      <w:r w:rsidRPr="00B432D8">
        <w:tab/>
        <w:t xml:space="preserve">charge sa Présidente de transmettre la position du Parlement au Conseil et à la </w:t>
      </w:r>
      <w:r w:rsidRPr="00B432D8">
        <w:lastRenderedPageBreak/>
        <w:t>Commission, ainsi qu’aux gouvernements et aux parlements des États membres et du Royaume de Norvège.</w:t>
      </w:r>
    </w:p>
    <w:sectPr w:rsidR="00E365E1" w:rsidRPr="00B432D8" w:rsidSect="00237E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41F05" w14:textId="77777777" w:rsidR="00A26618" w:rsidRPr="00237EBD" w:rsidRDefault="00A26618">
      <w:r w:rsidRPr="00237EBD">
        <w:separator/>
      </w:r>
    </w:p>
  </w:endnote>
  <w:endnote w:type="continuationSeparator" w:id="0">
    <w:p w14:paraId="19620BDF" w14:textId="77777777" w:rsidR="00A26618" w:rsidRPr="00237EBD" w:rsidRDefault="00A26618">
      <w:r w:rsidRPr="00237E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561E" w14:textId="77777777" w:rsidR="00064002" w:rsidRPr="00237E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DB89" w14:textId="77777777" w:rsidR="00064002" w:rsidRPr="00237E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AAE46" w14:textId="77777777" w:rsidR="00064002" w:rsidRPr="00237E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AB9CB" w14:textId="77777777" w:rsidR="00A26618" w:rsidRPr="00237EBD" w:rsidRDefault="00A26618">
      <w:r w:rsidRPr="00237EBD">
        <w:separator/>
      </w:r>
    </w:p>
  </w:footnote>
  <w:footnote w:type="continuationSeparator" w:id="0">
    <w:p w14:paraId="6D24EBFC" w14:textId="77777777" w:rsidR="00A26618" w:rsidRPr="00237EBD" w:rsidRDefault="00A26618">
      <w:r w:rsidRPr="00237E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C048F" w14:textId="77777777" w:rsidR="00064002" w:rsidRPr="00237E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3088" w14:textId="77777777" w:rsidR="00064002" w:rsidRPr="00237E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CE2C" w14:textId="77777777" w:rsidR="00064002" w:rsidRPr="00237E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0909917">
    <w:abstractNumId w:val="9"/>
  </w:num>
  <w:num w:numId="2" w16cid:durableId="681248355">
    <w:abstractNumId w:val="9"/>
  </w:num>
  <w:num w:numId="3" w16cid:durableId="879635875">
    <w:abstractNumId w:val="7"/>
  </w:num>
  <w:num w:numId="4" w16cid:durableId="935018004">
    <w:abstractNumId w:val="7"/>
  </w:num>
  <w:num w:numId="5" w16cid:durableId="1604218646">
    <w:abstractNumId w:val="6"/>
  </w:num>
  <w:num w:numId="6" w16cid:durableId="1717463853">
    <w:abstractNumId w:val="6"/>
  </w:num>
  <w:num w:numId="7" w16cid:durableId="814906584">
    <w:abstractNumId w:val="5"/>
  </w:num>
  <w:num w:numId="8" w16cid:durableId="181819126">
    <w:abstractNumId w:val="5"/>
  </w:num>
  <w:num w:numId="9" w16cid:durableId="1672950574">
    <w:abstractNumId w:val="4"/>
  </w:num>
  <w:num w:numId="10" w16cid:durableId="142048199">
    <w:abstractNumId w:val="4"/>
  </w:num>
  <w:num w:numId="11" w16cid:durableId="1369377038">
    <w:abstractNumId w:val="8"/>
  </w:num>
  <w:num w:numId="12" w16cid:durableId="2128309165">
    <w:abstractNumId w:val="8"/>
  </w:num>
  <w:num w:numId="13" w16cid:durableId="215972227">
    <w:abstractNumId w:val="3"/>
  </w:num>
  <w:num w:numId="14" w16cid:durableId="303825380">
    <w:abstractNumId w:val="3"/>
  </w:num>
  <w:num w:numId="15" w16cid:durableId="1720394539">
    <w:abstractNumId w:val="2"/>
  </w:num>
  <w:num w:numId="16" w16cid:durableId="1008292311">
    <w:abstractNumId w:val="2"/>
  </w:num>
  <w:num w:numId="17" w16cid:durableId="855852824">
    <w:abstractNumId w:val="1"/>
  </w:num>
  <w:num w:numId="18" w16cid:durableId="1484085377">
    <w:abstractNumId w:val="1"/>
  </w:num>
  <w:num w:numId="19" w16cid:durableId="295380782">
    <w:abstractNumId w:val="0"/>
  </w:num>
  <w:num w:numId="20" w16cid:durableId="447748113">
    <w:abstractNumId w:val="0"/>
  </w:num>
  <w:num w:numId="21" w16cid:durableId="1238706354">
    <w:abstractNumId w:val="9"/>
  </w:num>
  <w:num w:numId="22" w16cid:durableId="749619053">
    <w:abstractNumId w:val="7"/>
  </w:num>
  <w:num w:numId="23" w16cid:durableId="264850300">
    <w:abstractNumId w:val="6"/>
  </w:num>
  <w:num w:numId="24" w16cid:durableId="1508056391">
    <w:abstractNumId w:val="5"/>
  </w:num>
  <w:num w:numId="25" w16cid:durableId="1165824883">
    <w:abstractNumId w:val="4"/>
  </w:num>
  <w:num w:numId="26" w16cid:durableId="580061054">
    <w:abstractNumId w:val="8"/>
  </w:num>
  <w:num w:numId="27" w16cid:durableId="1360400792">
    <w:abstractNumId w:val="3"/>
  </w:num>
  <w:num w:numId="28" w16cid:durableId="901328345">
    <w:abstractNumId w:val="2"/>
  </w:num>
  <w:num w:numId="29" w16cid:durableId="4670434">
    <w:abstractNumId w:val="1"/>
  </w:num>
  <w:num w:numId="30" w16cid:durableId="666636414">
    <w:abstractNumId w:val="0"/>
  </w:num>
  <w:num w:numId="31" w16cid:durableId="1047342787">
    <w:abstractNumId w:val="9"/>
  </w:num>
  <w:num w:numId="32" w16cid:durableId="1461269412">
    <w:abstractNumId w:val="7"/>
  </w:num>
  <w:num w:numId="33" w16cid:durableId="2008941283">
    <w:abstractNumId w:val="6"/>
  </w:num>
  <w:num w:numId="34" w16cid:durableId="82647265">
    <w:abstractNumId w:val="5"/>
  </w:num>
  <w:num w:numId="35" w16cid:durableId="1929071678">
    <w:abstractNumId w:val="4"/>
  </w:num>
  <w:num w:numId="36" w16cid:durableId="1710178016">
    <w:abstractNumId w:val="8"/>
  </w:num>
  <w:num w:numId="37" w16cid:durableId="290986707">
    <w:abstractNumId w:val="3"/>
  </w:num>
  <w:num w:numId="38" w16cid:durableId="787238528">
    <w:abstractNumId w:val="2"/>
  </w:num>
  <w:num w:numId="39" w16cid:durableId="2055961007">
    <w:abstractNumId w:val="1"/>
  </w:num>
  <w:num w:numId="40" w16cid:durableId="226914917">
    <w:abstractNumId w:val="0"/>
  </w:num>
  <w:num w:numId="41" w16cid:durableId="967277661">
    <w:abstractNumId w:val="10"/>
  </w:num>
  <w:num w:numId="42" w16cid:durableId="1163352261">
    <w:abstractNumId w:val="10"/>
  </w:num>
  <w:num w:numId="43" w16cid:durableId="973680531">
    <w:abstractNumId w:val="10"/>
  </w:num>
  <w:num w:numId="44" w16cid:durableId="1045521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1/2026"/>
    <w:docVar w:name="dvlangue" w:val="FR"/>
    <w:docVar w:name="dvnumam" w:val="0"/>
    <w:docVar w:name="dvpe" w:val="784.331"/>
    <w:docVar w:name="dvrapporteur" w:val="Rapporteur: "/>
    <w:docVar w:name="dvstar" w:val="***"/>
    <w:docVar w:name="dvtitre" w:val="Résolution législative du Parlement européen du 29 avril 2026 sur le projet de décision du Conseil relative à la conclusion, au nom de l’Union, de l’accord entre l’Union européenne et le Royaume de Norvège sur le transfert des données des dossiers passagers (PNR) pour la prévention et la détection des infractions terroristes et des formes graves de criminalité, ainsi que pour les enquêtes et les poursuites en la matière(11280/2025 – C10-0279/2025 – 2025/0145(NLE))"/>
  </w:docVars>
  <w:rsids>
    <w:rsidRoot w:val="00A26618"/>
    <w:rsid w:val="00002272"/>
    <w:rsid w:val="00064002"/>
    <w:rsid w:val="000677B9"/>
    <w:rsid w:val="000831BA"/>
    <w:rsid w:val="000A42CC"/>
    <w:rsid w:val="000B0EC6"/>
    <w:rsid w:val="000E7DD9"/>
    <w:rsid w:val="0010095E"/>
    <w:rsid w:val="00125B37"/>
    <w:rsid w:val="00167313"/>
    <w:rsid w:val="00187494"/>
    <w:rsid w:val="001F32AE"/>
    <w:rsid w:val="00237EBD"/>
    <w:rsid w:val="002767FF"/>
    <w:rsid w:val="002B18FE"/>
    <w:rsid w:val="002B5493"/>
    <w:rsid w:val="00343214"/>
    <w:rsid w:val="00361C00"/>
    <w:rsid w:val="003729B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618"/>
    <w:rsid w:val="00A43E52"/>
    <w:rsid w:val="00A4678D"/>
    <w:rsid w:val="00A778C7"/>
    <w:rsid w:val="00AB441E"/>
    <w:rsid w:val="00AB6293"/>
    <w:rsid w:val="00AC76C5"/>
    <w:rsid w:val="00AD63D3"/>
    <w:rsid w:val="00AE0928"/>
    <w:rsid w:val="00AF3B82"/>
    <w:rsid w:val="00B12E95"/>
    <w:rsid w:val="00B22876"/>
    <w:rsid w:val="00B432D8"/>
    <w:rsid w:val="00B558F0"/>
    <w:rsid w:val="00B67B4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18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2793D"/>
  <w15:chartTrackingRefBased/>
  <w15:docId w15:val="{C41CA6DA-8AC1-45CD-88F1-75D802A5A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7313"/>
    <w:pPr>
      <w:spacing w:before="480" w:after="240"/>
    </w:pPr>
  </w:style>
  <w:style w:type="paragraph" w:customStyle="1" w:styleId="NormalBold">
    <w:name w:val="NormalBold"/>
    <w:basedOn w:val="Normal"/>
    <w:rsid w:val="00167313"/>
    <w:rPr>
      <w:b/>
    </w:rPr>
  </w:style>
  <w:style w:type="paragraph" w:customStyle="1" w:styleId="NormalHanging12a">
    <w:name w:val="NormalHanging12a"/>
    <w:basedOn w:val="Normal"/>
    <w:rsid w:val="00167313"/>
    <w:pPr>
      <w:spacing w:after="240"/>
      <w:ind w:left="567" w:hanging="567"/>
    </w:pPr>
  </w:style>
  <w:style w:type="character" w:styleId="CommentReference">
    <w:name w:val="annotation reference"/>
    <w:basedOn w:val="DefaultParagraphFont"/>
    <w:rsid w:val="00B67B4D"/>
    <w:rPr>
      <w:sz w:val="16"/>
      <w:szCs w:val="16"/>
    </w:rPr>
  </w:style>
  <w:style w:type="paragraph" w:styleId="CommentText">
    <w:name w:val="annotation text"/>
    <w:basedOn w:val="Normal"/>
    <w:link w:val="CommentTextChar"/>
    <w:rsid w:val="00B67B4D"/>
    <w:rPr>
      <w:sz w:val="20"/>
    </w:rPr>
  </w:style>
  <w:style w:type="character" w:customStyle="1" w:styleId="CommentTextChar">
    <w:name w:val="Comment Text Char"/>
    <w:basedOn w:val="DefaultParagraphFont"/>
    <w:link w:val="CommentText"/>
    <w:rsid w:val="00B67B4D"/>
    <w:rPr>
      <w:lang w:val="fr-FR"/>
    </w:rPr>
  </w:style>
  <w:style w:type="paragraph" w:styleId="CommentSubject">
    <w:name w:val="annotation subject"/>
    <w:basedOn w:val="CommentText"/>
    <w:next w:val="CommentText"/>
    <w:link w:val="CommentSubjectChar"/>
    <w:rsid w:val="00B67B4D"/>
    <w:rPr>
      <w:b/>
      <w:bCs/>
    </w:rPr>
  </w:style>
  <w:style w:type="character" w:customStyle="1" w:styleId="CommentSubjectChar">
    <w:name w:val="Comment Subject Char"/>
    <w:basedOn w:val="CommentTextChar"/>
    <w:link w:val="CommentSubject"/>
    <w:rsid w:val="00B67B4D"/>
    <w:rPr>
      <w:b/>
      <w:bCs/>
      <w:lang w:val="fr-FR"/>
    </w:rPr>
  </w:style>
  <w:style w:type="character" w:styleId="Hyperlink">
    <w:name w:val="Hyperlink"/>
    <w:basedOn w:val="DefaultParagraphFont"/>
    <w:rsid w:val="00B67B4D"/>
    <w:rPr>
      <w:color w:val="0563C1" w:themeColor="hyperlink"/>
      <w:u w:val="single"/>
    </w:rPr>
  </w:style>
  <w:style w:type="character" w:styleId="UnresolvedMention">
    <w:name w:val="Unresolved Mention"/>
    <w:basedOn w:val="DefaultParagraphFont"/>
    <w:uiPriority w:val="99"/>
    <w:semiHidden/>
    <w:unhideWhenUsed/>
    <w:rsid w:val="00B67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286</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2026-04-29T11:41:00Z</dcterms:created>
  <dcterms:modified xsi:type="dcterms:W3CDTF">2026-04-29T11:41:00Z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A10-0071/2026</vt:lpwstr>
  </property>
  <property fmtid="{D5CDD505-2E9C-101B-9397-08002B2CF9AE}" pid="4" name="&lt;Type&gt;">
    <vt:lpwstr>RR</vt:lpwstr>
  </property>
</Properties>
</file>