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149A" w14:paraId="255349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FE9A03" w14:textId="3E11CFEC" w:rsidR="00751A4A" w:rsidRPr="00BC149A" w:rsidRDefault="00C80D3B" w:rsidP="0010095E">
            <w:pPr>
              <w:pStyle w:val="EPName"/>
            </w:pPr>
            <w:r w:rsidRPr="00BC149A">
              <w:t>Европейски</w:t>
            </w:r>
            <w:r w:rsidR="0042615B" w:rsidRPr="00BC149A">
              <w:t xml:space="preserve"> парламент</w:t>
            </w:r>
          </w:p>
          <w:p w14:paraId="0F674022" w14:textId="4EDDEE39" w:rsidR="00751A4A" w:rsidRPr="00BC14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149A">
              <w:t>2024</w:t>
            </w:r>
            <w:r w:rsidR="00C80D3B">
              <w:t> – </w:t>
            </w:r>
            <w:r w:rsidR="00817416" w:rsidRPr="00BC149A">
              <w:t>202</w:t>
            </w:r>
            <w:r w:rsidRPr="00BC149A">
              <w:t>9</w:t>
            </w:r>
          </w:p>
        </w:tc>
        <w:tc>
          <w:tcPr>
            <w:tcW w:w="2268" w:type="dxa"/>
            <w:shd w:val="clear" w:color="auto" w:fill="auto"/>
          </w:tcPr>
          <w:p w14:paraId="07140011" w14:textId="77777777" w:rsidR="00751A4A" w:rsidRPr="00BC149A" w:rsidRDefault="00187494" w:rsidP="0010095E">
            <w:pPr>
              <w:pStyle w:val="EPLogo"/>
            </w:pPr>
            <w:r w:rsidRPr="00BC149A">
              <w:rPr>
                <w:noProof/>
                <w:lang w:eastAsia="ja-JP"/>
              </w:rPr>
              <w:drawing>
                <wp:inline distT="0" distB="0" distL="0" distR="0" wp14:anchorId="5FF6B2C6" wp14:editId="16354F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4A697F" w14:textId="77777777" w:rsidR="00D058B8" w:rsidRPr="00BC149A" w:rsidRDefault="00D058B8" w:rsidP="004C5D52">
      <w:pPr>
        <w:pStyle w:val="LineTop"/>
      </w:pPr>
    </w:p>
    <w:p w14:paraId="4CBDE6E8" w14:textId="5B84A6BF" w:rsidR="00680577" w:rsidRPr="00BC149A" w:rsidRDefault="0042615B" w:rsidP="00680577">
      <w:pPr>
        <w:pStyle w:val="EPBodyTA1"/>
      </w:pPr>
      <w:r w:rsidRPr="00BC149A">
        <w:t>ПРИЕТИ ТЕКСТОВЕ</w:t>
      </w:r>
    </w:p>
    <w:p w14:paraId="2C502DD8" w14:textId="77777777" w:rsidR="00D058B8" w:rsidRPr="00BC149A" w:rsidRDefault="00D058B8" w:rsidP="00D058B8">
      <w:pPr>
        <w:pStyle w:val="LineBottom"/>
      </w:pPr>
    </w:p>
    <w:p w14:paraId="545339EE" w14:textId="0BCE7CD5" w:rsidR="0042615B" w:rsidRPr="00BC149A" w:rsidRDefault="0042615B" w:rsidP="0042615B">
      <w:pPr>
        <w:pStyle w:val="ATHeading1"/>
      </w:pPr>
      <w:bookmarkStart w:id="0" w:name="TANumber"/>
      <w:r w:rsidRPr="00BC149A">
        <w:t>P10_TA(2026)0</w:t>
      </w:r>
      <w:bookmarkEnd w:id="0"/>
      <w:r w:rsidR="00851F8C">
        <w:t>145</w:t>
      </w:r>
    </w:p>
    <w:p w14:paraId="3DF96EE0" w14:textId="54D2E19C" w:rsidR="0042615B" w:rsidRPr="00BC149A" w:rsidRDefault="0042615B" w:rsidP="0042615B">
      <w:pPr>
        <w:pStyle w:val="ATHeading2"/>
      </w:pPr>
      <w:bookmarkStart w:id="1" w:name="title"/>
      <w:r w:rsidRPr="00BC149A">
        <w:t>Мобилизиране на средства от Европейския фонд за приспособяване към глобализацията за съкратени работници</w:t>
      </w:r>
      <w:r w:rsidR="00C80D3B">
        <w:t>:</w:t>
      </w:r>
      <w:r w:rsidRPr="00BC149A">
        <w:t xml:space="preserve"> заявление EGF/2025/008 BE/</w:t>
      </w:r>
      <w:proofErr w:type="spellStart"/>
      <w:r w:rsidRPr="00BC149A">
        <w:t>Liberty</w:t>
      </w:r>
      <w:bookmarkEnd w:id="1"/>
      <w:proofErr w:type="spellEnd"/>
      <w:r w:rsidR="00C80D3B">
        <w:t xml:space="preserve"> –</w:t>
      </w:r>
      <w:r w:rsidR="00C80D3B" w:rsidRPr="00BC149A">
        <w:t xml:space="preserve"> Белгия </w:t>
      </w:r>
    </w:p>
    <w:p w14:paraId="48B2E70C" w14:textId="77777777" w:rsidR="0042615B" w:rsidRPr="00BC149A" w:rsidRDefault="0042615B" w:rsidP="0042615B">
      <w:pPr>
        <w:rPr>
          <w:i/>
          <w:vanish/>
        </w:rPr>
      </w:pPr>
      <w:r w:rsidRPr="00BC149A">
        <w:rPr>
          <w:i/>
        </w:rPr>
        <w:fldChar w:fldCharType="begin"/>
      </w:r>
      <w:r w:rsidRPr="00BC149A">
        <w:rPr>
          <w:i/>
        </w:rPr>
        <w:instrText xml:space="preserve"> TC"(</w:instrText>
      </w:r>
      <w:bookmarkStart w:id="2" w:name="DocNumber"/>
      <w:r w:rsidRPr="00BC149A">
        <w:rPr>
          <w:i/>
        </w:rPr>
        <w:instrText>A10-0084/2026</w:instrText>
      </w:r>
      <w:bookmarkEnd w:id="2"/>
      <w:r w:rsidRPr="00BC149A">
        <w:rPr>
          <w:i/>
        </w:rPr>
        <w:instrText xml:space="preserve"> - Докладчик: Матиас Еке)"\l3 \n&gt; \* MERGEFORMAT </w:instrText>
      </w:r>
      <w:r w:rsidRPr="00BC149A">
        <w:rPr>
          <w:i/>
        </w:rPr>
        <w:fldChar w:fldCharType="end"/>
      </w:r>
    </w:p>
    <w:p w14:paraId="579F09DE" w14:textId="77777777" w:rsidR="0042615B" w:rsidRPr="00BC149A" w:rsidRDefault="0042615B" w:rsidP="0042615B">
      <w:pPr>
        <w:rPr>
          <w:vanish/>
        </w:rPr>
      </w:pPr>
      <w:bookmarkStart w:id="3" w:name="Commission"/>
      <w:r w:rsidRPr="00BC149A">
        <w:rPr>
          <w:vanish/>
        </w:rPr>
        <w:t>Комисия по бюджети</w:t>
      </w:r>
      <w:bookmarkEnd w:id="3"/>
    </w:p>
    <w:p w14:paraId="6B02C6BE" w14:textId="77777777" w:rsidR="0042615B" w:rsidRPr="00BC149A" w:rsidRDefault="0042615B" w:rsidP="0042615B">
      <w:pPr>
        <w:rPr>
          <w:vanish/>
        </w:rPr>
      </w:pPr>
      <w:bookmarkStart w:id="4" w:name="PE"/>
      <w:r w:rsidRPr="00BC149A">
        <w:rPr>
          <w:vanish/>
        </w:rPr>
        <w:t>PE785.333</w:t>
      </w:r>
      <w:bookmarkEnd w:id="4"/>
    </w:p>
    <w:p w14:paraId="0F9797AE" w14:textId="55DF2659" w:rsidR="0042615B" w:rsidRPr="00BC149A" w:rsidRDefault="0042615B" w:rsidP="0042615B">
      <w:pPr>
        <w:pStyle w:val="ATHeading3"/>
      </w:pPr>
      <w:bookmarkStart w:id="5" w:name="Sujet"/>
      <w:r w:rsidRPr="00BC149A">
        <w:t xml:space="preserve">Резолюция на Европейския парламент от </w:t>
      </w:r>
      <w:r w:rsidR="00C80D3B">
        <w:t>29 април</w:t>
      </w:r>
      <w:r w:rsidRPr="00BC149A">
        <w:t xml:space="preserve"> 2026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 – EGF/2025/008/BE/</w:t>
      </w:r>
      <w:proofErr w:type="spellStart"/>
      <w:r w:rsidRPr="00BC149A">
        <w:t>Liberty</w:t>
      </w:r>
      <w:bookmarkEnd w:id="5"/>
      <w:proofErr w:type="spellEnd"/>
      <w:r w:rsidRPr="00BC149A">
        <w:t xml:space="preserve"> </w:t>
      </w:r>
      <w:bookmarkStart w:id="6" w:name="References"/>
      <w:r w:rsidRPr="00BC149A">
        <w:t>(COM(2026)0004 – C10-0062/2026 – 2026/0066(BUD))</w:t>
      </w:r>
      <w:bookmarkEnd w:id="6"/>
    </w:p>
    <w:p w14:paraId="457542D2" w14:textId="77777777" w:rsidR="007B46A5" w:rsidRPr="00BC149A" w:rsidRDefault="007B46A5" w:rsidP="007B46A5">
      <w:pPr>
        <w:pStyle w:val="EPComma"/>
        <w:rPr>
          <w:noProof/>
        </w:rPr>
      </w:pPr>
      <w:r w:rsidRPr="00BC149A">
        <w:rPr>
          <w:i/>
        </w:rPr>
        <w:t>Европейският парламент</w:t>
      </w:r>
      <w:r w:rsidRPr="00BC149A">
        <w:t>,</w:t>
      </w:r>
    </w:p>
    <w:p w14:paraId="3E915977" w14:textId="338E7A88" w:rsidR="007B46A5" w:rsidRPr="00BC149A" w:rsidRDefault="007B46A5" w:rsidP="007B46A5">
      <w:pPr>
        <w:pStyle w:val="NormalHanging12a"/>
        <w:rPr>
          <w:noProof/>
        </w:rPr>
      </w:pPr>
      <w:r w:rsidRPr="00BC149A">
        <w:t>–</w:t>
      </w:r>
      <w:r w:rsidRPr="00BC149A">
        <w:tab/>
        <w:t xml:space="preserve">като взе предвид предложението на Комисията до </w:t>
      </w:r>
      <w:r w:rsidR="00C80D3B">
        <w:t>П</w:t>
      </w:r>
      <w:r w:rsidRPr="00BC149A">
        <w:t>арламент</w:t>
      </w:r>
      <w:r w:rsidR="00C80D3B">
        <w:t>а</w:t>
      </w:r>
      <w:r w:rsidRPr="00BC149A">
        <w:t xml:space="preserve"> и </w:t>
      </w:r>
      <w:r w:rsidR="00C80D3B">
        <w:t xml:space="preserve">до </w:t>
      </w:r>
      <w:r w:rsidRPr="00BC149A">
        <w:t>Съвета (COM(2026)0004 – C10</w:t>
      </w:r>
      <w:r w:rsidRPr="00BC149A">
        <w:noBreakHyphen/>
        <w:t>0062/2026),</w:t>
      </w:r>
    </w:p>
    <w:p w14:paraId="692208A3" w14:textId="77777777" w:rsidR="007B46A5" w:rsidRPr="00BC149A" w:rsidRDefault="007B46A5" w:rsidP="007B46A5">
      <w:pPr>
        <w:pStyle w:val="NormalHanging12a"/>
      </w:pPr>
      <w:r w:rsidRPr="00BC149A">
        <w:t>–</w:t>
      </w:r>
      <w:r w:rsidRPr="00BC149A">
        <w:tab/>
        <w:t>като взе предвид Регламент (EС) 2021/691 на Европейския парламент и на Съвета от 28 април 2021 г. относно Европейския фонд за приспособяване към глобализацията за съкратени работници (ЕФПГ) и за отмяна на Регламент (ЕС) № 1309/2013</w:t>
      </w:r>
      <w:r w:rsidRPr="00BC149A">
        <w:rPr>
          <w:vertAlign w:val="superscript"/>
        </w:rPr>
        <w:footnoteReference w:id="1"/>
      </w:r>
      <w:r w:rsidRPr="00BC149A">
        <w:t xml:space="preserve"> („Регламента за ЕФПГ“), </w:t>
      </w:r>
    </w:p>
    <w:p w14:paraId="59B25052" w14:textId="77777777" w:rsidR="007B46A5" w:rsidRPr="00BC149A" w:rsidRDefault="007B46A5" w:rsidP="007B46A5">
      <w:pPr>
        <w:pStyle w:val="NormalHanging12a"/>
        <w:rPr>
          <w:noProof/>
        </w:rPr>
      </w:pPr>
      <w:r w:rsidRPr="00BC149A">
        <w:t>–</w:t>
      </w:r>
      <w:r w:rsidRPr="00BC149A">
        <w:tab/>
        <w:t>като взе предвид Регламент (EC, Евратом) 2020/2093 на Съвета от 17 декември 2020 г. за определяне на многогодишната финансова рамка за годините 2021 – 2027 („Регламента за МФР“)</w:t>
      </w:r>
      <w:r w:rsidRPr="00BC149A">
        <w:rPr>
          <w:noProof/>
          <w:vertAlign w:val="superscript"/>
        </w:rPr>
        <w:footnoteReference w:id="2"/>
      </w:r>
      <w:r w:rsidRPr="00BC149A">
        <w:t>, изменен с Регламент (EC, Евратом) 2024/765</w:t>
      </w:r>
      <w:r w:rsidRPr="00BC149A">
        <w:rPr>
          <w:noProof/>
          <w:vertAlign w:val="superscript"/>
        </w:rPr>
        <w:footnoteReference w:id="3"/>
      </w:r>
      <w:r w:rsidRPr="00BC149A">
        <w:t xml:space="preserve">, и по-специално член 8 от него, </w:t>
      </w:r>
    </w:p>
    <w:p w14:paraId="28C04457" w14:textId="77777777" w:rsidR="007B46A5" w:rsidRPr="00BC149A" w:rsidRDefault="007B46A5" w:rsidP="007B46A5">
      <w:pPr>
        <w:pStyle w:val="NormalHanging12a"/>
        <w:rPr>
          <w:noProof/>
        </w:rPr>
      </w:pPr>
      <w:r w:rsidRPr="00BC149A">
        <w:t>–</w:t>
      </w:r>
      <w:r w:rsidRPr="00BC149A">
        <w:tab/>
        <w:t xml:space="preserve"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</w:t>
      </w:r>
      <w:r w:rsidRPr="00BC149A">
        <w:lastRenderedPageBreak/>
        <w:t>включително пътна карта за въвеждането на нови собствени ресурси</w:t>
      </w:r>
      <w:r w:rsidRPr="00BC149A">
        <w:rPr>
          <w:rStyle w:val="FootnoteReference"/>
          <w:noProof/>
        </w:rPr>
        <w:footnoteReference w:id="4"/>
      </w:r>
      <w:r w:rsidRPr="00BC149A">
        <w:t>, и по-специално точка 9 от него,</w:t>
      </w:r>
    </w:p>
    <w:p w14:paraId="730A7C51" w14:textId="77777777" w:rsidR="007B46A5" w:rsidRPr="00BC149A" w:rsidRDefault="007B46A5" w:rsidP="007B46A5">
      <w:pPr>
        <w:pStyle w:val="NormalHanging12a"/>
      </w:pPr>
      <w:r w:rsidRPr="00BC149A">
        <w:t>–</w:t>
      </w:r>
      <w:r w:rsidRPr="00BC149A">
        <w:tab/>
        <w:t>като взе предвид Европейския стълб на социалните права,</w:t>
      </w:r>
    </w:p>
    <w:p w14:paraId="745030E6" w14:textId="77777777" w:rsidR="007B46A5" w:rsidRPr="00BC149A" w:rsidRDefault="007B46A5" w:rsidP="007B46A5">
      <w:pPr>
        <w:pStyle w:val="NormalHanging12a"/>
      </w:pPr>
      <w:r w:rsidRPr="00BC149A">
        <w:t>–</w:t>
      </w:r>
      <w:r w:rsidRPr="00BC149A">
        <w:tab/>
        <w:t>като взе предвид писмото на комисията по заетост и социални въпроси,</w:t>
      </w:r>
    </w:p>
    <w:p w14:paraId="4370E2F6" w14:textId="77777777" w:rsidR="007B46A5" w:rsidRPr="00BC149A" w:rsidRDefault="007B46A5" w:rsidP="007B46A5">
      <w:pPr>
        <w:pStyle w:val="NormalHanging12a"/>
      </w:pPr>
      <w:r w:rsidRPr="00BC149A">
        <w:t>–</w:t>
      </w:r>
      <w:r w:rsidRPr="00BC149A">
        <w:tab/>
        <w:t>като взе предвид доклада на комисията по бюджети (A10-0084/2026),</w:t>
      </w:r>
    </w:p>
    <w:p w14:paraId="5CBFD780" w14:textId="77777777" w:rsidR="007B46A5" w:rsidRPr="00BC149A" w:rsidRDefault="007B46A5" w:rsidP="007B46A5">
      <w:pPr>
        <w:pStyle w:val="NormalHanging12a"/>
        <w:rPr>
          <w:noProof/>
        </w:rPr>
      </w:pPr>
      <w:r w:rsidRPr="00BC149A">
        <w:t>А.</w:t>
      </w:r>
      <w:r w:rsidRPr="00BC149A">
        <w:tab/>
        <w:t>като има предвид, че Съюзът създаде законодателни и бюджетни инструменти, за да осигури допълнителна подкрепа за работници, които са засегнати от последиците от големи структурни събития и промени в моделите на световната търговия, и за да ги подпомогне при повторното им интегриране на пазара на труда; като има предвид, че тази помощ се предоставя чрез финансова подкрепа за работниците;</w:t>
      </w:r>
    </w:p>
    <w:p w14:paraId="46BB2510" w14:textId="77777777" w:rsidR="007B46A5" w:rsidRPr="00BC149A" w:rsidRDefault="007B46A5" w:rsidP="007B46A5">
      <w:pPr>
        <w:pStyle w:val="NormalHanging12a"/>
        <w:rPr>
          <w:bCs/>
          <w:iCs/>
          <w:noProof/>
        </w:rPr>
      </w:pPr>
      <w:r w:rsidRPr="00BC149A">
        <w:t>Б.</w:t>
      </w:r>
      <w:r w:rsidRPr="00BC149A">
        <w:tab/>
        <w:t>като има предвид, че подкрепата следва да бъде насочена към бързото реинтегриране на работниците и да гарантира, че обучението, преквалификацията и професионалното обучение подготвят по-добре работниците с умения, съобразени с нуждите на пазара на труда;</w:t>
      </w:r>
    </w:p>
    <w:p w14:paraId="1489AF4E" w14:textId="77777777" w:rsidR="007B46A5" w:rsidRPr="00BC149A" w:rsidRDefault="007B46A5" w:rsidP="007B46A5">
      <w:pPr>
        <w:pStyle w:val="NormalHanging12a"/>
      </w:pPr>
      <w:r w:rsidRPr="00BC149A">
        <w:t>В.</w:t>
      </w:r>
      <w:r w:rsidRPr="00BC149A">
        <w:tab/>
        <w:t>като има предвид, че Белгия подаде заявление EGF/2025/008 BE/</w:t>
      </w:r>
      <w:proofErr w:type="spellStart"/>
      <w:r w:rsidRPr="00BC149A">
        <w:t>Liberty</w:t>
      </w:r>
      <w:proofErr w:type="spellEnd"/>
      <w:r w:rsidRPr="00BC149A">
        <w:t xml:space="preserve"> за финансово участие от страна на ЕФПГ вследствие на 507 съкращения</w:t>
      </w:r>
      <w:r w:rsidRPr="00BC149A">
        <w:rPr>
          <w:vertAlign w:val="superscript"/>
        </w:rPr>
        <w:footnoteReference w:id="5"/>
      </w:r>
      <w:r w:rsidRPr="00BC149A">
        <w:t xml:space="preserve"> в предприятието </w:t>
      </w:r>
      <w:proofErr w:type="spellStart"/>
      <w:r w:rsidRPr="00BC149A">
        <w:t>Liberty</w:t>
      </w:r>
      <w:proofErr w:type="spellEnd"/>
      <w:r w:rsidRPr="00BC149A">
        <w:t xml:space="preserve"> </w:t>
      </w:r>
      <w:proofErr w:type="spellStart"/>
      <w:r w:rsidRPr="00BC149A">
        <w:t>Galaţi</w:t>
      </w:r>
      <w:proofErr w:type="spellEnd"/>
      <w:r w:rsidRPr="00BC149A">
        <w:t xml:space="preserve"> </w:t>
      </w:r>
      <w:proofErr w:type="spellStart"/>
      <w:r w:rsidRPr="00BC149A">
        <w:t>Belgian</w:t>
      </w:r>
      <w:proofErr w:type="spellEnd"/>
      <w:r w:rsidRPr="00BC149A">
        <w:t xml:space="preserve"> </w:t>
      </w:r>
      <w:proofErr w:type="spellStart"/>
      <w:r w:rsidRPr="00BC149A">
        <w:t>Branch</w:t>
      </w:r>
      <w:proofErr w:type="spellEnd"/>
      <w:r w:rsidRPr="00BC149A">
        <w:t xml:space="preserve"> (</w:t>
      </w:r>
      <w:proofErr w:type="spellStart"/>
      <w:r w:rsidRPr="00BC149A">
        <w:t>Liberty</w:t>
      </w:r>
      <w:proofErr w:type="spellEnd"/>
      <w:r w:rsidRPr="00BC149A">
        <w:t xml:space="preserve">) в икономическия сектор от разделение 24 по NACE </w:t>
      </w:r>
      <w:proofErr w:type="spellStart"/>
      <w:r w:rsidRPr="00BC149A">
        <w:t>Rev</w:t>
      </w:r>
      <w:proofErr w:type="spellEnd"/>
      <w:r w:rsidRPr="00BC149A">
        <w:t xml:space="preserve">. 2 („Производство на основни метали“) в провинция Лиеж (BE33), </w:t>
      </w:r>
      <w:proofErr w:type="spellStart"/>
      <w:r w:rsidRPr="00BC149A">
        <w:t>Валония</w:t>
      </w:r>
      <w:proofErr w:type="spellEnd"/>
      <w:r w:rsidRPr="00BC149A">
        <w:t>, в рамките на референтен период от 24 април 2025 г. до 24 август 2025 г.;</w:t>
      </w:r>
    </w:p>
    <w:p w14:paraId="01170AAC" w14:textId="77777777" w:rsidR="007B46A5" w:rsidRPr="00BC149A" w:rsidRDefault="007B46A5" w:rsidP="007B46A5">
      <w:pPr>
        <w:pStyle w:val="NormalHanging12a"/>
      </w:pPr>
      <w:r w:rsidRPr="00BC149A">
        <w:t>Г.</w:t>
      </w:r>
      <w:r w:rsidRPr="00BC149A">
        <w:tab/>
        <w:t>като има предвид, че заявлението се основава на критериите за намеса по член 4, параграф 2, буква а) от Регламента за ЕФПГ, съгласно който следва да е налице прекратяване на дейността на най-малко 200 съкратени работници или самостоятелно заети лица за референтен период от четири месеца в дадено предприятие в държава членка;</w:t>
      </w:r>
    </w:p>
    <w:p w14:paraId="6C0118F6" w14:textId="77777777" w:rsidR="007B46A5" w:rsidRPr="00BC149A" w:rsidRDefault="007B46A5" w:rsidP="007B46A5">
      <w:pPr>
        <w:pStyle w:val="NormalHanging12a"/>
        <w:rPr>
          <w:noProof/>
        </w:rPr>
      </w:pPr>
      <w:r w:rsidRPr="00BC149A">
        <w:t>Д.</w:t>
      </w:r>
      <w:r w:rsidRPr="00BC149A">
        <w:tab/>
        <w:t xml:space="preserve">като има предвид, че на 22 април 2025 г. Търговският съд на Лиеж обяви </w:t>
      </w:r>
      <w:proofErr w:type="spellStart"/>
      <w:r w:rsidRPr="00BC149A">
        <w:t>Liberty</w:t>
      </w:r>
      <w:proofErr w:type="spellEnd"/>
      <w:r w:rsidRPr="00BC149A">
        <w:t xml:space="preserve"> в несъстоятелност; като има предвид, че от 2022 г. насам случаите на несъстоятелност в Белгия се увеличават;</w:t>
      </w:r>
    </w:p>
    <w:p w14:paraId="01278338" w14:textId="77777777" w:rsidR="007B46A5" w:rsidRPr="00BC149A" w:rsidRDefault="007B46A5" w:rsidP="007B46A5">
      <w:pPr>
        <w:pStyle w:val="NormalHanging12a"/>
      </w:pPr>
      <w:r w:rsidRPr="00BC149A">
        <w:t>Е.</w:t>
      </w:r>
      <w:r w:rsidRPr="00BC149A">
        <w:tab/>
        <w:t xml:space="preserve">като има предвид, че </w:t>
      </w:r>
      <w:proofErr w:type="spellStart"/>
      <w:r w:rsidRPr="00BC149A">
        <w:t>Région</w:t>
      </w:r>
      <w:proofErr w:type="spellEnd"/>
      <w:r w:rsidRPr="00BC149A">
        <w:t xml:space="preserve"> </w:t>
      </w:r>
      <w:proofErr w:type="spellStart"/>
      <w:r w:rsidRPr="00BC149A">
        <w:t>Wallone</w:t>
      </w:r>
      <w:proofErr w:type="spellEnd"/>
      <w:r w:rsidRPr="00BC149A">
        <w:t xml:space="preserve"> и </w:t>
      </w:r>
      <w:proofErr w:type="spellStart"/>
      <w:r w:rsidRPr="00BC149A">
        <w:t>Le</w:t>
      </w:r>
      <w:proofErr w:type="spellEnd"/>
      <w:r w:rsidRPr="00BC149A">
        <w:t xml:space="preserve"> </w:t>
      </w:r>
      <w:proofErr w:type="spellStart"/>
      <w:r w:rsidRPr="00BC149A">
        <w:t>Forem</w:t>
      </w:r>
      <w:proofErr w:type="spellEnd"/>
      <w:r w:rsidRPr="00BC149A">
        <w:t xml:space="preserve"> предоставят националното предварително финансиране и съфинансиране за мерките;</w:t>
      </w:r>
    </w:p>
    <w:p w14:paraId="63E19EEF" w14:textId="77777777" w:rsidR="007B46A5" w:rsidRPr="00BC149A" w:rsidRDefault="007B46A5" w:rsidP="007B46A5">
      <w:pPr>
        <w:pStyle w:val="NormalHanging12a"/>
      </w:pPr>
      <w:r w:rsidRPr="00BC149A">
        <w:t>Ж.</w:t>
      </w:r>
      <w:r w:rsidRPr="00BC149A">
        <w:tab/>
        <w:t>като има предвид, че са изпълнени изискванията относно колективните съкращения, определени в законодателството на Съюза и в националното законодателство;</w:t>
      </w:r>
    </w:p>
    <w:p w14:paraId="619B1B61" w14:textId="77777777" w:rsidR="007B46A5" w:rsidRPr="00BC149A" w:rsidRDefault="007B46A5" w:rsidP="007B46A5">
      <w:pPr>
        <w:pStyle w:val="NormalHanging12a"/>
      </w:pPr>
      <w:r w:rsidRPr="00BC149A">
        <w:t>З.</w:t>
      </w:r>
      <w:r w:rsidRPr="00BC149A">
        <w:tab/>
        <w:t xml:space="preserve">като има предвид, че финансовото участие от ЕФПГ следва да бъде насочено главно към активни мерки на политиката на пазара на труда и персонализирани услуги, целящи бързото реинтегриране на </w:t>
      </w:r>
      <w:proofErr w:type="spellStart"/>
      <w:r w:rsidRPr="00BC149A">
        <w:t>бенефициерите</w:t>
      </w:r>
      <w:proofErr w:type="spellEnd"/>
      <w:r w:rsidRPr="00BC149A">
        <w:t xml:space="preserve"> на пазара на труда, като им се предлага обучение за придобиване на умения, така че да се улесни достъпът </w:t>
      </w:r>
      <w:r w:rsidRPr="00BC149A">
        <w:lastRenderedPageBreak/>
        <w:t>им до пазара на труда;</w:t>
      </w:r>
    </w:p>
    <w:p w14:paraId="16763467" w14:textId="77777777" w:rsidR="007B46A5" w:rsidRPr="00BC149A" w:rsidRDefault="007B46A5" w:rsidP="007B46A5">
      <w:pPr>
        <w:pStyle w:val="NormalHanging12a"/>
      </w:pPr>
      <w:r w:rsidRPr="00BC149A">
        <w:t>И.</w:t>
      </w:r>
      <w:r w:rsidRPr="00BC149A">
        <w:tab/>
        <w:t>като има предвид, че ЕФПГ не надхвърля максимален годишен размер от 30 милиона евро (по цени от 2018 г.)</w:t>
      </w:r>
      <w:r w:rsidRPr="00BC149A">
        <w:rPr>
          <w:rStyle w:val="FootnoteReference"/>
        </w:rPr>
        <w:footnoteReference w:id="6"/>
      </w:r>
      <w:r w:rsidRPr="00BC149A">
        <w:t>;</w:t>
      </w:r>
    </w:p>
    <w:p w14:paraId="4FC516ED" w14:textId="77777777" w:rsidR="007B46A5" w:rsidRPr="00BC149A" w:rsidRDefault="007B46A5" w:rsidP="007B46A5">
      <w:pPr>
        <w:pStyle w:val="NormalHanging12a"/>
      </w:pPr>
      <w:r w:rsidRPr="00BC149A">
        <w:t>1.</w:t>
      </w:r>
      <w:r w:rsidRPr="00BC149A">
        <w:tab/>
        <w:t>изразява съгласие с Комисията, че условията по Регламента за ЕФПГ, и по-специално по член 4, параграф 2, буква а) от него, са изпълнени и че Белгия има право на финансово подпомагане в размер на 2 033 869 EUR съгласно посочения регламент, което съставлява 85% от общите разходи в размер на 2 392 788 EUR, като те включват разходи за персонализирани услуги в размер на 2 358 922 EUR и разходи за дейности по подготовка, управление, информация и публичност, контрол и докладване в размер на 33 866 EUR;</w:t>
      </w:r>
    </w:p>
    <w:p w14:paraId="570D7530" w14:textId="77777777" w:rsidR="007B46A5" w:rsidRPr="00BC149A" w:rsidRDefault="007B46A5" w:rsidP="007B46A5">
      <w:pPr>
        <w:pStyle w:val="NormalHanging12a"/>
      </w:pPr>
      <w:r w:rsidRPr="00BC149A">
        <w:t>2.</w:t>
      </w:r>
      <w:r w:rsidRPr="00BC149A">
        <w:tab/>
        <w:t xml:space="preserve">отбелязва, че белгийските органи подадоха заявлението на 13 ноември 2025 г. и че след получаването на допълнителна информация от Белгия Комисията приключи оценката си и уведоми Парламента за това на 2 март 2026 г.; подчертава, че е необходимо да се съкрати времето между подаването на заявление по ЕФПГ и вземането на решение за финансиране, при зачитане на бюджетните права на Парламента; </w:t>
      </w:r>
    </w:p>
    <w:p w14:paraId="3A558C47" w14:textId="77777777" w:rsidR="007B46A5" w:rsidRPr="00BC149A" w:rsidRDefault="007B46A5" w:rsidP="007B46A5">
      <w:pPr>
        <w:pStyle w:val="NormalHanging12a"/>
      </w:pPr>
      <w:r w:rsidRPr="00BC149A">
        <w:t>3.</w:t>
      </w:r>
      <w:r w:rsidRPr="00BC149A">
        <w:tab/>
        <w:t>отбелязва, че заявлението се отнася до целева група от 507 </w:t>
      </w:r>
      <w:proofErr w:type="spellStart"/>
      <w:r w:rsidRPr="00BC149A">
        <w:t>бенефициери</w:t>
      </w:r>
      <w:proofErr w:type="spellEnd"/>
      <w:r w:rsidRPr="00BC149A">
        <w:t xml:space="preserve">, съкратени от предприятието </w:t>
      </w:r>
      <w:proofErr w:type="spellStart"/>
      <w:r w:rsidRPr="00BC149A">
        <w:t>Liberty</w:t>
      </w:r>
      <w:proofErr w:type="spellEnd"/>
      <w:r w:rsidRPr="00BC149A">
        <w:t>;</w:t>
      </w:r>
    </w:p>
    <w:p w14:paraId="7EF35176" w14:textId="77777777" w:rsidR="007B46A5" w:rsidRPr="00BC149A" w:rsidRDefault="007B46A5" w:rsidP="007B46A5">
      <w:pPr>
        <w:pStyle w:val="NormalHanging12a"/>
      </w:pPr>
      <w:r w:rsidRPr="00BC149A">
        <w:t>4.</w:t>
      </w:r>
      <w:r w:rsidRPr="00BC149A">
        <w:tab/>
        <w:t xml:space="preserve">отбелязва, че предприятието </w:t>
      </w:r>
      <w:proofErr w:type="spellStart"/>
      <w:r w:rsidRPr="00BC149A">
        <w:t>Liberty</w:t>
      </w:r>
      <w:proofErr w:type="spellEnd"/>
      <w:r w:rsidRPr="00BC149A">
        <w:t xml:space="preserve"> е изпитвало финансови затруднения в продължение на години преди обявяването в несъстоятелност поради неблагоприятните условия на пазара на стомана, свързаните с COVID-19 смущения във веригата на доставки и високите цени на енергията след агресивната война на Русия срещу Украйна, съчетани със зависимостта на Съюза от вносни изкопаеми горива и недостатъчното внедряване на по-евтини енергийни източници; отбелязва, че линиите за галванизиране на </w:t>
      </w:r>
      <w:proofErr w:type="spellStart"/>
      <w:r w:rsidRPr="00BC149A">
        <w:t>Liberty</w:t>
      </w:r>
      <w:proofErr w:type="spellEnd"/>
      <w:r w:rsidRPr="00BC149A">
        <w:t xml:space="preserve"> </w:t>
      </w:r>
      <w:proofErr w:type="spellStart"/>
      <w:r w:rsidRPr="00BC149A">
        <w:t>Steel</w:t>
      </w:r>
      <w:proofErr w:type="spellEnd"/>
      <w:r w:rsidRPr="00BC149A">
        <w:t xml:space="preserve"> </w:t>
      </w:r>
      <w:proofErr w:type="spellStart"/>
      <w:r w:rsidRPr="00BC149A">
        <w:t>Liège</w:t>
      </w:r>
      <w:proofErr w:type="spellEnd"/>
      <w:r w:rsidRPr="00BC149A">
        <w:t xml:space="preserve"> не се използват от декември 2021 г. насам, главно поради липсата на суровини, което доведе до операция по преструктуриране, вследствие на която през 2023 г. беше извършено законното прехвърляне на предприятието към </w:t>
      </w:r>
      <w:proofErr w:type="spellStart"/>
      <w:r w:rsidRPr="00BC149A">
        <w:t>Liberty</w:t>
      </w:r>
      <w:proofErr w:type="spellEnd"/>
      <w:r w:rsidRPr="00BC149A">
        <w:t xml:space="preserve"> </w:t>
      </w:r>
      <w:proofErr w:type="spellStart"/>
      <w:r w:rsidRPr="00BC149A">
        <w:t>Galaţi</w:t>
      </w:r>
      <w:proofErr w:type="spellEnd"/>
      <w:r w:rsidRPr="00BC149A">
        <w:t>; изразява съжаление, че производствената дейност не е възобновена въпреки придобиването и това е довело до обявяването в несъстоятелност;</w:t>
      </w:r>
    </w:p>
    <w:p w14:paraId="57891B9E" w14:textId="77777777" w:rsidR="007B46A5" w:rsidRPr="00BC149A" w:rsidRDefault="007B46A5" w:rsidP="007B46A5">
      <w:pPr>
        <w:pStyle w:val="NormalHanging12a"/>
        <w:rPr>
          <w:noProof/>
        </w:rPr>
      </w:pPr>
      <w:r w:rsidRPr="00BC149A">
        <w:t>5.</w:t>
      </w:r>
      <w:r w:rsidRPr="00BC149A">
        <w:tab/>
        <w:t xml:space="preserve">отбелязва, че затрудненията, които е изпитвало предприятието </w:t>
      </w:r>
      <w:proofErr w:type="spellStart"/>
      <w:r w:rsidRPr="00BC149A">
        <w:t>Liberty</w:t>
      </w:r>
      <w:proofErr w:type="spellEnd"/>
      <w:r w:rsidRPr="00BC149A">
        <w:t xml:space="preserve"> </w:t>
      </w:r>
      <w:proofErr w:type="spellStart"/>
      <w:r w:rsidRPr="00BC149A">
        <w:t>Steel</w:t>
      </w:r>
      <w:proofErr w:type="spellEnd"/>
      <w:r w:rsidRPr="00BC149A">
        <w:t xml:space="preserve">, са свързани и със специфични за него фактори след като GFG Alliance го придобива от </w:t>
      </w:r>
      <w:proofErr w:type="spellStart"/>
      <w:r w:rsidRPr="00BC149A">
        <w:t>ArcelorMittal</w:t>
      </w:r>
      <w:proofErr w:type="spellEnd"/>
      <w:r w:rsidRPr="00BC149A">
        <w:t>; подчертава сериозните опасения относно финансовата устойчивост на бизнес модела и неизпълнението на инвестиционните ангажименти, което допринесе за влошаването на икономическото състояние на завода и произтичащите от това съкращения;</w:t>
      </w:r>
    </w:p>
    <w:p w14:paraId="41F57110" w14:textId="77777777" w:rsidR="007B46A5" w:rsidRPr="00BC149A" w:rsidRDefault="007B46A5" w:rsidP="007B46A5">
      <w:pPr>
        <w:pStyle w:val="NormalHanging12a"/>
        <w:rPr>
          <w:b/>
          <w:bCs/>
          <w:i/>
          <w:iCs/>
        </w:rPr>
      </w:pPr>
      <w:bookmarkStart w:id="7" w:name="_Hlk225497832"/>
      <w:r w:rsidRPr="00BC149A">
        <w:t>6.</w:t>
      </w:r>
      <w:r w:rsidRPr="00BC149A">
        <w:tab/>
        <w:t xml:space="preserve">отбелязва, че регион </w:t>
      </w:r>
      <w:proofErr w:type="spellStart"/>
      <w:r w:rsidRPr="00BC149A">
        <w:t>Валония</w:t>
      </w:r>
      <w:proofErr w:type="spellEnd"/>
      <w:r w:rsidRPr="00BC149A">
        <w:t xml:space="preserve"> премина през процес на </w:t>
      </w:r>
      <w:proofErr w:type="spellStart"/>
      <w:r w:rsidRPr="00BC149A">
        <w:t>деиндустриализация</w:t>
      </w:r>
      <w:proofErr w:type="spellEnd"/>
      <w:r w:rsidRPr="00BC149A">
        <w:t xml:space="preserve"> и икономическа трансформация</w:t>
      </w:r>
      <w:r w:rsidRPr="00BC149A">
        <w:rPr>
          <w:rStyle w:val="FootnoteReference"/>
        </w:rPr>
        <w:footnoteReference w:id="7"/>
      </w:r>
      <w:r w:rsidRPr="00BC149A">
        <w:t xml:space="preserve">; отбелязва, че обявяването на </w:t>
      </w:r>
      <w:proofErr w:type="spellStart"/>
      <w:r w:rsidRPr="00BC149A">
        <w:t>Liberty</w:t>
      </w:r>
      <w:proofErr w:type="spellEnd"/>
      <w:r w:rsidRPr="00BC149A">
        <w:t xml:space="preserve"> в несъстоятелност представлява голямо социално сътресение за </w:t>
      </w:r>
      <w:proofErr w:type="spellStart"/>
      <w:r w:rsidRPr="00BC149A">
        <w:t>Валония</w:t>
      </w:r>
      <w:proofErr w:type="spellEnd"/>
      <w:r w:rsidRPr="00BC149A">
        <w:t xml:space="preserve"> – регион</w:t>
      </w:r>
      <w:bookmarkEnd w:id="7"/>
      <w:r w:rsidRPr="00BC149A">
        <w:t xml:space="preserve">, чийто пазар на труда вече е отслабен от други преструктурирания; подчертава, че стоманодобивният сектор продължава да бъде важен икономически сектор за Белгия, като съотношението на работните места в стоманодобивната </w:t>
      </w:r>
      <w:r w:rsidRPr="00BC149A">
        <w:lastRenderedPageBreak/>
        <w:t>промишленост на глава от населението остава високо; призовава белгийските органи да предоставят специфична подкрепа, съобразена с тези профили, за да помогнат на работниците да доразвият необходимите умения за намиране на нови качествени работни места, като същевременно се предприемат мерки за намаляване на случаите на несъстоятелност и за преодоляване на социалните различия, водещи до изключване на работната сила; подчертава, че Съюзът поддържа благоприятна за бизнеса среда, която стимулира икономическия растеж, насърчава иновациите, подкрепя технологичното развитие, укрепва конкурентоспособността, намалява ненужната регулаторна тежест и опростява бюрократичните процедури, и подчертава необходимостта от политики, които насърчават промишлената конкурентоспособност, териториалното, икономическото и социалното сближаване и регионалното развитие; подчертава значението на един конкурентоспособен и устойчив европейски стоманодобивен сектор като основа за силна и висококачествена промишленост и основен стълб на стратегическата автономност на Съюза;</w:t>
      </w:r>
    </w:p>
    <w:p w14:paraId="7FFF4588" w14:textId="77777777" w:rsidR="007B46A5" w:rsidRPr="00BC149A" w:rsidRDefault="007B46A5" w:rsidP="007B46A5">
      <w:pPr>
        <w:pStyle w:val="NormalHanging12a"/>
      </w:pPr>
      <w:r w:rsidRPr="00BC149A">
        <w:t>7.</w:t>
      </w:r>
      <w:r w:rsidRPr="00BC149A">
        <w:tab/>
        <w:t xml:space="preserve">припомня, че едно от всеки четири регистрирани търсещи работа лица във </w:t>
      </w:r>
      <w:proofErr w:type="spellStart"/>
      <w:r w:rsidRPr="00BC149A">
        <w:t>Валония</w:t>
      </w:r>
      <w:proofErr w:type="spellEnd"/>
      <w:r w:rsidRPr="00BC149A">
        <w:t xml:space="preserve"> e на възраст над 50 години и среща по-големи пречки при завръщането си на пазара на труда; отбелязва, че въпреки високата им специализация преходът от едно работно място към друго на работниците на </w:t>
      </w:r>
      <w:proofErr w:type="spellStart"/>
      <w:r w:rsidRPr="00BC149A">
        <w:t>Liberty</w:t>
      </w:r>
      <w:proofErr w:type="spellEnd"/>
      <w:r w:rsidRPr="00BC149A">
        <w:t xml:space="preserve"> е затруднен от напредналата им възраст (52% от работниците са на възраст 55 години или повече); отбелязва, че 69% от съкратените работници са с ниско равнище на образование;</w:t>
      </w:r>
    </w:p>
    <w:p w14:paraId="7F1B609F" w14:textId="77777777" w:rsidR="007B46A5" w:rsidRPr="00BC149A" w:rsidRDefault="007B46A5" w:rsidP="007B46A5">
      <w:pPr>
        <w:pStyle w:val="NormalHanging12a"/>
      </w:pPr>
      <w:bookmarkStart w:id="8" w:name="_Hlk226546977"/>
      <w:r w:rsidRPr="00BC149A">
        <w:t>8.</w:t>
      </w:r>
      <w:r w:rsidRPr="00BC149A">
        <w:tab/>
        <w:t>припомня, че със съгласието на синдикалните организации и регионалните органи персонализираните услуги, които ще бъдат предоставени на работниците, се състоят от следните мерки: пренасочване и професионално ориентиране; обучение, преквалификация и професионално обучение, включително умения в областта на информационните технологии; подкрепа за създаване на предприятия; помощ за започване на стопанска дейност; стимули и други помощи; подчертава значението на увеличаването на инвестициите в иновации, умения и модернизиране на промишлеността, за да се укрепи конкурентоспособността на европейската промишленост и да се гарантира, че работниците са подготвени за променящите се нужди на пазара на труда;</w:t>
      </w:r>
      <w:bookmarkEnd w:id="8"/>
    </w:p>
    <w:p w14:paraId="5856BB75" w14:textId="77777777" w:rsidR="007B46A5" w:rsidRPr="00BC149A" w:rsidRDefault="007B46A5" w:rsidP="007B46A5">
      <w:pPr>
        <w:pStyle w:val="NormalHanging12a"/>
      </w:pPr>
      <w:r w:rsidRPr="00BC149A">
        <w:t>9.</w:t>
      </w:r>
      <w:r w:rsidRPr="00BC149A">
        <w:tab/>
        <w:t>подчертава, че е важно да се насърчават висококачествени, ориентирани към бъдещето работни места, които укрепват конкурентоспособността, насърчават цифровата трансформация и отговарят на изискванията на пазара на труда, за да се гарантира дългосрочна икономическа и социална устойчивост; счита следователно, че мобилизирането на ЕФПГ трябва да бъде включено в рамките на по-всеобхватни ответни мерки на политиката на всички политически равнища, за да се гарантира, че засегнатите работници ще намерят подходящи възможности за работа в съответствие с техните квалификации и умения; подчертава, че ЕФПГ е инструмент за солидарност и справедлив преход и че основната задача на Съюза трябва да бъде на първо място да предотвратява подобни закривания;</w:t>
      </w:r>
    </w:p>
    <w:p w14:paraId="12624F8C" w14:textId="77777777" w:rsidR="007B46A5" w:rsidRPr="00BC149A" w:rsidRDefault="007B46A5" w:rsidP="007B46A5">
      <w:pPr>
        <w:pStyle w:val="NormalHanging12a"/>
      </w:pPr>
      <w:r w:rsidRPr="00BC149A">
        <w:t>10.</w:t>
      </w:r>
      <w:r w:rsidRPr="00BC149A">
        <w:tab/>
        <w:t xml:space="preserve">подчертава значението на укрепването на конкурентоспособността на промишлеността на Съюза и насърчаването на инвестициите в стратегически промишлени сектори, за да се предотвратят по-нататъшна </w:t>
      </w:r>
      <w:proofErr w:type="spellStart"/>
      <w:r w:rsidRPr="00BC149A">
        <w:t>деиндустриализация</w:t>
      </w:r>
      <w:proofErr w:type="spellEnd"/>
      <w:r w:rsidRPr="00BC149A">
        <w:t xml:space="preserve"> и съкращения и да се подкрепи създаването на работни места; подчертава необходимостта от преход към енергия от възобновяеми източници, наред с други мерки за гарантиране на достъпни цени на енергията;</w:t>
      </w:r>
    </w:p>
    <w:p w14:paraId="609271BE" w14:textId="77777777" w:rsidR="007B46A5" w:rsidRPr="00BC149A" w:rsidRDefault="007B46A5" w:rsidP="007B46A5">
      <w:pPr>
        <w:pStyle w:val="NormalHanging12a"/>
        <w:rPr>
          <w:bCs/>
          <w:iCs/>
        </w:rPr>
      </w:pPr>
      <w:r w:rsidRPr="00BC149A">
        <w:lastRenderedPageBreak/>
        <w:t>11.</w:t>
      </w:r>
      <w:r w:rsidRPr="00BC149A">
        <w:tab/>
        <w:t xml:space="preserve">подчертава, че белгийските органи следва да гарантират видимостта на финансирането от Съюза и да изтъкват неговата добавена стойност, като предоставят ефективна и целенасочена информация на </w:t>
      </w:r>
      <w:proofErr w:type="spellStart"/>
      <w:r w:rsidRPr="00BC149A">
        <w:t>бенефициерите</w:t>
      </w:r>
      <w:proofErr w:type="spellEnd"/>
      <w:r w:rsidRPr="00BC149A">
        <w:t>, регионалните и местните органи на власт, социалните партньори и широката общественост;</w:t>
      </w:r>
    </w:p>
    <w:p w14:paraId="6D227597" w14:textId="77777777" w:rsidR="007B46A5" w:rsidRPr="00BC149A" w:rsidRDefault="007B46A5" w:rsidP="007B46A5">
      <w:pPr>
        <w:pStyle w:val="NormalHanging12a"/>
      </w:pPr>
      <w:r w:rsidRPr="00BC149A">
        <w:t>12.</w:t>
      </w:r>
      <w:r w:rsidRPr="00BC149A">
        <w:tab/>
        <w:t>призовава за задълбочени окончателни оценки заедно със социалните партньори на приложените мерки, включително ясна и прозрачна информация за това как са били използвани средствата, за реинтеграцията на работниците на пазара на труда, както и дали целите на ЕФПГ са били постигнати; подчертава в този контекст значението на редовния мониторинг на финансираните от ЕФПГ мерки, за да се оцени тяхната ефективност;</w:t>
      </w:r>
    </w:p>
    <w:p w14:paraId="5E060D73" w14:textId="77777777" w:rsidR="007B46A5" w:rsidRPr="00BC149A" w:rsidRDefault="007B46A5" w:rsidP="007B46A5">
      <w:pPr>
        <w:pStyle w:val="NormalHanging12a"/>
      </w:pPr>
      <w:r w:rsidRPr="00BC149A">
        <w:t>13.</w:t>
      </w:r>
      <w:r w:rsidRPr="00BC149A">
        <w:tab/>
        <w:t xml:space="preserve">отбелязва, че Белгия е започнала да предоставя персонализирани услуги на </w:t>
      </w:r>
      <w:proofErr w:type="spellStart"/>
      <w:r w:rsidRPr="00BC149A">
        <w:t>бенефициерите</w:t>
      </w:r>
      <w:proofErr w:type="spellEnd"/>
      <w:r w:rsidRPr="00BC149A">
        <w:t xml:space="preserve"> от целевата група на 1 юни 2025 г. и че следователно периодът на допустимост за предоставяне на финансиране от ЕФПГ ще бъде от тази дата до 24 месеца след датата на влизане в сила на решението за финансиране;</w:t>
      </w:r>
    </w:p>
    <w:p w14:paraId="293EEEB0" w14:textId="77777777" w:rsidR="007B46A5" w:rsidRPr="00BC149A" w:rsidRDefault="007B46A5" w:rsidP="007B46A5">
      <w:pPr>
        <w:pStyle w:val="NormalHanging12a"/>
        <w:rPr>
          <w:sz w:val="23"/>
          <w:szCs w:val="23"/>
        </w:rPr>
      </w:pPr>
      <w:r w:rsidRPr="00BC149A">
        <w:t>14.</w:t>
      </w:r>
      <w:r w:rsidRPr="00BC149A">
        <w:tab/>
        <w:t>отбелязва, че Белгия е започнала да извършва административни разходи по прилагането на ЕФПГ на 22 април 2025 г. и че следователно тези разходи ще бъдат допустими за финансиране от ЕФПГ от тази дата до 31 месеца след датата на влизане в сила на решението за финансиране;</w:t>
      </w:r>
    </w:p>
    <w:p w14:paraId="6E579DB7" w14:textId="77777777" w:rsidR="007B46A5" w:rsidRPr="00BC149A" w:rsidRDefault="007B46A5" w:rsidP="007B46A5">
      <w:pPr>
        <w:pStyle w:val="NormalHanging12a"/>
      </w:pPr>
      <w:r w:rsidRPr="00BC149A">
        <w:t>15.</w:t>
      </w:r>
      <w:r w:rsidRPr="00BC149A">
        <w:tab/>
        <w:t>отбелязва, че белгийските органи са представили гаранции, че принципите на равно третиране и недискриминация ще се спазват при достъпа до предложените действия и тяхното изпълнение, както и че няма да бъде допуснато дублиране на финансирането;</w:t>
      </w:r>
    </w:p>
    <w:p w14:paraId="324A7622" w14:textId="77777777" w:rsidR="007B46A5" w:rsidRPr="00BC149A" w:rsidRDefault="007B46A5" w:rsidP="007B46A5">
      <w:pPr>
        <w:pStyle w:val="NormalHanging12a"/>
      </w:pPr>
      <w:r w:rsidRPr="00BC149A">
        <w:t>16.</w:t>
      </w:r>
      <w:r w:rsidRPr="00BC149A">
        <w:tab/>
        <w:t>заявява отново, че помощта от ЕФПГ не трябва да замества действията, които са задължение на публичните органи или на предприятията по силата на националното законодателство или на колективни трудови договори; припомня, че ЕФПГ е ограничен, целенасочен и допълващ механизъм и не може да замени структурните икономически политики, които попадат предимно в сферата на компетентност на държавите членки;</w:t>
      </w:r>
    </w:p>
    <w:p w14:paraId="6DA2CB8B" w14:textId="77777777" w:rsidR="007B46A5" w:rsidRPr="00BC149A" w:rsidRDefault="007B46A5" w:rsidP="007B46A5">
      <w:pPr>
        <w:pStyle w:val="NormalHanging12a"/>
      </w:pPr>
      <w:r w:rsidRPr="00BC149A">
        <w:t>17.</w:t>
      </w:r>
      <w:r w:rsidRPr="00BC149A">
        <w:tab/>
        <w:t>одобрява приложеното към настоящата резолюция решение;</w:t>
      </w:r>
    </w:p>
    <w:p w14:paraId="1967817E" w14:textId="77777777" w:rsidR="007B46A5" w:rsidRPr="00BC149A" w:rsidRDefault="007B46A5" w:rsidP="007B46A5">
      <w:pPr>
        <w:pStyle w:val="NormalHanging12a"/>
      </w:pPr>
      <w:r w:rsidRPr="00BC149A">
        <w:t>18.</w:t>
      </w:r>
      <w:r w:rsidRPr="00BC149A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BC149A">
        <w:rPr>
          <w:i/>
          <w:iCs/>
        </w:rPr>
        <w:t>Официален вестник на Европейския съюз</w:t>
      </w:r>
      <w:r w:rsidRPr="00BC149A">
        <w:t>;</w:t>
      </w:r>
    </w:p>
    <w:p w14:paraId="32DF8B20" w14:textId="77777777" w:rsidR="007B46A5" w:rsidRPr="00BC149A" w:rsidRDefault="007B46A5" w:rsidP="007B46A5">
      <w:pPr>
        <w:pStyle w:val="NormalHanging12a"/>
      </w:pPr>
      <w:r w:rsidRPr="00BC149A">
        <w:t>19.</w:t>
      </w:r>
      <w:r w:rsidRPr="00BC149A">
        <w:tab/>
        <w:t>възлага на своя председател да предаде настоящата резолюция, включително и приложението към нея, съответно на Съвета и на Комисията.</w:t>
      </w:r>
    </w:p>
    <w:p w14:paraId="57847A2B" w14:textId="77777777" w:rsidR="007B46A5" w:rsidRPr="00BC149A" w:rsidRDefault="007B46A5" w:rsidP="007B46A5">
      <w:pPr>
        <w:rPr>
          <w:noProof/>
        </w:rPr>
      </w:pPr>
    </w:p>
    <w:p w14:paraId="104FA375" w14:textId="77777777" w:rsidR="007B46A5" w:rsidRPr="00BC149A" w:rsidRDefault="007B46A5" w:rsidP="007B46A5">
      <w:pPr>
        <w:pStyle w:val="PageHeading"/>
        <w:rPr>
          <w:noProof/>
        </w:rPr>
        <w:sectPr w:rsidR="007B46A5" w:rsidRPr="00BC149A" w:rsidSect="00BC149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A3E7F31" w14:textId="77777777" w:rsidR="007B46A5" w:rsidRPr="00BC149A" w:rsidRDefault="007B46A5" w:rsidP="007B46A5">
      <w:pPr>
        <w:pStyle w:val="PageHeading"/>
        <w:rPr>
          <w:noProof/>
        </w:rPr>
      </w:pPr>
      <w:bookmarkStart w:id="9" w:name="_Toc227841090"/>
      <w:r w:rsidRPr="00BC149A">
        <w:lastRenderedPageBreak/>
        <w:t>ПРИЛОЖЕНИЕ: РЕШЕНИЕ НА ЕВРОПЕЙСКИЯ ПАРЛАМЕНТ И НА СЪВЕТА</w:t>
      </w:r>
      <w:bookmarkEnd w:id="9"/>
    </w:p>
    <w:p w14:paraId="2AA263C7" w14:textId="77777777" w:rsidR="007B46A5" w:rsidRDefault="007B46A5" w:rsidP="007B46A5">
      <w:pPr>
        <w:pStyle w:val="NormalHanging12a"/>
        <w:ind w:left="0" w:firstLine="0"/>
        <w:jc w:val="center"/>
        <w:rPr>
          <w:b/>
          <w:lang w:val="en-GB"/>
        </w:rPr>
      </w:pPr>
      <w:r w:rsidRPr="00BC149A">
        <w:rPr>
          <w:b/>
        </w:rPr>
        <w:t>за мобилизиране на средства от Европейския фонд за приспособяване към глобализацията за съкратени работници във връзка със заявление от Белгия – EGF/2025/008 BE/</w:t>
      </w:r>
      <w:proofErr w:type="spellStart"/>
      <w:r w:rsidRPr="00BC149A">
        <w:rPr>
          <w:b/>
        </w:rPr>
        <w:t>Liberty</w:t>
      </w:r>
      <w:proofErr w:type="spellEnd"/>
    </w:p>
    <w:p w14:paraId="3E1BE105" w14:textId="4B19FFCF" w:rsidR="00F07E36" w:rsidRPr="00F07E36" w:rsidRDefault="00F07E36" w:rsidP="00F07E36">
      <w:pPr>
        <w:pStyle w:val="NormalHanging12a"/>
        <w:ind w:left="0" w:firstLine="0"/>
        <w:rPr>
          <w:b/>
          <w:bCs/>
          <w:lang w:val="en-GB"/>
        </w:rPr>
      </w:pPr>
      <w:r w:rsidRPr="0051470D">
        <w:rPr>
          <w:i/>
          <w:szCs w:val="24"/>
          <w:lang w:eastAsia="de-DE"/>
        </w:rPr>
        <w:t xml:space="preserve">(Текстът на това приложение не е възпроизведен тук, тъй като той съответства на </w:t>
      </w:r>
      <w:r w:rsidRPr="00F07E36">
        <w:rPr>
          <w:i/>
          <w:szCs w:val="24"/>
          <w:lang w:eastAsia="de-DE"/>
        </w:rPr>
        <w:t xml:space="preserve">окончателния акт, Решение </w:t>
      </w:r>
      <w:r w:rsidRPr="00F07E36">
        <w:rPr>
          <w:i/>
          <w:szCs w:val="24"/>
          <w:lang w:val="lt-LT" w:eastAsia="de-DE"/>
        </w:rPr>
        <w:t>(</w:t>
      </w:r>
      <w:r w:rsidRPr="00F07E36">
        <w:rPr>
          <w:i/>
          <w:szCs w:val="24"/>
          <w:lang w:eastAsia="de-DE"/>
        </w:rPr>
        <w:t>ЕС</w:t>
      </w:r>
      <w:r w:rsidRPr="00F07E36">
        <w:rPr>
          <w:i/>
          <w:szCs w:val="24"/>
          <w:lang w:val="lt-LT" w:eastAsia="de-DE"/>
        </w:rPr>
        <w:t xml:space="preserve">) </w:t>
      </w:r>
      <w:r w:rsidRPr="00F07E36">
        <w:rPr>
          <w:i/>
          <w:iCs/>
          <w:szCs w:val="24"/>
          <w:lang w:val="lt-LT"/>
        </w:rPr>
        <w:t>2026/1134</w:t>
      </w:r>
      <w:r w:rsidRPr="00F07E36">
        <w:rPr>
          <w:i/>
          <w:szCs w:val="24"/>
          <w:lang w:eastAsia="de-DE"/>
        </w:rPr>
        <w:t>.)</w:t>
      </w:r>
    </w:p>
    <w:sectPr w:rsidR="00F07E36" w:rsidRPr="00F07E36" w:rsidSect="00BC149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C0420" w14:textId="77777777" w:rsidR="0042615B" w:rsidRPr="00BC149A" w:rsidRDefault="0042615B">
      <w:r w:rsidRPr="00BC149A">
        <w:separator/>
      </w:r>
    </w:p>
  </w:endnote>
  <w:endnote w:type="continuationSeparator" w:id="0">
    <w:p w14:paraId="72B27560" w14:textId="77777777" w:rsidR="0042615B" w:rsidRPr="00BC149A" w:rsidRDefault="0042615B">
      <w:r w:rsidRPr="00BC14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BA938" w14:textId="77777777" w:rsidR="007B46A5" w:rsidRPr="00BC149A" w:rsidRDefault="007B46A5" w:rsidP="00DA7850">
    <w:pPr>
      <w:pStyle w:val="EPFooter"/>
    </w:pPr>
    <w:r w:rsidRPr="00BC149A">
      <w:t>PE</w:t>
    </w:r>
    <w:r w:rsidRPr="00BC149A">
      <w:rPr>
        <w:rStyle w:val="HideTWBExt"/>
      </w:rPr>
      <w:t>&lt;NoPE&gt;</w:t>
    </w:r>
    <w:r w:rsidRPr="00BC149A">
      <w:t>785.333</w:t>
    </w:r>
    <w:r w:rsidRPr="00BC149A">
      <w:rPr>
        <w:rStyle w:val="HideTWBExt"/>
      </w:rPr>
      <w:t>&lt;/NoPE&gt;&lt;Version&gt;</w:t>
    </w:r>
    <w:r w:rsidRPr="00BC149A">
      <w:t>v03-00</w:t>
    </w:r>
    <w:r w:rsidRPr="00BC149A">
      <w:rPr>
        <w:rStyle w:val="HideTWBExt"/>
      </w:rPr>
      <w:t>&lt;/Version&gt;</w:t>
    </w:r>
    <w:r w:rsidRPr="00BC149A">
      <w:tab/>
    </w:r>
    <w:r w:rsidRPr="00BC149A">
      <w:fldChar w:fldCharType="begin"/>
    </w:r>
    <w:r w:rsidRPr="00BC149A">
      <w:instrText xml:space="preserve"> PAGE  \* MERGEFORMAT </w:instrText>
    </w:r>
    <w:r w:rsidRPr="00BC149A">
      <w:fldChar w:fldCharType="separate"/>
    </w:r>
    <w:r w:rsidRPr="00BC149A">
      <w:rPr>
        <w:noProof/>
      </w:rPr>
      <w:t>14</w:t>
    </w:r>
    <w:r w:rsidRPr="00BC149A">
      <w:fldChar w:fldCharType="end"/>
    </w:r>
    <w:r w:rsidRPr="00BC149A">
      <w:t>/</w:t>
    </w:r>
    <w:fldSimple w:instr=" NUMPAGES  \* MERGEFORMAT ">
      <w:r w:rsidRPr="00BC149A">
        <w:rPr>
          <w:noProof/>
        </w:rPr>
        <w:t>20</w:t>
      </w:r>
    </w:fldSimple>
    <w:r w:rsidRPr="00BC149A">
      <w:tab/>
    </w:r>
    <w:r w:rsidRPr="00BC149A">
      <w:rPr>
        <w:rStyle w:val="HideTWBExt"/>
      </w:rPr>
      <w:t>&lt;PathFdR&gt;</w:t>
    </w:r>
    <w:r w:rsidRPr="00BC149A">
      <w:t>RR\1341391BG.docx</w:t>
    </w:r>
    <w:r w:rsidRPr="00BC149A">
      <w:rPr>
        <w:rStyle w:val="HideTWBExt"/>
      </w:rPr>
      <w:t>&lt;/PathFdR&gt;</w:t>
    </w:r>
  </w:p>
  <w:p w14:paraId="61679FBC" w14:textId="77777777" w:rsidR="007B46A5" w:rsidRPr="00BC149A" w:rsidRDefault="007B46A5" w:rsidP="00DA7850">
    <w:pPr>
      <w:pStyle w:val="EPFooter2"/>
    </w:pPr>
    <w:r w:rsidRPr="00BC149A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AFEDF" w14:textId="77777777" w:rsidR="007B46A5" w:rsidRPr="00BC149A" w:rsidRDefault="007B46A5" w:rsidP="00DA7850">
    <w:pPr>
      <w:pStyle w:val="EPFooter"/>
    </w:pPr>
    <w:r w:rsidRPr="00BC149A">
      <w:rPr>
        <w:rStyle w:val="HideTWBExt"/>
      </w:rPr>
      <w:t>&lt;PathFdR&gt;</w:t>
    </w:r>
    <w:r w:rsidRPr="00BC149A">
      <w:t>RR\1341391BG.docx</w:t>
    </w:r>
    <w:r w:rsidRPr="00BC149A">
      <w:rPr>
        <w:rStyle w:val="HideTWBExt"/>
      </w:rPr>
      <w:t>&lt;/PathFdR&gt;</w:t>
    </w:r>
    <w:r w:rsidRPr="00BC149A">
      <w:tab/>
    </w:r>
    <w:r w:rsidRPr="00BC149A">
      <w:tab/>
      <w:t>PE</w:t>
    </w:r>
    <w:r w:rsidRPr="00BC149A">
      <w:rPr>
        <w:rStyle w:val="HideTWBExt"/>
      </w:rPr>
      <w:t>&lt;NoPE&gt;</w:t>
    </w:r>
    <w:r w:rsidRPr="00BC149A">
      <w:t>785.333</w:t>
    </w:r>
    <w:r w:rsidRPr="00BC149A">
      <w:rPr>
        <w:rStyle w:val="HideTWBExt"/>
      </w:rPr>
      <w:t>&lt;/NoPE&gt;&lt;Version&gt;</w:t>
    </w:r>
    <w:r w:rsidRPr="00BC149A">
      <w:t>v03-00</w:t>
    </w:r>
    <w:r w:rsidRPr="00BC149A">
      <w:rPr>
        <w:rStyle w:val="HideTWBExt"/>
      </w:rPr>
      <w:t>&lt;/Version&gt;</w:t>
    </w:r>
  </w:p>
  <w:p w14:paraId="2D90A228" w14:textId="77777777" w:rsidR="007B46A5" w:rsidRPr="00BC149A" w:rsidRDefault="007B46A5" w:rsidP="00DA7850">
    <w:pPr>
      <w:pStyle w:val="EPFooter2"/>
    </w:pPr>
    <w:r w:rsidRPr="00BC149A">
      <w:t>BG</w:t>
    </w:r>
    <w:r w:rsidRPr="00BC149A">
      <w:tab/>
    </w:r>
    <w:r w:rsidRPr="00BC149A">
      <w:rPr>
        <w:b w:val="0"/>
        <w:i/>
        <w:color w:val="C0C0C0"/>
        <w:sz w:val="22"/>
      </w:rPr>
      <w:t>Единство в многообразието</w:t>
    </w:r>
    <w:r w:rsidRPr="00BC149A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0EB51" w14:textId="77777777" w:rsidR="00064002" w:rsidRPr="00BC149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D1220" w14:textId="77777777" w:rsidR="00064002" w:rsidRPr="00BC149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20BE0" w14:textId="77777777" w:rsidR="00064002" w:rsidRPr="00BC14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5E131" w14:textId="77777777" w:rsidR="0042615B" w:rsidRPr="00BC149A" w:rsidRDefault="0042615B">
      <w:r w:rsidRPr="00BC149A">
        <w:separator/>
      </w:r>
    </w:p>
  </w:footnote>
  <w:footnote w:type="continuationSeparator" w:id="0">
    <w:p w14:paraId="757D45FB" w14:textId="77777777" w:rsidR="0042615B" w:rsidRPr="00BC149A" w:rsidRDefault="0042615B">
      <w:r w:rsidRPr="00BC149A">
        <w:continuationSeparator/>
      </w:r>
    </w:p>
  </w:footnote>
  <w:footnote w:id="1">
    <w:p w14:paraId="6CF92054" w14:textId="1981A672" w:rsidR="007B46A5" w:rsidRPr="00BC149A" w:rsidRDefault="007B46A5" w:rsidP="00BC149A">
      <w:pPr>
        <w:pStyle w:val="FootnoteText"/>
        <w:ind w:left="567" w:hanging="567"/>
        <w:rPr>
          <w:sz w:val="24"/>
          <w:lang w:val="bg-BG"/>
        </w:rPr>
      </w:pPr>
      <w:r w:rsidRPr="00BC149A">
        <w:rPr>
          <w:rStyle w:val="FootnoteReference"/>
          <w:sz w:val="24"/>
          <w:lang w:val="bg-BG"/>
        </w:rPr>
        <w:footnoteRef/>
      </w:r>
      <w:r w:rsidR="00BC149A" w:rsidRPr="00BC149A">
        <w:rPr>
          <w:sz w:val="24"/>
          <w:lang w:val="bg-BG"/>
        </w:rPr>
        <w:t xml:space="preserve"> </w:t>
      </w:r>
      <w:r w:rsidR="00BC149A" w:rsidRPr="00BC149A">
        <w:rPr>
          <w:sz w:val="24"/>
          <w:lang w:val="bg-BG"/>
        </w:rPr>
        <w:tab/>
      </w:r>
      <w:r w:rsidRPr="00BC149A">
        <w:rPr>
          <w:sz w:val="24"/>
          <w:lang w:val="bg-BG"/>
        </w:rPr>
        <w:t xml:space="preserve">OВ L 153, 3.5.2021 г., стр. 48, ELI: </w:t>
      </w:r>
      <w:hyperlink r:id="rId1" w:history="1">
        <w:r w:rsidRPr="00BC149A">
          <w:rPr>
            <w:rStyle w:val="Hyperlink"/>
            <w:sz w:val="24"/>
            <w:lang w:val="bg-BG"/>
          </w:rPr>
          <w:t>http://data.europa.eu/eli/reg/2021/691/oj</w:t>
        </w:r>
      </w:hyperlink>
      <w:r w:rsidRPr="00BC149A">
        <w:rPr>
          <w:sz w:val="24"/>
          <w:lang w:val="bg-BG"/>
        </w:rPr>
        <w:t>.</w:t>
      </w:r>
    </w:p>
  </w:footnote>
  <w:footnote w:id="2">
    <w:p w14:paraId="2C5A2F9A" w14:textId="7A34ED0C" w:rsidR="007B46A5" w:rsidRPr="00BC149A" w:rsidRDefault="007B46A5" w:rsidP="00BC149A">
      <w:pPr>
        <w:pStyle w:val="FootnoteText"/>
        <w:ind w:left="567" w:hanging="567"/>
        <w:rPr>
          <w:sz w:val="24"/>
          <w:lang w:val="bg-BG"/>
        </w:rPr>
      </w:pPr>
      <w:r w:rsidRPr="00BC149A">
        <w:rPr>
          <w:rStyle w:val="FootnoteReference"/>
          <w:sz w:val="24"/>
          <w:lang w:val="bg-BG"/>
        </w:rPr>
        <w:footnoteRef/>
      </w:r>
      <w:r w:rsidR="00BC149A" w:rsidRPr="00BC149A">
        <w:rPr>
          <w:sz w:val="24"/>
          <w:lang w:val="bg-BG"/>
        </w:rPr>
        <w:t xml:space="preserve"> </w:t>
      </w:r>
      <w:r w:rsidR="00BC149A" w:rsidRPr="00BC149A">
        <w:rPr>
          <w:sz w:val="24"/>
          <w:lang w:val="bg-BG"/>
        </w:rPr>
        <w:tab/>
      </w:r>
      <w:r w:rsidRPr="00BC149A">
        <w:rPr>
          <w:sz w:val="24"/>
          <w:lang w:val="bg-BG"/>
        </w:rPr>
        <w:t xml:space="preserve">ОВ L 433 I, 22.12.2020 г., стр. 11, ELI: </w:t>
      </w:r>
      <w:hyperlink r:id="rId2" w:history="1">
        <w:r w:rsidRPr="00BC149A">
          <w:rPr>
            <w:rStyle w:val="Hyperlink"/>
            <w:sz w:val="24"/>
            <w:lang w:val="bg-BG"/>
          </w:rPr>
          <w:t>http://data.europa.eu/eli/reg/2020/2093/oj</w:t>
        </w:r>
      </w:hyperlink>
      <w:r w:rsidRPr="00BC149A">
        <w:rPr>
          <w:sz w:val="24"/>
          <w:lang w:val="bg-BG"/>
        </w:rPr>
        <w:t>.</w:t>
      </w:r>
    </w:p>
  </w:footnote>
  <w:footnote w:id="3">
    <w:p w14:paraId="1AE0EECE" w14:textId="7A436336" w:rsidR="007B46A5" w:rsidRPr="00BC149A" w:rsidRDefault="007B46A5" w:rsidP="00BC149A">
      <w:pPr>
        <w:pStyle w:val="FootnoteText"/>
        <w:ind w:left="567" w:hanging="567"/>
        <w:rPr>
          <w:sz w:val="24"/>
          <w:lang w:val="bg-BG"/>
        </w:rPr>
      </w:pPr>
      <w:r w:rsidRPr="00BC149A">
        <w:rPr>
          <w:rStyle w:val="FootnoteReference"/>
          <w:sz w:val="24"/>
          <w:lang w:val="bg-BG"/>
        </w:rPr>
        <w:footnoteRef/>
      </w:r>
      <w:r w:rsidR="00BC149A" w:rsidRPr="00BC149A">
        <w:rPr>
          <w:sz w:val="24"/>
          <w:shd w:val="clear" w:color="auto" w:fill="FFFFFF"/>
          <w:lang w:val="bg-BG"/>
        </w:rPr>
        <w:t xml:space="preserve"> </w:t>
      </w:r>
      <w:r w:rsidR="00BC149A" w:rsidRPr="00BC149A">
        <w:rPr>
          <w:sz w:val="24"/>
          <w:shd w:val="clear" w:color="auto" w:fill="FFFFFF"/>
          <w:lang w:val="bg-BG"/>
        </w:rPr>
        <w:tab/>
      </w:r>
      <w:r w:rsidRPr="00BC149A">
        <w:rPr>
          <w:sz w:val="24"/>
          <w:shd w:val="clear" w:color="auto" w:fill="FFFFFF"/>
          <w:lang w:val="bg-BG"/>
        </w:rPr>
        <w:t>Регламент (ЕС, Евратом) 2024/765 на Съвета от 29 февруари 2024 г. за изменение на Регламент (EC, Евратом) 2020/2093 за определяне на многогодишната финансова рамка за годините 2021 – 2027 (ОВ L, 2024/765, 29.2.2024 г., ELI:</w:t>
      </w:r>
      <w:r w:rsidRPr="00BC149A">
        <w:rPr>
          <w:color w:val="333333"/>
          <w:sz w:val="24"/>
          <w:shd w:val="clear" w:color="auto" w:fill="FFFFFF"/>
          <w:lang w:val="bg-BG"/>
        </w:rPr>
        <w:t xml:space="preserve"> </w:t>
      </w:r>
      <w:hyperlink r:id="rId3" w:history="1">
        <w:r w:rsidRPr="00BC149A">
          <w:rPr>
            <w:rStyle w:val="Hyperlink"/>
            <w:sz w:val="24"/>
            <w:shd w:val="clear" w:color="auto" w:fill="FFFFFF"/>
            <w:lang w:val="bg-BG"/>
          </w:rPr>
          <w:t>http://data.europa.eu/eli/reg/2024/765/oj</w:t>
        </w:r>
      </w:hyperlink>
      <w:r w:rsidRPr="00BC149A">
        <w:rPr>
          <w:i/>
          <w:color w:val="333333"/>
          <w:sz w:val="24"/>
          <w:shd w:val="clear" w:color="auto" w:fill="FFFFFF"/>
          <w:lang w:val="bg-BG"/>
        </w:rPr>
        <w:t>).</w:t>
      </w:r>
    </w:p>
  </w:footnote>
  <w:footnote w:id="4">
    <w:p w14:paraId="42360FBB" w14:textId="30C92E3F" w:rsidR="007B46A5" w:rsidRPr="00BC149A" w:rsidRDefault="007B46A5" w:rsidP="00BC149A">
      <w:pPr>
        <w:pStyle w:val="FootnoteText"/>
        <w:ind w:left="567" w:hanging="567"/>
        <w:rPr>
          <w:sz w:val="24"/>
          <w:lang w:val="bg-BG"/>
        </w:rPr>
      </w:pPr>
      <w:r w:rsidRPr="00BC149A">
        <w:rPr>
          <w:rStyle w:val="FootnoteReference"/>
          <w:sz w:val="24"/>
          <w:lang w:val="bg-BG"/>
        </w:rPr>
        <w:footnoteRef/>
      </w:r>
      <w:r w:rsidR="00BC149A" w:rsidRPr="00BC149A">
        <w:rPr>
          <w:sz w:val="24"/>
          <w:lang w:val="bg-BG"/>
        </w:rPr>
        <w:t xml:space="preserve"> </w:t>
      </w:r>
      <w:r w:rsidR="00BC149A" w:rsidRPr="00BC149A">
        <w:rPr>
          <w:sz w:val="24"/>
          <w:lang w:val="bg-BG"/>
        </w:rPr>
        <w:tab/>
      </w:r>
      <w:r w:rsidRPr="00BC149A">
        <w:rPr>
          <w:sz w:val="24"/>
          <w:lang w:val="bg-BG"/>
        </w:rPr>
        <w:t xml:space="preserve">ОВ L 433 I, 22.12.2020 г., стр. 28, ELI: </w:t>
      </w:r>
      <w:hyperlink r:id="rId4" w:history="1">
        <w:r w:rsidRPr="00BC149A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BC149A">
        <w:rPr>
          <w:sz w:val="24"/>
          <w:lang w:val="bg-BG"/>
        </w:rPr>
        <w:t>.</w:t>
      </w:r>
    </w:p>
  </w:footnote>
  <w:footnote w:id="5">
    <w:p w14:paraId="2F0649EF" w14:textId="63F8817B" w:rsidR="007B46A5" w:rsidRPr="00BC149A" w:rsidRDefault="007B46A5" w:rsidP="00BC149A">
      <w:pPr>
        <w:pStyle w:val="FootnoteText"/>
        <w:ind w:left="567" w:hanging="567"/>
        <w:rPr>
          <w:sz w:val="24"/>
          <w:lang w:val="bg-BG"/>
        </w:rPr>
      </w:pPr>
      <w:r w:rsidRPr="00BC149A">
        <w:rPr>
          <w:rStyle w:val="FootnoteReference"/>
          <w:sz w:val="24"/>
          <w:lang w:val="bg-BG"/>
        </w:rPr>
        <w:footnoteRef/>
      </w:r>
      <w:r w:rsidR="00BC149A" w:rsidRPr="00BC149A">
        <w:rPr>
          <w:sz w:val="24"/>
          <w:lang w:val="bg-BG"/>
        </w:rPr>
        <w:t xml:space="preserve"> </w:t>
      </w:r>
      <w:r w:rsidR="00BC149A" w:rsidRPr="00BC149A">
        <w:rPr>
          <w:sz w:val="24"/>
          <w:lang w:val="bg-BG"/>
        </w:rPr>
        <w:tab/>
      </w:r>
      <w:r w:rsidRPr="00BC149A">
        <w:rPr>
          <w:sz w:val="24"/>
          <w:lang w:val="bg-BG"/>
        </w:rPr>
        <w:t>По смисъла на член 3 от Регламента за ЕФПГ.</w:t>
      </w:r>
    </w:p>
  </w:footnote>
  <w:footnote w:id="6">
    <w:p w14:paraId="1F4F16DD" w14:textId="4EDBB39A" w:rsidR="007B46A5" w:rsidRPr="00BC149A" w:rsidRDefault="007B46A5" w:rsidP="00BC149A">
      <w:pPr>
        <w:pStyle w:val="FootnoteText"/>
        <w:ind w:left="567" w:hanging="567"/>
        <w:rPr>
          <w:sz w:val="24"/>
          <w:lang w:val="bg-BG"/>
        </w:rPr>
      </w:pPr>
      <w:r w:rsidRPr="00BC149A">
        <w:rPr>
          <w:rStyle w:val="FootnoteReference"/>
          <w:sz w:val="24"/>
          <w:lang w:val="bg-BG"/>
        </w:rPr>
        <w:footnoteRef/>
      </w:r>
      <w:r w:rsidR="00BC149A" w:rsidRPr="00BC149A">
        <w:rPr>
          <w:sz w:val="24"/>
          <w:lang w:val="bg-BG"/>
        </w:rPr>
        <w:t xml:space="preserve"> </w:t>
      </w:r>
      <w:r w:rsidR="00BC149A" w:rsidRPr="00BC149A">
        <w:rPr>
          <w:sz w:val="24"/>
          <w:lang w:val="bg-BG"/>
        </w:rPr>
        <w:tab/>
      </w:r>
      <w:r w:rsidRPr="00BC149A">
        <w:rPr>
          <w:sz w:val="24"/>
          <w:lang w:val="bg-BG"/>
        </w:rPr>
        <w:t>Член 8 от Регламента за МФР.</w:t>
      </w:r>
    </w:p>
  </w:footnote>
  <w:footnote w:id="7">
    <w:p w14:paraId="382CE93D" w14:textId="38D040CC" w:rsidR="007B46A5" w:rsidRPr="00BC149A" w:rsidRDefault="007B46A5" w:rsidP="00BC149A">
      <w:pPr>
        <w:pStyle w:val="FootnoteText"/>
        <w:ind w:left="567" w:hanging="567"/>
        <w:rPr>
          <w:sz w:val="24"/>
          <w:lang w:val="bg-BG"/>
        </w:rPr>
      </w:pPr>
      <w:r w:rsidRPr="00BC149A">
        <w:rPr>
          <w:rStyle w:val="FootnoteReference"/>
          <w:sz w:val="24"/>
          <w:lang w:val="bg-BG"/>
        </w:rPr>
        <w:footnoteRef/>
      </w:r>
      <w:r w:rsidR="00BC149A" w:rsidRPr="00BC149A">
        <w:rPr>
          <w:sz w:val="24"/>
          <w:lang w:val="bg-BG"/>
        </w:rPr>
        <w:t xml:space="preserve"> </w:t>
      </w:r>
      <w:r w:rsidR="00BC149A" w:rsidRPr="00BC149A">
        <w:rPr>
          <w:sz w:val="24"/>
          <w:lang w:val="bg-BG"/>
        </w:rPr>
        <w:tab/>
      </w:r>
      <w:hyperlink r:id="rId5" w:history="1">
        <w:r w:rsidRPr="00BC149A">
          <w:rPr>
            <w:rStyle w:val="Hyperlink"/>
            <w:sz w:val="24"/>
            <w:lang w:val="bg-BG"/>
          </w:rPr>
          <w:t>Национална банка на Белгия. Икономически преглед за 2024 г.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FAFB" w14:textId="77777777" w:rsidR="00064002" w:rsidRPr="00BC14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26F9A" w14:textId="77777777" w:rsidR="00064002" w:rsidRPr="00BC14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DF2EB" w14:textId="77777777" w:rsidR="00064002" w:rsidRPr="00BC14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4644067">
    <w:abstractNumId w:val="9"/>
  </w:num>
  <w:num w:numId="2" w16cid:durableId="1816340148">
    <w:abstractNumId w:val="9"/>
  </w:num>
  <w:num w:numId="3" w16cid:durableId="1255169927">
    <w:abstractNumId w:val="7"/>
  </w:num>
  <w:num w:numId="4" w16cid:durableId="1049382942">
    <w:abstractNumId w:val="7"/>
  </w:num>
  <w:num w:numId="5" w16cid:durableId="75396486">
    <w:abstractNumId w:val="6"/>
  </w:num>
  <w:num w:numId="6" w16cid:durableId="988241440">
    <w:abstractNumId w:val="6"/>
  </w:num>
  <w:num w:numId="7" w16cid:durableId="1567299799">
    <w:abstractNumId w:val="5"/>
  </w:num>
  <w:num w:numId="8" w16cid:durableId="1880631166">
    <w:abstractNumId w:val="5"/>
  </w:num>
  <w:num w:numId="9" w16cid:durableId="732584773">
    <w:abstractNumId w:val="4"/>
  </w:num>
  <w:num w:numId="10" w16cid:durableId="232857473">
    <w:abstractNumId w:val="4"/>
  </w:num>
  <w:num w:numId="11" w16cid:durableId="575091146">
    <w:abstractNumId w:val="8"/>
  </w:num>
  <w:num w:numId="12" w16cid:durableId="1279482104">
    <w:abstractNumId w:val="8"/>
  </w:num>
  <w:num w:numId="13" w16cid:durableId="1246916993">
    <w:abstractNumId w:val="3"/>
  </w:num>
  <w:num w:numId="14" w16cid:durableId="1759792073">
    <w:abstractNumId w:val="3"/>
  </w:num>
  <w:num w:numId="15" w16cid:durableId="1773629917">
    <w:abstractNumId w:val="2"/>
  </w:num>
  <w:num w:numId="16" w16cid:durableId="264726225">
    <w:abstractNumId w:val="2"/>
  </w:num>
  <w:num w:numId="17" w16cid:durableId="543910444">
    <w:abstractNumId w:val="1"/>
  </w:num>
  <w:num w:numId="18" w16cid:durableId="1758818829">
    <w:abstractNumId w:val="1"/>
  </w:num>
  <w:num w:numId="19" w16cid:durableId="1251085480">
    <w:abstractNumId w:val="0"/>
  </w:num>
  <w:num w:numId="20" w16cid:durableId="1323697118">
    <w:abstractNumId w:val="0"/>
  </w:num>
  <w:num w:numId="21" w16cid:durableId="1949505626">
    <w:abstractNumId w:val="9"/>
  </w:num>
  <w:num w:numId="22" w16cid:durableId="1470396018">
    <w:abstractNumId w:val="7"/>
  </w:num>
  <w:num w:numId="23" w16cid:durableId="236209560">
    <w:abstractNumId w:val="6"/>
  </w:num>
  <w:num w:numId="24" w16cid:durableId="1768309239">
    <w:abstractNumId w:val="5"/>
  </w:num>
  <w:num w:numId="25" w16cid:durableId="350256023">
    <w:abstractNumId w:val="4"/>
  </w:num>
  <w:num w:numId="26" w16cid:durableId="713888457">
    <w:abstractNumId w:val="8"/>
  </w:num>
  <w:num w:numId="27" w16cid:durableId="589002273">
    <w:abstractNumId w:val="3"/>
  </w:num>
  <w:num w:numId="28" w16cid:durableId="1270357912">
    <w:abstractNumId w:val="2"/>
  </w:num>
  <w:num w:numId="29" w16cid:durableId="66343221">
    <w:abstractNumId w:val="1"/>
  </w:num>
  <w:num w:numId="30" w16cid:durableId="1260329989">
    <w:abstractNumId w:val="0"/>
  </w:num>
  <w:num w:numId="31" w16cid:durableId="1912429055">
    <w:abstractNumId w:val="9"/>
  </w:num>
  <w:num w:numId="32" w16cid:durableId="480731411">
    <w:abstractNumId w:val="7"/>
  </w:num>
  <w:num w:numId="33" w16cid:durableId="1530681023">
    <w:abstractNumId w:val="6"/>
  </w:num>
  <w:num w:numId="34" w16cid:durableId="403261432">
    <w:abstractNumId w:val="5"/>
  </w:num>
  <w:num w:numId="35" w16cid:durableId="1178696877">
    <w:abstractNumId w:val="4"/>
  </w:num>
  <w:num w:numId="36" w16cid:durableId="1159925613">
    <w:abstractNumId w:val="8"/>
  </w:num>
  <w:num w:numId="37" w16cid:durableId="1691567425">
    <w:abstractNumId w:val="3"/>
  </w:num>
  <w:num w:numId="38" w16cid:durableId="913658700">
    <w:abstractNumId w:val="2"/>
  </w:num>
  <w:num w:numId="39" w16cid:durableId="502937922">
    <w:abstractNumId w:val="1"/>
  </w:num>
  <w:num w:numId="40" w16cid:durableId="1734353205">
    <w:abstractNumId w:val="0"/>
  </w:num>
  <w:num w:numId="41" w16cid:durableId="1771315973">
    <w:abstractNumId w:val="10"/>
  </w:num>
  <w:num w:numId="42" w16cid:durableId="672682489">
    <w:abstractNumId w:val="10"/>
  </w:num>
  <w:num w:numId="43" w16cid:durableId="1478300935">
    <w:abstractNumId w:val="10"/>
  </w:num>
  <w:num w:numId="44" w16cid:durableId="4767238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6"/>
    <w:docVar w:name="dvlangue" w:val="BG"/>
    <w:docVar w:name="dvnumam" w:val="0"/>
    <w:docVar w:name="dvpe" w:val="785.333"/>
    <w:docVar w:name="dvrapporteur" w:val="Докладчик: "/>
    <w:docVar w:name="dvtitre" w:val="Резолюция на Европейския парламент от ... 2026 г.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 – EGF/2025/008/BE/Liberty(COM(2026)0004 – C10-0062/2026 – 2026/0066(BUD))"/>
  </w:docVars>
  <w:rsids>
    <w:rsidRoot w:val="0042615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15B"/>
    <w:rsid w:val="00471C19"/>
    <w:rsid w:val="00472ABF"/>
    <w:rsid w:val="00486778"/>
    <w:rsid w:val="004867E3"/>
    <w:rsid w:val="00494A28"/>
    <w:rsid w:val="00494B06"/>
    <w:rsid w:val="004C0004"/>
    <w:rsid w:val="004C5D52"/>
    <w:rsid w:val="0050519A"/>
    <w:rsid w:val="005072A1"/>
    <w:rsid w:val="00514517"/>
    <w:rsid w:val="00545827"/>
    <w:rsid w:val="00547B5E"/>
    <w:rsid w:val="00560270"/>
    <w:rsid w:val="005A6033"/>
    <w:rsid w:val="005C2568"/>
    <w:rsid w:val="005C6E0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6A5"/>
    <w:rsid w:val="007D1690"/>
    <w:rsid w:val="007E22AD"/>
    <w:rsid w:val="00817416"/>
    <w:rsid w:val="00842779"/>
    <w:rsid w:val="00851F8C"/>
    <w:rsid w:val="00865F67"/>
    <w:rsid w:val="00881A7B"/>
    <w:rsid w:val="008840E5"/>
    <w:rsid w:val="00887B3E"/>
    <w:rsid w:val="008B7A1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49A"/>
    <w:rsid w:val="00BD48FE"/>
    <w:rsid w:val="00BD7BD8"/>
    <w:rsid w:val="00BE6ADC"/>
    <w:rsid w:val="00C05BFE"/>
    <w:rsid w:val="00C23CD4"/>
    <w:rsid w:val="00C61C0C"/>
    <w:rsid w:val="00C80D3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07E3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A99659"/>
  <w15:chartTrackingRefBased/>
  <w15:docId w15:val="{669A4804-FAAA-4991-946D-DF580BCD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B46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7B46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B46A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B46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B46A5"/>
    <w:rPr>
      <w:sz w:val="24"/>
      <w:lang w:val="bg-BG"/>
    </w:rPr>
  </w:style>
  <w:style w:type="paragraph" w:customStyle="1" w:styleId="EPFooter">
    <w:name w:val="EPFooter"/>
    <w:basedOn w:val="Normal"/>
    <w:rsid w:val="007B46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B46A5"/>
    <w:pPr>
      <w:spacing w:before="480" w:after="240"/>
    </w:pPr>
  </w:style>
  <w:style w:type="character" w:styleId="Hyperlink">
    <w:name w:val="Hyperlink"/>
    <w:basedOn w:val="DefaultParagraphFont"/>
    <w:rsid w:val="007B46A5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B46A5"/>
    <w:rPr>
      <w:sz w:val="24"/>
      <w:lang w:val="bg-BG"/>
    </w:rPr>
  </w:style>
  <w:style w:type="paragraph" w:customStyle="1" w:styleId="Institutionquisigne">
    <w:name w:val="Institution qui signe"/>
    <w:basedOn w:val="Normal"/>
    <w:next w:val="Personnequisigne"/>
    <w:rsid w:val="007B46A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B46A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B46A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B46A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B46A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B46A5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B46A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7B46A5"/>
    <w:rPr>
      <w:rFonts w:ascii="Arial" w:hAnsi="Arial" w:cs="Arial"/>
      <w:b/>
      <w:sz w:val="24"/>
      <w:lang w:val="bg-BG"/>
    </w:rPr>
  </w:style>
  <w:style w:type="paragraph" w:styleId="Revision">
    <w:name w:val="Revision"/>
    <w:hidden/>
    <w:uiPriority w:val="99"/>
    <w:semiHidden/>
    <w:rsid w:val="00C80D3B"/>
    <w:rPr>
      <w:sz w:val="24"/>
      <w:lang w:val="bg-BG"/>
    </w:rPr>
  </w:style>
  <w:style w:type="character" w:styleId="CommentReference">
    <w:name w:val="annotation reference"/>
    <w:basedOn w:val="DefaultParagraphFont"/>
    <w:rsid w:val="008B7A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7A1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B7A16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8B7A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7A16"/>
    <w:rPr>
      <w:b/>
      <w:bCs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8B7A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C6E05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F07E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07E36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s://www.nbb.be/doc/ts/publications/economicreview/2024/ecorevi2024_h02.pdf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1841</Words>
  <Characters>11131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Kiril GIRGINOV</cp:lastModifiedBy>
  <cp:revision>2</cp:revision>
  <cp:lastPrinted>2004-11-19T15:42:00Z</cp:lastPrinted>
  <dcterms:created xsi:type="dcterms:W3CDTF">2026-07-07T15:24:00Z</dcterms:created>
  <dcterms:modified xsi:type="dcterms:W3CDTF">2026-07-07T15:24:00Z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P10_TA(2026)0145_</vt:lpwstr>
  </property>
  <property fmtid="{D5CDD505-2E9C-101B-9397-08002B2CF9AE}" pid="4" name="&lt;Type&gt;">
    <vt:lpwstr>RR</vt:lpwstr>
  </property>
</Properties>
</file>