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16E4" w14:paraId="7A714E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0583D2" w14:textId="77777777" w:rsidR="00751A4A" w:rsidRPr="000E16E4" w:rsidRDefault="00F665B7" w:rsidP="0010095E">
            <w:pPr>
              <w:pStyle w:val="EPName"/>
            </w:pPr>
            <w:r w:rsidRPr="000E16E4">
              <w:t>Evropský parlament</w:t>
            </w:r>
          </w:p>
          <w:p w14:paraId="6E9ECF46" w14:textId="77777777" w:rsidR="00751A4A" w:rsidRPr="000E16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16E4">
              <w:t>2024</w:t>
            </w:r>
            <w:r w:rsidR="00817416" w:rsidRPr="000E16E4">
              <w:t>-202</w:t>
            </w:r>
            <w:r w:rsidRPr="000E16E4">
              <w:t>9</w:t>
            </w:r>
          </w:p>
        </w:tc>
        <w:tc>
          <w:tcPr>
            <w:tcW w:w="2268" w:type="dxa"/>
            <w:shd w:val="clear" w:color="auto" w:fill="auto"/>
          </w:tcPr>
          <w:p w14:paraId="5D82B547" w14:textId="77777777" w:rsidR="00751A4A" w:rsidRPr="000E16E4" w:rsidRDefault="00187494" w:rsidP="0010095E">
            <w:pPr>
              <w:pStyle w:val="EPLogo"/>
            </w:pPr>
            <w:r w:rsidRPr="000E16E4">
              <w:rPr>
                <w:noProof/>
                <w:lang w:eastAsia="ja-JP"/>
              </w:rPr>
              <w:drawing>
                <wp:inline distT="0" distB="0" distL="0" distR="0" wp14:anchorId="5EAE2410" wp14:editId="59AA52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8435D" w14:textId="77777777" w:rsidR="00D058B8" w:rsidRPr="000E16E4" w:rsidRDefault="00D058B8" w:rsidP="004C5D52">
      <w:pPr>
        <w:pStyle w:val="LineTop"/>
      </w:pPr>
    </w:p>
    <w:p w14:paraId="6E9D311B" w14:textId="77777777" w:rsidR="00680577" w:rsidRPr="000E16E4" w:rsidRDefault="00F665B7" w:rsidP="00680577">
      <w:pPr>
        <w:pStyle w:val="EPBodyTA1"/>
      </w:pPr>
      <w:r w:rsidRPr="000E16E4">
        <w:t>PŘIJATÉ TEXTY</w:t>
      </w:r>
    </w:p>
    <w:p w14:paraId="1F71CF59" w14:textId="77777777" w:rsidR="00D058B8" w:rsidRPr="000E16E4" w:rsidRDefault="00D058B8" w:rsidP="00D058B8">
      <w:pPr>
        <w:pStyle w:val="LineBottom"/>
      </w:pPr>
    </w:p>
    <w:p w14:paraId="6C2C4A98" w14:textId="0D2AF047" w:rsidR="00F665B7" w:rsidRPr="000E16E4" w:rsidRDefault="00F665B7" w:rsidP="00F665B7">
      <w:pPr>
        <w:pStyle w:val="ATHeading1"/>
      </w:pPr>
      <w:bookmarkStart w:id="0" w:name="TANumber"/>
      <w:r w:rsidRPr="000E16E4">
        <w:t>P10_</w:t>
      </w:r>
      <w:proofErr w:type="gramStart"/>
      <w:r w:rsidRPr="000E16E4">
        <w:t>TA(</w:t>
      </w:r>
      <w:proofErr w:type="gramEnd"/>
      <w:r w:rsidRPr="000E16E4">
        <w:t>2026)0</w:t>
      </w:r>
      <w:r w:rsidR="00CD5EBD">
        <w:t>145</w:t>
      </w:r>
      <w:bookmarkEnd w:id="0"/>
    </w:p>
    <w:p w14:paraId="7A368B12" w14:textId="692EDB6D" w:rsidR="00F665B7" w:rsidRPr="000E16E4" w:rsidRDefault="00F665B7" w:rsidP="00F665B7">
      <w:pPr>
        <w:pStyle w:val="ATHeading2"/>
      </w:pPr>
      <w:bookmarkStart w:id="1" w:name="title"/>
      <w:r w:rsidRPr="000E16E4">
        <w:t>Uvolnění prostředků z Evropského fondu pro přizpůsobení se globalizaci na pomoc propuštěným pracovníkům: žádost EGF/2025/008 BE/</w:t>
      </w:r>
      <w:proofErr w:type="spellStart"/>
      <w:r w:rsidRPr="000E16E4">
        <w:t>Liberty</w:t>
      </w:r>
      <w:proofErr w:type="spellEnd"/>
      <w:r w:rsidRPr="000E16E4">
        <w:t xml:space="preserve"> – Belgie</w:t>
      </w:r>
      <w:bookmarkEnd w:id="1"/>
    </w:p>
    <w:p w14:paraId="19823A70" w14:textId="77777777" w:rsidR="00F665B7" w:rsidRPr="000E16E4" w:rsidRDefault="00F665B7" w:rsidP="00F665B7">
      <w:pPr>
        <w:rPr>
          <w:i/>
          <w:vanish/>
        </w:rPr>
      </w:pPr>
      <w:r w:rsidRPr="000E16E4">
        <w:rPr>
          <w:i/>
        </w:rPr>
        <w:fldChar w:fldCharType="begin"/>
      </w:r>
      <w:r w:rsidRPr="000E16E4">
        <w:rPr>
          <w:i/>
        </w:rPr>
        <w:instrText xml:space="preserve"> TC"(</w:instrText>
      </w:r>
      <w:bookmarkStart w:id="2" w:name="DocNumber"/>
      <w:r w:rsidRPr="000E16E4">
        <w:rPr>
          <w:i/>
        </w:rPr>
        <w:instrText>A10-0084/2026</w:instrText>
      </w:r>
      <w:bookmarkEnd w:id="2"/>
      <w:r w:rsidRPr="000E16E4">
        <w:rPr>
          <w:i/>
        </w:rPr>
        <w:instrText xml:space="preserve"> - Zpravodaj: Matthias Ecke)"\l3 \n&gt; \* MERGEFORMAT </w:instrText>
      </w:r>
      <w:r w:rsidRPr="000E16E4">
        <w:rPr>
          <w:i/>
        </w:rPr>
        <w:fldChar w:fldCharType="end"/>
      </w:r>
    </w:p>
    <w:p w14:paraId="340888C5" w14:textId="77777777" w:rsidR="00F665B7" w:rsidRPr="000E16E4" w:rsidRDefault="00F665B7" w:rsidP="00F665B7">
      <w:pPr>
        <w:rPr>
          <w:vanish/>
        </w:rPr>
      </w:pPr>
      <w:bookmarkStart w:id="3" w:name="Commission"/>
      <w:r w:rsidRPr="000E16E4">
        <w:rPr>
          <w:vanish/>
        </w:rPr>
        <w:t>Rozpočtový výbor</w:t>
      </w:r>
      <w:bookmarkEnd w:id="3"/>
    </w:p>
    <w:p w14:paraId="4673BC3E" w14:textId="77777777" w:rsidR="00F665B7" w:rsidRPr="000E16E4" w:rsidRDefault="00F665B7" w:rsidP="00F665B7">
      <w:pPr>
        <w:rPr>
          <w:vanish/>
        </w:rPr>
      </w:pPr>
      <w:bookmarkStart w:id="4" w:name="PE"/>
      <w:r w:rsidRPr="000E16E4">
        <w:rPr>
          <w:vanish/>
        </w:rPr>
        <w:t>PE785.333</w:t>
      </w:r>
      <w:bookmarkEnd w:id="4"/>
    </w:p>
    <w:p w14:paraId="610965B9" w14:textId="5131D28E" w:rsidR="00F665B7" w:rsidRPr="000E16E4" w:rsidRDefault="00F665B7" w:rsidP="00F665B7">
      <w:pPr>
        <w:pStyle w:val="ATHeading3"/>
      </w:pPr>
      <w:bookmarkStart w:id="5" w:name="Sujet"/>
      <w:r w:rsidRPr="000E16E4">
        <w:t>Usnesení Evropského parlamentu ze dne</w:t>
      </w:r>
      <w:r w:rsidR="00F40657">
        <w:t xml:space="preserve"> </w:t>
      </w:r>
      <w:r w:rsidR="00F73181">
        <w:t>29</w:t>
      </w:r>
      <w:r w:rsidR="00F40657">
        <w:t>. dubna</w:t>
      </w:r>
      <w:r w:rsidRPr="000E16E4">
        <w:t xml:space="preserve"> 2026 o návrhu rozhodnutí Evropského parlamentu a Rady o uvolnění prostředků z Evropského fondu pro přizpůsobení se globalizaci na pomoc propuštěným pracovníkům na základě žádosti Belgie – EGF/2025/008 BE/</w:t>
      </w:r>
      <w:proofErr w:type="spellStart"/>
      <w:r w:rsidRPr="000E16E4">
        <w:t>Liberty</w:t>
      </w:r>
      <w:bookmarkEnd w:id="5"/>
      <w:proofErr w:type="spellEnd"/>
      <w:r w:rsidRPr="000E16E4">
        <w:t xml:space="preserve"> </w:t>
      </w:r>
      <w:bookmarkStart w:id="6" w:name="References"/>
      <w:r w:rsidRPr="000E16E4">
        <w:t>(</w:t>
      </w:r>
      <w:proofErr w:type="gramStart"/>
      <w:r w:rsidRPr="000E16E4">
        <w:t>COM(</w:t>
      </w:r>
      <w:proofErr w:type="gramEnd"/>
      <w:r w:rsidRPr="000E16E4">
        <w:t>2026)0004 – C10-0062/2026 – 2026/0066(BUD))</w:t>
      </w:r>
      <w:bookmarkEnd w:id="6"/>
    </w:p>
    <w:p w14:paraId="5A5E434D" w14:textId="77777777" w:rsidR="000C136F" w:rsidRPr="000E16E4" w:rsidRDefault="000C136F" w:rsidP="000C136F">
      <w:pPr>
        <w:pStyle w:val="EPComma"/>
        <w:rPr>
          <w:noProof/>
        </w:rPr>
      </w:pPr>
      <w:r w:rsidRPr="000E16E4">
        <w:rPr>
          <w:i/>
        </w:rPr>
        <w:t>Evropský parlament</w:t>
      </w:r>
      <w:r w:rsidRPr="000E16E4">
        <w:t>,</w:t>
      </w:r>
    </w:p>
    <w:p w14:paraId="6D48C90C" w14:textId="77777777" w:rsidR="000C136F" w:rsidRPr="000E16E4" w:rsidRDefault="000C136F" w:rsidP="000C136F">
      <w:pPr>
        <w:pStyle w:val="NormalHanging12a"/>
        <w:rPr>
          <w:noProof/>
        </w:rPr>
      </w:pPr>
      <w:r w:rsidRPr="000E16E4">
        <w:t>–</w:t>
      </w:r>
      <w:r w:rsidRPr="000E16E4">
        <w:tab/>
        <w:t>s ohledem na návrh Komise předložený Evropskému parlamentu a Radě (</w:t>
      </w:r>
      <w:proofErr w:type="gramStart"/>
      <w:r w:rsidRPr="000E16E4">
        <w:t>COM(</w:t>
      </w:r>
      <w:proofErr w:type="gramEnd"/>
      <w:r w:rsidRPr="000E16E4">
        <w:t>2026)0004 – C10</w:t>
      </w:r>
      <w:r w:rsidRPr="000E16E4">
        <w:noBreakHyphen/>
        <w:t>0062/2026),</w:t>
      </w:r>
    </w:p>
    <w:p w14:paraId="1C55B6AA" w14:textId="6A13DFE0" w:rsidR="000C136F" w:rsidRPr="000E16E4" w:rsidRDefault="000C136F" w:rsidP="000C136F">
      <w:pPr>
        <w:pStyle w:val="NormalHanging12a"/>
      </w:pPr>
      <w:r w:rsidRPr="000E16E4">
        <w:t>–</w:t>
      </w:r>
      <w:r w:rsidRPr="000E16E4">
        <w:tab/>
        <w:t>s ohledem na nařízení Evropského parlamentu a Rady (EU) 2021/691 ze dne 28. dubna 2021 o Evropském fondu pro přizpůsobení se globalizaci na pomoc propuštěným pracovníkům (EFG) a o zrušení nařízení (E</w:t>
      </w:r>
      <w:r w:rsidR="00424BCF">
        <w:t>U</w:t>
      </w:r>
      <w:r w:rsidRPr="000E16E4">
        <w:t>) č. 1309/2013</w:t>
      </w:r>
      <w:r w:rsidRPr="000E16E4">
        <w:rPr>
          <w:vertAlign w:val="superscript"/>
        </w:rPr>
        <w:footnoteReference w:id="1"/>
      </w:r>
      <w:r w:rsidRPr="000E16E4">
        <w:t xml:space="preserve"> (dále jen „nařízení o EFG“), </w:t>
      </w:r>
    </w:p>
    <w:p w14:paraId="1F4D616A" w14:textId="77777777" w:rsidR="000C136F" w:rsidRPr="000E16E4" w:rsidRDefault="000C136F" w:rsidP="000C136F">
      <w:pPr>
        <w:pStyle w:val="NormalHanging12a"/>
        <w:rPr>
          <w:noProof/>
        </w:rPr>
      </w:pPr>
      <w:r w:rsidRPr="000E16E4">
        <w:t>–</w:t>
      </w:r>
      <w:r w:rsidRPr="000E16E4">
        <w:tab/>
        <w:t>s ohledem na nařízení Rady (EU, Euratom) 2020/2093 ze dne 17. prosince 2020, kterým se stanoví víceletý finanční rámec na období 2021–2027 (dále jen „nařízení o VFR“)</w:t>
      </w:r>
      <w:r w:rsidRPr="000E16E4">
        <w:rPr>
          <w:noProof/>
          <w:vertAlign w:val="superscript"/>
        </w:rPr>
        <w:footnoteReference w:id="2"/>
      </w:r>
      <w:r w:rsidRPr="000E16E4">
        <w:t>, ve znění nařízení (EU, Euratom) 2024/765</w:t>
      </w:r>
      <w:r w:rsidRPr="000E16E4">
        <w:rPr>
          <w:noProof/>
          <w:vertAlign w:val="superscript"/>
        </w:rPr>
        <w:footnoteReference w:id="3"/>
      </w:r>
      <w:r w:rsidRPr="000E16E4">
        <w:t xml:space="preserve">, a zejména na článek 8 tohoto nařízení, </w:t>
      </w:r>
    </w:p>
    <w:p w14:paraId="769EE82F" w14:textId="77777777" w:rsidR="000C136F" w:rsidRPr="000E16E4" w:rsidRDefault="000C136F" w:rsidP="000C136F">
      <w:pPr>
        <w:pStyle w:val="NormalHanging12a"/>
        <w:rPr>
          <w:noProof/>
        </w:rPr>
      </w:pPr>
      <w:r w:rsidRPr="000E16E4">
        <w:t>–</w:t>
      </w:r>
      <w:r w:rsidRPr="000E16E4">
        <w:tab/>
        <w:t>s ohledem na interinstitucionální dohodu ze dne 16. 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0E16E4">
        <w:rPr>
          <w:rStyle w:val="FootnoteReference"/>
          <w:noProof/>
        </w:rPr>
        <w:footnoteReference w:id="4"/>
      </w:r>
      <w:r w:rsidRPr="000E16E4">
        <w:t xml:space="preserve">, a zejména na bod 9 této </w:t>
      </w:r>
      <w:r w:rsidRPr="000E16E4">
        <w:lastRenderedPageBreak/>
        <w:t>dohody,</w:t>
      </w:r>
    </w:p>
    <w:p w14:paraId="493E5A9F" w14:textId="77777777" w:rsidR="000C136F" w:rsidRPr="000E16E4" w:rsidRDefault="000C136F" w:rsidP="000C136F">
      <w:pPr>
        <w:pStyle w:val="NormalHanging12a"/>
      </w:pPr>
      <w:r w:rsidRPr="000E16E4">
        <w:t>–</w:t>
      </w:r>
      <w:r w:rsidRPr="000E16E4">
        <w:tab/>
        <w:t>s ohledem na evropský pilíř sociálních práv,</w:t>
      </w:r>
    </w:p>
    <w:p w14:paraId="78274FDD" w14:textId="77777777" w:rsidR="000C136F" w:rsidRPr="000E16E4" w:rsidRDefault="000C136F" w:rsidP="000C136F">
      <w:pPr>
        <w:pStyle w:val="NormalHanging12a"/>
      </w:pPr>
      <w:r w:rsidRPr="000E16E4">
        <w:t>–</w:t>
      </w:r>
      <w:r w:rsidRPr="000E16E4">
        <w:tab/>
        <w:t>s ohledem na dopis Výboru pro zaměstnanost a sociální věci,</w:t>
      </w:r>
    </w:p>
    <w:p w14:paraId="172FC3C7" w14:textId="77777777" w:rsidR="000C136F" w:rsidRPr="000E16E4" w:rsidRDefault="000C136F" w:rsidP="000C136F">
      <w:pPr>
        <w:pStyle w:val="NormalHanging12a"/>
      </w:pPr>
      <w:r w:rsidRPr="000E16E4">
        <w:t>–</w:t>
      </w:r>
      <w:r w:rsidRPr="000E16E4">
        <w:tab/>
        <w:t>s ohledem na zprávu Rozpočtového výboru (A10-0084/2026),</w:t>
      </w:r>
    </w:p>
    <w:p w14:paraId="1E7671C0" w14:textId="77777777" w:rsidR="000C136F" w:rsidRPr="000E16E4" w:rsidRDefault="000C136F" w:rsidP="000C136F">
      <w:pPr>
        <w:pStyle w:val="NormalHanging12a"/>
        <w:rPr>
          <w:noProof/>
        </w:rPr>
      </w:pPr>
      <w:r w:rsidRPr="000E16E4">
        <w:t>A.</w:t>
      </w:r>
      <w:r w:rsidRPr="000E16E4">
        <w:tab/>
        <w:t>vzhledem k tomu, že Unie vytvořila legislativní a rozpočtové nástroje s cílem poskytovat dodatečnou podporu pracovníkům, kteří jsou postiženi důsledky významných strukturálních událostí a změn ve schématu světového obchodu, a pomáhat jim při opětovném začleňování na trh práce; vzhledem k tomu, že tato pomoc jim je poskytována v podobě finanční podpory;</w:t>
      </w:r>
    </w:p>
    <w:p w14:paraId="40F69F07" w14:textId="77777777" w:rsidR="000C136F" w:rsidRPr="000E16E4" w:rsidRDefault="000C136F" w:rsidP="000C136F">
      <w:pPr>
        <w:pStyle w:val="NormalHanging12a"/>
        <w:rPr>
          <w:bCs/>
          <w:iCs/>
          <w:noProof/>
        </w:rPr>
      </w:pPr>
      <w:r w:rsidRPr="000E16E4">
        <w:t>B.</w:t>
      </w:r>
      <w:r w:rsidRPr="000E16E4">
        <w:tab/>
        <w:t>vzhledem k tomu, že podpora by se měla zaměřit na to, aby se pracovníci rychle znovu začlenili do pracovního procesu, a zajistit, aby je odborná příprava, rekvalifikace a vzdělávání lépe vybavily dovednostmi, které trh práce skutečně vyžaduje;</w:t>
      </w:r>
    </w:p>
    <w:p w14:paraId="503FA5EF" w14:textId="77777777" w:rsidR="000C136F" w:rsidRPr="000E16E4" w:rsidRDefault="000C136F" w:rsidP="000C136F">
      <w:pPr>
        <w:pStyle w:val="NormalHanging12a"/>
      </w:pPr>
      <w:r w:rsidRPr="000E16E4">
        <w:t>C.</w:t>
      </w:r>
      <w:r w:rsidRPr="000E16E4">
        <w:tab/>
        <w:t>vzhledem k tomu, že Belgie předložila žádost EGF/2025/008 BE/</w:t>
      </w:r>
      <w:proofErr w:type="spellStart"/>
      <w:r w:rsidRPr="000E16E4">
        <w:t>Liberty</w:t>
      </w:r>
      <w:proofErr w:type="spellEnd"/>
      <w:r w:rsidRPr="000E16E4">
        <w:t xml:space="preserve"> o finanční příspěvek z EFG v souvislosti s propuštěním</w:t>
      </w:r>
      <w:r w:rsidRPr="000E16E4">
        <w:rPr>
          <w:vertAlign w:val="superscript"/>
        </w:rPr>
        <w:footnoteReference w:id="5"/>
      </w:r>
      <w:r w:rsidRPr="000E16E4">
        <w:t xml:space="preserve"> 507 pracovníků v podniku </w:t>
      </w:r>
      <w:proofErr w:type="spellStart"/>
      <w:r w:rsidRPr="000E16E4">
        <w:t>Liberty</w:t>
      </w:r>
      <w:proofErr w:type="spellEnd"/>
      <w:r w:rsidRPr="000E16E4">
        <w:t xml:space="preserve"> </w:t>
      </w:r>
      <w:proofErr w:type="spellStart"/>
      <w:r w:rsidRPr="000E16E4">
        <w:t>Galați</w:t>
      </w:r>
      <w:proofErr w:type="spellEnd"/>
      <w:r w:rsidRPr="000E16E4">
        <w:t xml:space="preserve"> </w:t>
      </w:r>
      <w:proofErr w:type="spellStart"/>
      <w:r w:rsidRPr="000E16E4">
        <w:t>Belgian</w:t>
      </w:r>
      <w:proofErr w:type="spellEnd"/>
      <w:r w:rsidRPr="000E16E4">
        <w:t xml:space="preserve"> </w:t>
      </w:r>
      <w:proofErr w:type="spellStart"/>
      <w:r w:rsidRPr="000E16E4">
        <w:t>Branch</w:t>
      </w:r>
      <w:proofErr w:type="spellEnd"/>
      <w:r w:rsidRPr="000E16E4">
        <w:t xml:space="preserve"> (</w:t>
      </w:r>
      <w:proofErr w:type="spellStart"/>
      <w:r w:rsidRPr="000E16E4">
        <w:t>Liberty</w:t>
      </w:r>
      <w:proofErr w:type="spellEnd"/>
      <w:r w:rsidRPr="000E16E4">
        <w:t>) v hospodářském odvětví, které je v rámci klasifikace NACE Revize 2 zařazeno do oddílu 24 (Výroba základních kovů), v provincii Lutych (BE33) během referenčního období od 24. dubna 2025 do 24. srpna 2025;</w:t>
      </w:r>
    </w:p>
    <w:p w14:paraId="34CDAC39" w14:textId="77777777" w:rsidR="000C136F" w:rsidRPr="000E16E4" w:rsidRDefault="000C136F" w:rsidP="000C136F">
      <w:pPr>
        <w:pStyle w:val="NormalHanging12a"/>
      </w:pPr>
      <w:r w:rsidRPr="000E16E4">
        <w:t>D.</w:t>
      </w:r>
      <w:r w:rsidRPr="000E16E4">
        <w:tab/>
        <w:t>vzhledem k tomu, že žádost se opírá o kritéria pro pomoc podle čl. 4 odst. 2 písm. a) nařízení o EFG, které stanoví, že žádost se musí týkat nejméně 200 propuštěných pracovníků nebo osob samostatně výdělečně činných během referenčního období v délce čtyř měsíců v jednom podniku v členském státě;</w:t>
      </w:r>
    </w:p>
    <w:p w14:paraId="5154DDD9" w14:textId="77777777" w:rsidR="000C136F" w:rsidRPr="000E16E4" w:rsidRDefault="000C136F" w:rsidP="000C136F">
      <w:pPr>
        <w:pStyle w:val="NormalHanging12a"/>
        <w:rPr>
          <w:noProof/>
        </w:rPr>
      </w:pPr>
      <w:r w:rsidRPr="000E16E4">
        <w:t>E.</w:t>
      </w:r>
      <w:r w:rsidRPr="000E16E4">
        <w:tab/>
        <w:t xml:space="preserve">vzhledem k tomu, že obchodní soud v Lutychu vydal dne 22. dubna 2025 rozhodnutí o úpadku společnost </w:t>
      </w:r>
      <w:proofErr w:type="spellStart"/>
      <w:r w:rsidRPr="000E16E4">
        <w:t>Liberty</w:t>
      </w:r>
      <w:proofErr w:type="spellEnd"/>
      <w:r w:rsidRPr="000E16E4">
        <w:t>; vzhledem k tomu, že v Belgii se od roku 2022 počet úpadků neustále zvyšuje;</w:t>
      </w:r>
    </w:p>
    <w:p w14:paraId="3FCFB130" w14:textId="77777777" w:rsidR="000C136F" w:rsidRPr="000E16E4" w:rsidRDefault="000C136F" w:rsidP="000C136F">
      <w:pPr>
        <w:pStyle w:val="NormalHanging12a"/>
      </w:pPr>
      <w:r w:rsidRPr="000E16E4">
        <w:t>F.</w:t>
      </w:r>
      <w:r w:rsidRPr="000E16E4">
        <w:tab/>
        <w:t>vzhledem k tomu, že vnitrostátní předběžné financování a spolufinancování opatření poskytuje Valonský region a služba „</w:t>
      </w:r>
      <w:proofErr w:type="spellStart"/>
      <w:r w:rsidRPr="000E16E4">
        <w:t>Le</w:t>
      </w:r>
      <w:proofErr w:type="spellEnd"/>
      <w:r w:rsidRPr="000E16E4">
        <w:t xml:space="preserve"> Forem“;</w:t>
      </w:r>
    </w:p>
    <w:p w14:paraId="1DCD52BC" w14:textId="77777777" w:rsidR="000C136F" w:rsidRPr="000E16E4" w:rsidRDefault="000C136F" w:rsidP="000C136F">
      <w:pPr>
        <w:pStyle w:val="NormalHanging12a"/>
      </w:pPr>
      <w:r w:rsidRPr="000E16E4">
        <w:t>G.</w:t>
      </w:r>
      <w:r w:rsidRPr="000E16E4">
        <w:tab/>
        <w:t>vzhledem k tomu, že byly splněny požadavky stanovené v unijních a vnitrostátních právních předpisech, které se týkají hromadného propouštění;</w:t>
      </w:r>
    </w:p>
    <w:p w14:paraId="68EBB708" w14:textId="77777777" w:rsidR="000C136F" w:rsidRPr="000E16E4" w:rsidRDefault="000C136F" w:rsidP="000C136F">
      <w:pPr>
        <w:pStyle w:val="NormalHanging12a"/>
      </w:pPr>
      <w:r w:rsidRPr="000E16E4">
        <w:t>H.</w:t>
      </w:r>
      <w:r w:rsidRPr="000E16E4">
        <w:tab/>
        <w:t>vzhledem k tomu, že finanční příspěvky z fondu EFG by měly primárně směřovat na aktivní opatření politiky v oblasti trhu práce a na individualizované služby, jež mají příjemcům pomoci při jejich rychlém opětovném začlenění na trh práce a nabídnout jim odbornou přípravu v oblasti dovedností, která jim usnadní přístup na trh práce;</w:t>
      </w:r>
    </w:p>
    <w:p w14:paraId="35D9ABB6" w14:textId="77777777" w:rsidR="000C136F" w:rsidRPr="000E16E4" w:rsidRDefault="000C136F" w:rsidP="000C136F">
      <w:pPr>
        <w:pStyle w:val="NormalHanging12a"/>
      </w:pPr>
      <w:r w:rsidRPr="000E16E4">
        <w:t>I.</w:t>
      </w:r>
      <w:r w:rsidRPr="000E16E4">
        <w:tab/>
        <w:t>vzhledem k tomu, že fond EFG nesmí překročit maximální roční částku 30 milionů EUR (v cenách roku 2018)</w:t>
      </w:r>
      <w:r w:rsidRPr="000E16E4">
        <w:rPr>
          <w:rStyle w:val="FootnoteReference"/>
        </w:rPr>
        <w:footnoteReference w:id="6"/>
      </w:r>
      <w:r w:rsidRPr="000E16E4">
        <w:t>;</w:t>
      </w:r>
    </w:p>
    <w:p w14:paraId="7A9D3DFB" w14:textId="77777777" w:rsidR="000C136F" w:rsidRPr="000E16E4" w:rsidRDefault="000C136F" w:rsidP="000C136F">
      <w:pPr>
        <w:pStyle w:val="NormalHanging12a"/>
      </w:pPr>
      <w:r w:rsidRPr="000E16E4">
        <w:t>1.</w:t>
      </w:r>
      <w:r w:rsidRPr="000E16E4">
        <w:tab/>
        <w:t xml:space="preserve">souhlasí s Komisí, že podmínky stanovené v nařízení o EFG, a zejména v čl. 4 odst. 2 písm. a) tohoto nařízení byly splněny, a Belgie má proto podle uvedeného nařízení nárok na finanční příspěvek ve výši 2 033 869 EUR, což představuje 85 % celkových </w:t>
      </w:r>
      <w:r w:rsidRPr="000E16E4">
        <w:lastRenderedPageBreak/>
        <w:t>nákladů, které činí 2 392 788 EUR a zahrnují výdaje na individualizované služby ve výši 2 358 922 EUR a výdaje na přípravné, řídicí, informační, propagační, kontrolní a vykazovací činnosti ve výši 33 866 EUR;</w:t>
      </w:r>
    </w:p>
    <w:p w14:paraId="7D5FB05B" w14:textId="77777777" w:rsidR="000C136F" w:rsidRPr="000E16E4" w:rsidRDefault="000C136F" w:rsidP="000C136F">
      <w:pPr>
        <w:pStyle w:val="NormalHanging12a"/>
      </w:pPr>
      <w:r w:rsidRPr="000E16E4">
        <w:t>2.</w:t>
      </w:r>
      <w:r w:rsidRPr="000E16E4">
        <w:tab/>
        <w:t xml:space="preserve">konstatuje, že belgické orgány podaly žádost dne 13. listopadu 2025 a že poté, co Belgie poskytla další informace, Komise dokončila své posouzení a dne 2. března 2026 o tom informovala Parlament; zdůrazňuje, že je třeba zkrátit dobu mezi podáním žádosti o příspěvek z EFG a rozhodnutím o financování a zároveň zachovat rozpočtová práva Parlamentu; </w:t>
      </w:r>
    </w:p>
    <w:p w14:paraId="5AFD7BBB" w14:textId="77777777" w:rsidR="000C136F" w:rsidRPr="000E16E4" w:rsidRDefault="000C136F" w:rsidP="000C136F">
      <w:pPr>
        <w:pStyle w:val="NormalHanging12a"/>
      </w:pPr>
      <w:r w:rsidRPr="000E16E4">
        <w:t>3.</w:t>
      </w:r>
      <w:r w:rsidRPr="000E16E4">
        <w:tab/>
        <w:t xml:space="preserve">konstatuje, že se žádost týká 507 cílových příjemců, kteří byli propuštěni ze společnosti </w:t>
      </w:r>
      <w:proofErr w:type="spellStart"/>
      <w:r w:rsidRPr="000E16E4">
        <w:t>Liberty</w:t>
      </w:r>
      <w:proofErr w:type="spellEnd"/>
      <w:r w:rsidRPr="000E16E4">
        <w:t>;</w:t>
      </w:r>
    </w:p>
    <w:p w14:paraId="4980ABB2" w14:textId="77777777" w:rsidR="000C136F" w:rsidRPr="000E16E4" w:rsidRDefault="000C136F" w:rsidP="000C136F">
      <w:pPr>
        <w:pStyle w:val="NormalHanging12a"/>
      </w:pPr>
      <w:r w:rsidRPr="000E16E4">
        <w:t>4.</w:t>
      </w:r>
      <w:r w:rsidRPr="000E16E4">
        <w:tab/>
        <w:t xml:space="preserve">konstatuje, že společnost </w:t>
      </w:r>
      <w:proofErr w:type="spellStart"/>
      <w:r w:rsidRPr="000E16E4">
        <w:t>Liberty</w:t>
      </w:r>
      <w:proofErr w:type="spellEnd"/>
      <w:r w:rsidRPr="000E16E4">
        <w:t xml:space="preserve"> čelila před vyhlášením úpadku dlouholetým finančním obtížím v důsledku nepříznivých podmínek na trhu s ocelí, narušení dodavatelského řetězce v souvislosti s onemocněním COVID-19 a vysokých cen energie v návaznosti na ruskou útočnou válku proti Ukrajině, což souvisí i se závislostí Unie na dovozu fosilních paliv a s tím, že se nedaří dostatečně zavádět levnější zdroje energie; konstatuje, že galvanizační linky společnosti </w:t>
      </w:r>
      <w:proofErr w:type="spellStart"/>
      <w:r w:rsidRPr="000E16E4">
        <w:t>Liberty</w:t>
      </w:r>
      <w:proofErr w:type="spellEnd"/>
      <w:r w:rsidRPr="000E16E4">
        <w:t xml:space="preserve"> Steel </w:t>
      </w:r>
      <w:proofErr w:type="spellStart"/>
      <w:r w:rsidRPr="000E16E4">
        <w:t>Liège</w:t>
      </w:r>
      <w:proofErr w:type="spellEnd"/>
      <w:r w:rsidRPr="000E16E4">
        <w:t xml:space="preserve"> jsou od prosince 2021 mimo provoz, a to především kvůli nedostatku surovin, což vyvolalo restrukturalizaci, která v roce 2023 vedla k jejímu právnímu převodu na společnost </w:t>
      </w:r>
      <w:proofErr w:type="spellStart"/>
      <w:r w:rsidRPr="000E16E4">
        <w:t>Liberty</w:t>
      </w:r>
      <w:proofErr w:type="spellEnd"/>
      <w:r w:rsidRPr="000E16E4">
        <w:t xml:space="preserve"> </w:t>
      </w:r>
      <w:proofErr w:type="spellStart"/>
      <w:r w:rsidRPr="000E16E4">
        <w:t>Galați</w:t>
      </w:r>
      <w:proofErr w:type="spellEnd"/>
      <w:r w:rsidRPr="000E16E4">
        <w:t>; vyjadřuje politování nad tím, že navzdory tomuto převzetí se výrobní činnost neobnovila a to vedlo k úpadku;</w:t>
      </w:r>
    </w:p>
    <w:p w14:paraId="6847A1AE" w14:textId="77777777" w:rsidR="000C136F" w:rsidRPr="000E16E4" w:rsidRDefault="000C136F" w:rsidP="000C136F">
      <w:pPr>
        <w:pStyle w:val="NormalHanging12a"/>
        <w:rPr>
          <w:noProof/>
        </w:rPr>
      </w:pPr>
      <w:r w:rsidRPr="000E16E4">
        <w:t>5.</w:t>
      </w:r>
      <w:r w:rsidRPr="000E16E4">
        <w:tab/>
        <w:t xml:space="preserve">konstatuje, že obtíže, s nimiž se potýkala společnost </w:t>
      </w:r>
      <w:proofErr w:type="spellStart"/>
      <w:r w:rsidRPr="000E16E4">
        <w:t>Liberty</w:t>
      </w:r>
      <w:proofErr w:type="spellEnd"/>
      <w:r w:rsidRPr="000E16E4">
        <w:t xml:space="preserve"> Steel, jsou rovněž spojeny s faktory specifickými pro danou společnost v návaznosti na její akvizici společností GFG </w:t>
      </w:r>
      <w:proofErr w:type="spellStart"/>
      <w:r w:rsidRPr="000E16E4">
        <w:t>Alliance</w:t>
      </w:r>
      <w:proofErr w:type="spellEnd"/>
      <w:r w:rsidRPr="000E16E4">
        <w:t xml:space="preserve"> od společnosti </w:t>
      </w:r>
      <w:proofErr w:type="spellStart"/>
      <w:r w:rsidRPr="000E16E4">
        <w:t>ArcelorMittal</w:t>
      </w:r>
      <w:proofErr w:type="spellEnd"/>
      <w:r w:rsidRPr="000E16E4">
        <w:t>; zdůrazňuje vážné obavy ohledně finanční udržitelnosti tohoto obchodního modelu a neplnění investičních závazků, což přispělo ke zhoršení hospodářské situace závodu a k následnému propouštění;</w:t>
      </w:r>
    </w:p>
    <w:p w14:paraId="1F127E22" w14:textId="77777777" w:rsidR="000C136F" w:rsidRPr="000E16E4" w:rsidRDefault="000C136F" w:rsidP="000C136F">
      <w:pPr>
        <w:pStyle w:val="NormalHanging12a"/>
        <w:rPr>
          <w:b/>
          <w:bCs/>
          <w:i/>
          <w:iCs/>
        </w:rPr>
      </w:pPr>
      <w:bookmarkStart w:id="7" w:name="_Hlk225497832"/>
      <w:r w:rsidRPr="000E16E4">
        <w:t>6.</w:t>
      </w:r>
      <w:r w:rsidRPr="000E16E4">
        <w:tab/>
        <w:t xml:space="preserve">konstatuje, že region Valonska prošel procesem </w:t>
      </w:r>
      <w:proofErr w:type="spellStart"/>
      <w:r w:rsidRPr="000E16E4">
        <w:t>deindustrializace</w:t>
      </w:r>
      <w:proofErr w:type="spellEnd"/>
      <w:r w:rsidRPr="000E16E4">
        <w:t xml:space="preserve"> a hospodářské transformace</w:t>
      </w:r>
      <w:r w:rsidRPr="000E16E4">
        <w:rPr>
          <w:rStyle w:val="FootnoteReference"/>
        </w:rPr>
        <w:footnoteReference w:id="7"/>
      </w:r>
      <w:r w:rsidRPr="000E16E4">
        <w:t xml:space="preserve">; konstatuje, že úpadek společnosti </w:t>
      </w:r>
      <w:proofErr w:type="spellStart"/>
      <w:r w:rsidRPr="000E16E4">
        <w:t>Liberty</w:t>
      </w:r>
      <w:proofErr w:type="spellEnd"/>
      <w:r w:rsidRPr="000E16E4">
        <w:t xml:space="preserve"> představuje velký sociální otřes pro Valonsko, což je region</w:t>
      </w:r>
      <w:bookmarkEnd w:id="7"/>
      <w:r w:rsidRPr="000E16E4">
        <w:t>, jehož trh práce byl již oslaben jinými restrukturalizačními událostmi; zdůrazňuje, že odvětví výroby oceli je pro Belgii i nadále velmi důležité, neboť počet osob zaměstnaných v tomto odvětví v přepočtu na obyvatele zůstává vysoký; vyzývá belgické orgány, aby těmto pracovníkům poskytly cílenou, individualizovanou podporu, která jim pomůže dále rozvíjet potřebné dovednosti, jež jim umožní najít nová kvalitní místa, a aby zároveň přijaly opatření, která omezí úpadky a zmírní sociální rozdíly, kvůli nimž hrozí, že pracovníci budou vyloučeni z trhu práce; zdůrazňuje, že Unie udržuje prostředí příznivé pro podnikání, které stimuluje hospodářský růst, podporuje inovace, technologický rozvoj, posiluje konkurenceschopnost, snižuje zbytečnou regulační zátěž a zjednodušuje byrokratické postupy, a zdůrazňuje, že jsou zapotřebí politiky, které podporují konkurenceschopnost průmyslu, územní, hospodářskou a sociální soudržnost a regionální rozvoj; zdůrazňuje, že je naprosto zásadní, aby evropské odvětví výroby oceli bylo konkurenceschopné a odolné, protože tvoří základ silného průmyslu a je ústředním pilířem strategické autonomie Unie;</w:t>
      </w:r>
    </w:p>
    <w:p w14:paraId="237DA3BD" w14:textId="77777777" w:rsidR="000C136F" w:rsidRPr="000E16E4" w:rsidRDefault="000C136F" w:rsidP="000C136F">
      <w:pPr>
        <w:pStyle w:val="NormalHanging12a"/>
      </w:pPr>
      <w:r w:rsidRPr="000E16E4">
        <w:t>7.</w:t>
      </w:r>
      <w:r w:rsidRPr="000E16E4">
        <w:tab/>
        <w:t xml:space="preserve">připomíná, že každý čtvrtý registrovaný uchazeč o zaměstnání ve Valonsku je starší 50 let a čelí při opětovném vstupu na trh práce větším překážkám; konstatuje, že </w:t>
      </w:r>
      <w:r w:rsidRPr="000E16E4">
        <w:lastRenderedPageBreak/>
        <w:t xml:space="preserve">navzdory své vysoké specializaci jsou při změně zaměstnání pracovníci společnosti </w:t>
      </w:r>
      <w:proofErr w:type="spellStart"/>
      <w:r w:rsidRPr="000E16E4">
        <w:t>Liberty</w:t>
      </w:r>
      <w:proofErr w:type="spellEnd"/>
      <w:r w:rsidRPr="000E16E4">
        <w:t xml:space="preserve"> ohroženi svým pokročilým věkem (52 % pracovníků je ve věku 55 let nebo starších); konstatuje, že 69 % propuštěných pracovníků má nízkou úroveň vzdělání;</w:t>
      </w:r>
    </w:p>
    <w:p w14:paraId="25FF44C8" w14:textId="77777777" w:rsidR="000C136F" w:rsidRPr="000E16E4" w:rsidRDefault="000C136F" w:rsidP="000C136F">
      <w:pPr>
        <w:pStyle w:val="NormalHanging12a"/>
      </w:pPr>
      <w:bookmarkStart w:id="8" w:name="_Hlk226546977"/>
      <w:r w:rsidRPr="000E16E4">
        <w:t>8.</w:t>
      </w:r>
      <w:r w:rsidRPr="000E16E4">
        <w:tab/>
        <w:t xml:space="preserve">připomíná, že po dohodě s odbory a regionálními orgány sestávají individualizované služby, které mají být poskytnuty všem pracovníkům, z těchto opatření: </w:t>
      </w:r>
      <w:proofErr w:type="spellStart"/>
      <w:r w:rsidRPr="000E16E4">
        <w:t>outplacement</w:t>
      </w:r>
      <w:proofErr w:type="spellEnd"/>
      <w:r w:rsidRPr="000E16E4">
        <w:t xml:space="preserve"> a profesní poradenství; odborná příprava, rekvalifikace a odborné vzdělávání, včetně dovedností v oblasti informačních technologií; podpora zakládání podniků; příspěvek na zahájení podnikání pobídky a další příspěvky; zdůrazňuje, že je důležité více investovat do inovací, dovedností a modernizace průmyslu, aby se posílila konkurenceschopnost evropského průmyslu a aby pracovníci byli připraveni na měnící se potřeby trhu práce;</w:t>
      </w:r>
      <w:bookmarkEnd w:id="8"/>
    </w:p>
    <w:p w14:paraId="4CFE6C32" w14:textId="77777777" w:rsidR="000C136F" w:rsidRPr="000E16E4" w:rsidRDefault="000C136F" w:rsidP="000C136F">
      <w:pPr>
        <w:pStyle w:val="NormalHanging12a"/>
      </w:pPr>
      <w:r w:rsidRPr="000E16E4">
        <w:t>9.</w:t>
      </w:r>
      <w:r w:rsidRPr="000E16E4">
        <w:tab/>
        <w:t>zdůrazňuje, že je důležité podporovat vysoce kvalitní pracovní místa orientovaná na budoucnost, která posilují konkurenceschopnost, podporují digitální transformaci a odpovídají požadavkům trhu práce, má-li být zajištěna dlouhodobá hospodářská a sociální odolnost; domnívá se proto, že uvolnění prostředků z fondu EFG musí doprovázet širší politická opatření na všech úrovních, aby dotyční pracovníci mohli najít uplatnění, které bude odpovídat jejich kvalifikaci a dovednostem; upozorňuje, že EFG je nástrojem solidarity a spravedlivé transformace a že prvořadým úkolem Unie musí být předcházet tomu, aby k zániku takovýchto podniků vůbec docházelo;</w:t>
      </w:r>
    </w:p>
    <w:p w14:paraId="57899533" w14:textId="77777777" w:rsidR="000C136F" w:rsidRPr="000E16E4" w:rsidRDefault="000C136F" w:rsidP="000C136F">
      <w:pPr>
        <w:pStyle w:val="NormalHanging12a"/>
      </w:pPr>
      <w:r w:rsidRPr="000E16E4">
        <w:t>10.</w:t>
      </w:r>
      <w:r w:rsidRPr="000E16E4">
        <w:tab/>
        <w:t xml:space="preserve">poukazuje na to, že je třeba posílit konkurenceschopnost průmyslu Unie a podporovat investice do strategických průmyslových odvětví, abychom zabránili další </w:t>
      </w:r>
      <w:proofErr w:type="spellStart"/>
      <w:r w:rsidRPr="000E16E4">
        <w:t>deindustrializaci</w:t>
      </w:r>
      <w:proofErr w:type="spellEnd"/>
      <w:r w:rsidRPr="000E16E4">
        <w:t xml:space="preserve"> a propouštění a podpořili tvorbu pracovních míst; zdůrazňuje potřebu přechodu na energii z obnovitelných zdrojů spolu s dalšími opatřeními k zajištění dostupných cen energie;</w:t>
      </w:r>
    </w:p>
    <w:p w14:paraId="542DB9F7" w14:textId="77777777" w:rsidR="000C136F" w:rsidRPr="000E16E4" w:rsidRDefault="000C136F" w:rsidP="000C136F">
      <w:pPr>
        <w:pStyle w:val="NormalHanging12a"/>
        <w:rPr>
          <w:bCs/>
          <w:iCs/>
        </w:rPr>
      </w:pPr>
      <w:r w:rsidRPr="000E16E4">
        <w:t>11.</w:t>
      </w:r>
      <w:r w:rsidRPr="000E16E4">
        <w:tab/>
        <w:t>zdůrazňuje, že belgické orgány musí zajistit viditelnost finančních prostředků Unie a poukazovat na jejich přínos tím, že příjemcům, regionálním a místním orgánům, sociálním partnerům a širší veřejnosti poskytnou účinné a cílené informace;</w:t>
      </w:r>
    </w:p>
    <w:p w14:paraId="79441CE8" w14:textId="77777777" w:rsidR="000C136F" w:rsidRPr="000E16E4" w:rsidRDefault="000C136F" w:rsidP="000C136F">
      <w:pPr>
        <w:pStyle w:val="NormalHanging12a"/>
      </w:pPr>
      <w:r w:rsidRPr="000E16E4">
        <w:t>12.</w:t>
      </w:r>
      <w:r w:rsidRPr="000E16E4">
        <w:tab/>
        <w:t>vyzývá k důkladnému závěrečnému hodnocení provedených opatření společně se sociálními partnery, zahrnující jasné a transparentní informace o tom, jak byly finanční prostředky využity, o opětovném začlenění pracovníků na trh práce a tom, zda bylo dosaženo cílů EFG; v této souvislosti upozorňuje na potřebu pravidelně monitorovat opatření financovaná z fondu EFG, aby bylo možné posoudit, nakolik jsou účinná;</w:t>
      </w:r>
    </w:p>
    <w:p w14:paraId="4515EADD" w14:textId="77777777" w:rsidR="000C136F" w:rsidRPr="000E16E4" w:rsidRDefault="000C136F" w:rsidP="000C136F">
      <w:pPr>
        <w:pStyle w:val="NormalHanging12a"/>
      </w:pPr>
      <w:r w:rsidRPr="000E16E4">
        <w:t>13.</w:t>
      </w:r>
      <w:r w:rsidRPr="000E16E4">
        <w:tab/>
        <w:t>konstatuje, že Belgie začala poskytovat individualizované služby cílovým příjemcům dne 1. června 2025, a že období způsobilosti pro finanční příspěvek z fondu EFG trvá od tohoto data po dobu 24 měsíců ode dne vstupu rozhodnutí o financování v platnost;</w:t>
      </w:r>
    </w:p>
    <w:p w14:paraId="74E0006A" w14:textId="77777777" w:rsidR="000C136F" w:rsidRPr="000E16E4" w:rsidRDefault="000C136F" w:rsidP="000C136F">
      <w:pPr>
        <w:pStyle w:val="NormalHanging12a"/>
        <w:rPr>
          <w:sz w:val="23"/>
          <w:szCs w:val="23"/>
        </w:rPr>
      </w:pPr>
      <w:r w:rsidRPr="000E16E4">
        <w:t>14.</w:t>
      </w:r>
      <w:r w:rsidRPr="000E16E4">
        <w:tab/>
        <w:t>konstatuje, že Belgii začaly vznikat administrativní výdaje spojené s vynakládáním prostředků z fondu EFG dne 22. dubna 2025, a že tyto výdaje jsou proto způsobilé pro finanční příspěvek z tohoto fondu od uvedeného data po dobu 31 měsíců ode dne vstupu rozhodnutí o financování v platnost;</w:t>
      </w:r>
    </w:p>
    <w:p w14:paraId="507CE46F" w14:textId="77777777" w:rsidR="000C136F" w:rsidRPr="000E16E4" w:rsidRDefault="000C136F" w:rsidP="000C136F">
      <w:pPr>
        <w:pStyle w:val="NormalHanging12a"/>
      </w:pPr>
      <w:r w:rsidRPr="000E16E4">
        <w:t>15.</w:t>
      </w:r>
      <w:r w:rsidRPr="000E16E4">
        <w:tab/>
        <w:t>konstatuje, že belgické orgány potvrdily, že při přístupu k navrhovaným opatřením a při jejich provádění budou dodržovat zásady rovného zacházení a nediskriminace a že zamezí dvojímu financování;</w:t>
      </w:r>
    </w:p>
    <w:p w14:paraId="62544EF6" w14:textId="77777777" w:rsidR="000C136F" w:rsidRPr="000E16E4" w:rsidRDefault="000C136F" w:rsidP="000C136F">
      <w:pPr>
        <w:pStyle w:val="NormalHanging12a"/>
      </w:pPr>
      <w:r w:rsidRPr="000E16E4">
        <w:t>16.</w:t>
      </w:r>
      <w:r w:rsidRPr="000E16E4">
        <w:tab/>
        <w:t xml:space="preserve">opakuje, že pomoc z EFG nesmí nahrazovat opatření, za něž na základě vnitrostátních právních předpisů nebo kolektivních smluv odpovídají veřejné orgány nebo podniky; </w:t>
      </w:r>
      <w:r w:rsidRPr="000E16E4">
        <w:lastRenderedPageBreak/>
        <w:t>připomíná, že EFG je omezeným, cíleným a doplňkovým mechanismem a nemůže nahrazovat strukturální hospodářské politiky, které jsou primárně v kompetenci členských států;</w:t>
      </w:r>
    </w:p>
    <w:p w14:paraId="57662EFF" w14:textId="77777777" w:rsidR="000C136F" w:rsidRPr="000E16E4" w:rsidRDefault="000C136F" w:rsidP="000C136F">
      <w:pPr>
        <w:pStyle w:val="NormalHanging12a"/>
      </w:pPr>
      <w:r w:rsidRPr="000E16E4">
        <w:t>17.</w:t>
      </w:r>
      <w:r w:rsidRPr="000E16E4">
        <w:tab/>
        <w:t>schvaluje rozhodnutí uvedené v příloze k tomuto usnesení;</w:t>
      </w:r>
    </w:p>
    <w:p w14:paraId="0625E19B" w14:textId="77777777" w:rsidR="000C136F" w:rsidRPr="000E16E4" w:rsidRDefault="000C136F" w:rsidP="000C136F">
      <w:pPr>
        <w:pStyle w:val="NormalHanging12a"/>
      </w:pPr>
      <w:r w:rsidRPr="000E16E4">
        <w:t>18.</w:t>
      </w:r>
      <w:r w:rsidRPr="000E16E4">
        <w:tab/>
        <w:t>pověřuje svou předsedkyni, aby podepsala toto rozhodnutí společně s předsedou Rady a aby zajistila jeho zveřejnění v </w:t>
      </w:r>
      <w:r w:rsidRPr="000E16E4">
        <w:rPr>
          <w:i/>
        </w:rPr>
        <w:t>Úředním věstníku Evropské unie</w:t>
      </w:r>
      <w:r w:rsidRPr="000E16E4">
        <w:t>;</w:t>
      </w:r>
    </w:p>
    <w:p w14:paraId="764C992C" w14:textId="77777777" w:rsidR="000C136F" w:rsidRPr="000E16E4" w:rsidRDefault="000C136F" w:rsidP="000C136F">
      <w:pPr>
        <w:pStyle w:val="NormalHanging12a"/>
        <w:rPr>
          <w:noProof/>
        </w:rPr>
      </w:pPr>
      <w:r w:rsidRPr="000E16E4">
        <w:t>19.</w:t>
      </w:r>
      <w:r w:rsidRPr="000E16E4">
        <w:tab/>
        <w:t>pověřuje svou předsedkyni, aby předala toto usnesení včetně přílohy Radě a Komisi.</w:t>
      </w:r>
    </w:p>
    <w:p w14:paraId="739D3115" w14:textId="77777777" w:rsidR="000C136F" w:rsidRPr="000E16E4" w:rsidRDefault="000C136F" w:rsidP="000C136F">
      <w:pPr>
        <w:rPr>
          <w:noProof/>
        </w:rPr>
      </w:pPr>
    </w:p>
    <w:p w14:paraId="7070D575" w14:textId="77777777" w:rsidR="000C136F" w:rsidRPr="000E16E4" w:rsidRDefault="000C136F" w:rsidP="000C136F">
      <w:pPr>
        <w:pStyle w:val="PageHeading"/>
        <w:rPr>
          <w:noProof/>
        </w:rPr>
        <w:sectPr w:rsidR="000C136F" w:rsidRPr="000E16E4" w:rsidSect="000E16E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3B9D9D3" w14:textId="77777777" w:rsidR="000C136F" w:rsidRPr="00424BCF" w:rsidRDefault="000C136F" w:rsidP="000C136F">
      <w:pPr>
        <w:pStyle w:val="PageHeading"/>
        <w:rPr>
          <w:rFonts w:ascii="Times New Roman" w:hAnsi="Times New Roman" w:cs="Times New Roman"/>
          <w:noProof/>
        </w:rPr>
      </w:pPr>
      <w:bookmarkStart w:id="9" w:name="_Toc227858906"/>
      <w:r w:rsidRPr="00424BCF">
        <w:rPr>
          <w:rFonts w:ascii="Times New Roman" w:hAnsi="Times New Roman" w:cs="Times New Roman"/>
        </w:rPr>
        <w:lastRenderedPageBreak/>
        <w:t>PŘÍLOHA: ROZHODNUTÍ EVROPSKÉHO PARLAMENTU A RADY</w:t>
      </w:r>
      <w:bookmarkEnd w:id="9"/>
    </w:p>
    <w:p w14:paraId="7BE631EA" w14:textId="77777777" w:rsidR="000C136F" w:rsidRDefault="000C136F" w:rsidP="000C136F">
      <w:pPr>
        <w:pStyle w:val="NormalHanging12a"/>
        <w:rPr>
          <w:b/>
        </w:rPr>
      </w:pPr>
      <w:r w:rsidRPr="000E16E4">
        <w:rPr>
          <w:b/>
        </w:rPr>
        <w:t>o uvolnění prostředků z Evropského fondu pro přizpůsobení se globalizaci na pomoc propuštěným pracovníkům na základě žádosti Belgie – EGF/2025/008 BE/</w:t>
      </w:r>
      <w:proofErr w:type="spellStart"/>
      <w:r w:rsidRPr="000E16E4">
        <w:rPr>
          <w:b/>
        </w:rPr>
        <w:t>Liberty</w:t>
      </w:r>
      <w:proofErr w:type="spellEnd"/>
    </w:p>
    <w:p w14:paraId="1F996E39" w14:textId="1D547FD6" w:rsidR="00424BCF" w:rsidRDefault="00424BCF" w:rsidP="00424BCF">
      <w:pPr>
        <w:spacing w:before="480"/>
        <w:rPr>
          <w:i/>
          <w:lang w:eastAsia="de-DE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2026/</w:t>
      </w:r>
      <w:r>
        <w:rPr>
          <w:i/>
          <w:lang w:eastAsia="de-DE"/>
        </w:rPr>
        <w:t>1134</w:t>
      </w:r>
      <w:r w:rsidRPr="00A6138D">
        <w:rPr>
          <w:i/>
          <w:lang w:eastAsia="de-DE"/>
        </w:rPr>
        <w:t>.)</w:t>
      </w:r>
    </w:p>
    <w:p w14:paraId="578D99AA" w14:textId="77777777" w:rsidR="00424BCF" w:rsidRPr="000E16E4" w:rsidRDefault="00424BCF" w:rsidP="000C136F">
      <w:pPr>
        <w:pStyle w:val="NormalHanging12a"/>
        <w:rPr>
          <w:b/>
          <w:bCs/>
        </w:rPr>
      </w:pPr>
    </w:p>
    <w:sectPr w:rsidR="00424BCF" w:rsidRPr="000E16E4" w:rsidSect="000E16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C2050" w14:textId="77777777" w:rsidR="00F665B7" w:rsidRPr="000E16E4" w:rsidRDefault="00F665B7">
      <w:r w:rsidRPr="000E16E4">
        <w:separator/>
      </w:r>
    </w:p>
  </w:endnote>
  <w:endnote w:type="continuationSeparator" w:id="0">
    <w:p w14:paraId="572E6EB2" w14:textId="77777777" w:rsidR="00F665B7" w:rsidRPr="000E16E4" w:rsidRDefault="00F665B7">
      <w:r w:rsidRPr="000E16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E403E" w14:textId="77777777" w:rsidR="000C136F" w:rsidRPr="000E16E4" w:rsidRDefault="000C136F" w:rsidP="00E800B2">
    <w:pPr>
      <w:pStyle w:val="EPFooter"/>
    </w:pPr>
    <w:r w:rsidRPr="000E16E4">
      <w:t>PE</w:t>
    </w:r>
    <w:r w:rsidRPr="000E16E4">
      <w:rPr>
        <w:rStyle w:val="HideTWBExt"/>
      </w:rPr>
      <w:t>&lt;NoPE&gt;</w:t>
    </w:r>
    <w:r w:rsidRPr="000E16E4">
      <w:t>785.333</w:t>
    </w:r>
    <w:r w:rsidRPr="000E16E4">
      <w:rPr>
        <w:rStyle w:val="HideTWBExt"/>
      </w:rPr>
      <w:t>&lt;/NoPE&gt;&lt;Version&gt;</w:t>
    </w:r>
    <w:r w:rsidRPr="000E16E4">
      <w:t>v03-00</w:t>
    </w:r>
    <w:r w:rsidRPr="000E16E4">
      <w:rPr>
        <w:rStyle w:val="HideTWBExt"/>
      </w:rPr>
      <w:t>&lt;/Version&gt;</w:t>
    </w:r>
    <w:r w:rsidRPr="000E16E4">
      <w:tab/>
    </w:r>
    <w:r w:rsidRPr="000E16E4">
      <w:fldChar w:fldCharType="begin"/>
    </w:r>
    <w:r w:rsidRPr="000E16E4">
      <w:instrText xml:space="preserve"> PAGE  \* MERGEFORMAT </w:instrText>
    </w:r>
    <w:r w:rsidRPr="000E16E4">
      <w:fldChar w:fldCharType="separate"/>
    </w:r>
    <w:r w:rsidRPr="000E16E4">
      <w:rPr>
        <w:noProof/>
      </w:rPr>
      <w:t>20</w:t>
    </w:r>
    <w:r w:rsidRPr="000E16E4">
      <w:fldChar w:fldCharType="end"/>
    </w:r>
    <w:r w:rsidRPr="000E16E4">
      <w:t>/</w:t>
    </w:r>
    <w:fldSimple w:instr=" NUMPAGES  \* MERGEFORMAT ">
      <w:r w:rsidRPr="000E16E4">
        <w:rPr>
          <w:noProof/>
        </w:rPr>
        <w:t>20</w:t>
      </w:r>
    </w:fldSimple>
    <w:r w:rsidRPr="000E16E4">
      <w:tab/>
    </w:r>
    <w:r w:rsidRPr="000E16E4">
      <w:rPr>
        <w:rStyle w:val="HideTWBExt"/>
      </w:rPr>
      <w:t>&lt;PathFdR&gt;</w:t>
    </w:r>
    <w:r w:rsidRPr="000E16E4">
      <w:t>RR\1341391CS.docx</w:t>
    </w:r>
    <w:r w:rsidRPr="000E16E4">
      <w:rPr>
        <w:rStyle w:val="HideTWBExt"/>
      </w:rPr>
      <w:t>&lt;/PathFdR&gt;</w:t>
    </w:r>
  </w:p>
  <w:p w14:paraId="65B3681B" w14:textId="77777777" w:rsidR="000C136F" w:rsidRPr="000E16E4" w:rsidRDefault="000C136F" w:rsidP="00E800B2">
    <w:pPr>
      <w:pStyle w:val="EPFooter2"/>
    </w:pPr>
    <w:r w:rsidRPr="000E16E4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FE231" w14:textId="77777777" w:rsidR="000C136F" w:rsidRPr="000E16E4" w:rsidRDefault="000C136F" w:rsidP="00E800B2">
    <w:pPr>
      <w:pStyle w:val="EPFooter"/>
    </w:pPr>
    <w:r w:rsidRPr="000E16E4">
      <w:rPr>
        <w:rStyle w:val="HideTWBExt"/>
      </w:rPr>
      <w:t>&lt;PathFdR&gt;</w:t>
    </w:r>
    <w:r w:rsidRPr="000E16E4">
      <w:t>RR\1341391CS.docx</w:t>
    </w:r>
    <w:r w:rsidRPr="000E16E4">
      <w:rPr>
        <w:rStyle w:val="HideTWBExt"/>
      </w:rPr>
      <w:t>&lt;/PathFdR&gt;</w:t>
    </w:r>
    <w:r w:rsidRPr="000E16E4">
      <w:tab/>
    </w:r>
    <w:r w:rsidRPr="000E16E4">
      <w:tab/>
      <w:t>PE</w:t>
    </w:r>
    <w:r w:rsidRPr="000E16E4">
      <w:rPr>
        <w:rStyle w:val="HideTWBExt"/>
      </w:rPr>
      <w:t>&lt;NoPE&gt;</w:t>
    </w:r>
    <w:r w:rsidRPr="000E16E4">
      <w:t>785.333</w:t>
    </w:r>
    <w:r w:rsidRPr="000E16E4">
      <w:rPr>
        <w:rStyle w:val="HideTWBExt"/>
      </w:rPr>
      <w:t>&lt;/NoPE&gt;&lt;Version&gt;</w:t>
    </w:r>
    <w:r w:rsidRPr="000E16E4">
      <w:t>v03-00</w:t>
    </w:r>
    <w:r w:rsidRPr="000E16E4">
      <w:rPr>
        <w:rStyle w:val="HideTWBExt"/>
      </w:rPr>
      <w:t>&lt;/Version&gt;</w:t>
    </w:r>
  </w:p>
  <w:p w14:paraId="2A053CCE" w14:textId="77777777" w:rsidR="000C136F" w:rsidRPr="000E16E4" w:rsidRDefault="000C136F" w:rsidP="00E800B2">
    <w:pPr>
      <w:pStyle w:val="EPFooter2"/>
    </w:pPr>
    <w:r w:rsidRPr="000E16E4">
      <w:t>CS</w:t>
    </w:r>
    <w:r w:rsidRPr="000E16E4">
      <w:tab/>
    </w:r>
    <w:r w:rsidRPr="000E16E4">
      <w:rPr>
        <w:b w:val="0"/>
        <w:i/>
        <w:color w:val="C0C0C0"/>
        <w:sz w:val="22"/>
      </w:rPr>
      <w:t>Jednotná v rozmanitosti</w:t>
    </w:r>
    <w:r w:rsidRPr="000E16E4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4B1D" w14:textId="77777777" w:rsidR="00064002" w:rsidRPr="000E16E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7BA8" w14:textId="77777777" w:rsidR="00064002" w:rsidRPr="000E16E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FE77" w14:textId="77777777" w:rsidR="00064002" w:rsidRPr="000E16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4D64B" w14:textId="77777777" w:rsidR="00F665B7" w:rsidRPr="000E16E4" w:rsidRDefault="00F665B7">
      <w:r w:rsidRPr="000E16E4">
        <w:separator/>
      </w:r>
    </w:p>
  </w:footnote>
  <w:footnote w:type="continuationSeparator" w:id="0">
    <w:p w14:paraId="4139204A" w14:textId="77777777" w:rsidR="00F665B7" w:rsidRPr="000E16E4" w:rsidRDefault="00F665B7">
      <w:r w:rsidRPr="000E16E4">
        <w:continuationSeparator/>
      </w:r>
    </w:p>
  </w:footnote>
  <w:footnote w:id="1">
    <w:p w14:paraId="1EEA3965" w14:textId="5F935184" w:rsidR="000C136F" w:rsidRPr="000E16E4" w:rsidRDefault="000C136F" w:rsidP="000E16E4">
      <w:pPr>
        <w:pStyle w:val="FootnoteText"/>
        <w:ind w:left="567" w:hanging="567"/>
        <w:rPr>
          <w:sz w:val="24"/>
          <w:lang w:val="cs-CZ"/>
        </w:rPr>
      </w:pPr>
      <w:r w:rsidRPr="000E16E4">
        <w:rPr>
          <w:rStyle w:val="FootnoteReference"/>
          <w:sz w:val="24"/>
          <w:lang w:val="cs-CZ"/>
        </w:rPr>
        <w:footnoteRef/>
      </w:r>
      <w:r w:rsidR="000E16E4" w:rsidRPr="000E16E4">
        <w:rPr>
          <w:sz w:val="24"/>
          <w:lang w:val="cs-CZ"/>
        </w:rPr>
        <w:t xml:space="preserve"> </w:t>
      </w:r>
      <w:r w:rsidR="000E16E4" w:rsidRPr="000E16E4">
        <w:rPr>
          <w:sz w:val="24"/>
          <w:lang w:val="cs-CZ"/>
        </w:rPr>
        <w:tab/>
      </w:r>
      <w:proofErr w:type="spellStart"/>
      <w:r w:rsidRPr="000E16E4">
        <w:rPr>
          <w:sz w:val="24"/>
          <w:lang w:val="cs-CZ"/>
        </w:rPr>
        <w:t>Úř</w:t>
      </w:r>
      <w:proofErr w:type="spellEnd"/>
      <w:r w:rsidRPr="000E16E4">
        <w:rPr>
          <w:sz w:val="24"/>
          <w:lang w:val="cs-CZ"/>
        </w:rPr>
        <w:t>. </w:t>
      </w:r>
      <w:proofErr w:type="spellStart"/>
      <w:r w:rsidRPr="000E16E4">
        <w:rPr>
          <w:sz w:val="24"/>
          <w:lang w:val="cs-CZ"/>
        </w:rPr>
        <w:t>věst</w:t>
      </w:r>
      <w:proofErr w:type="spellEnd"/>
      <w:r w:rsidRPr="000E16E4">
        <w:rPr>
          <w:sz w:val="24"/>
          <w:lang w:val="cs-CZ"/>
        </w:rPr>
        <w:t xml:space="preserve">. L 153, 3.5.2021, s. 48, ELI: </w:t>
      </w:r>
      <w:r>
        <w:fldChar w:fldCharType="begin"/>
      </w:r>
      <w:r w:rsidRPr="00424BCF">
        <w:rPr>
          <w:lang w:val="fi-FI"/>
        </w:rPr>
        <w:instrText>HYPERLINK "http://data.europa.eu/eli/reg/2021/691/oj"</w:instrText>
      </w:r>
      <w:r>
        <w:fldChar w:fldCharType="separate"/>
      </w:r>
      <w:r w:rsidRPr="000E16E4">
        <w:rPr>
          <w:rStyle w:val="Hyperlink"/>
          <w:sz w:val="24"/>
          <w:lang w:val="cs-CZ"/>
        </w:rPr>
        <w:t>http://data.europa.eu/eli/reg/2021/691/oj</w:t>
      </w:r>
      <w:r>
        <w:fldChar w:fldCharType="end"/>
      </w:r>
      <w:r w:rsidRPr="000E16E4">
        <w:rPr>
          <w:sz w:val="24"/>
          <w:lang w:val="cs-CZ"/>
        </w:rPr>
        <w:t>.</w:t>
      </w:r>
    </w:p>
  </w:footnote>
  <w:footnote w:id="2">
    <w:p w14:paraId="1AA88819" w14:textId="0EE11FB1" w:rsidR="000C136F" w:rsidRPr="000E16E4" w:rsidRDefault="000C136F" w:rsidP="000E16E4">
      <w:pPr>
        <w:pStyle w:val="FootnoteText"/>
        <w:ind w:left="567" w:hanging="567"/>
        <w:rPr>
          <w:sz w:val="24"/>
          <w:lang w:val="cs-CZ"/>
        </w:rPr>
      </w:pPr>
      <w:r w:rsidRPr="000E16E4">
        <w:rPr>
          <w:rStyle w:val="FootnoteReference"/>
          <w:sz w:val="24"/>
          <w:lang w:val="cs-CZ"/>
        </w:rPr>
        <w:footnoteRef/>
      </w:r>
      <w:r w:rsidR="000E16E4" w:rsidRPr="000E16E4">
        <w:rPr>
          <w:sz w:val="24"/>
          <w:lang w:val="cs-CZ"/>
        </w:rPr>
        <w:t xml:space="preserve"> </w:t>
      </w:r>
      <w:r w:rsidR="000E16E4" w:rsidRPr="000E16E4">
        <w:rPr>
          <w:sz w:val="24"/>
          <w:lang w:val="cs-CZ"/>
        </w:rPr>
        <w:tab/>
      </w:r>
      <w:proofErr w:type="spellStart"/>
      <w:r w:rsidRPr="000E16E4">
        <w:rPr>
          <w:sz w:val="24"/>
          <w:lang w:val="cs-CZ"/>
        </w:rPr>
        <w:t>Úř</w:t>
      </w:r>
      <w:proofErr w:type="spellEnd"/>
      <w:r w:rsidRPr="000E16E4">
        <w:rPr>
          <w:sz w:val="24"/>
          <w:lang w:val="cs-CZ"/>
        </w:rPr>
        <w:t xml:space="preserve">. </w:t>
      </w:r>
      <w:proofErr w:type="spellStart"/>
      <w:r w:rsidRPr="000E16E4">
        <w:rPr>
          <w:sz w:val="24"/>
          <w:lang w:val="cs-CZ"/>
        </w:rPr>
        <w:t>věst</w:t>
      </w:r>
      <w:proofErr w:type="spellEnd"/>
      <w:r w:rsidRPr="000E16E4">
        <w:rPr>
          <w:sz w:val="24"/>
          <w:lang w:val="cs-CZ"/>
        </w:rPr>
        <w:t xml:space="preserve">. L 433 I, 22.12.2020, s. 11, ELI: </w:t>
      </w:r>
      <w:r>
        <w:fldChar w:fldCharType="begin"/>
      </w:r>
      <w:r w:rsidRPr="00424BCF">
        <w:rPr>
          <w:lang w:val="cs-CZ"/>
        </w:rPr>
        <w:instrText>HYPERLINK "http://data.europa.eu/eli/reg/2020/2093/oj"</w:instrText>
      </w:r>
      <w:r>
        <w:fldChar w:fldCharType="separate"/>
      </w:r>
      <w:r w:rsidRPr="000E16E4">
        <w:rPr>
          <w:rStyle w:val="Hyperlink"/>
          <w:sz w:val="24"/>
          <w:lang w:val="cs-CZ"/>
        </w:rPr>
        <w:t>http://data.europa.eu/eli/reg/2020/2093/oj</w:t>
      </w:r>
      <w:r>
        <w:fldChar w:fldCharType="end"/>
      </w:r>
      <w:r w:rsidRPr="000E16E4">
        <w:rPr>
          <w:sz w:val="24"/>
          <w:lang w:val="cs-CZ"/>
        </w:rPr>
        <w:t>.</w:t>
      </w:r>
    </w:p>
  </w:footnote>
  <w:footnote w:id="3">
    <w:p w14:paraId="4E79E798" w14:textId="4EA16EAC" w:rsidR="000C136F" w:rsidRPr="000E16E4" w:rsidRDefault="000C136F" w:rsidP="000E16E4">
      <w:pPr>
        <w:pStyle w:val="FootnoteText"/>
        <w:ind w:left="567" w:hanging="567"/>
        <w:rPr>
          <w:sz w:val="24"/>
          <w:lang w:val="cs-CZ"/>
        </w:rPr>
      </w:pPr>
      <w:r w:rsidRPr="000E16E4">
        <w:rPr>
          <w:rStyle w:val="FootnoteReference"/>
          <w:sz w:val="24"/>
          <w:lang w:val="cs-CZ"/>
        </w:rPr>
        <w:footnoteRef/>
      </w:r>
      <w:r w:rsidR="000E16E4" w:rsidRPr="000E16E4">
        <w:rPr>
          <w:sz w:val="24"/>
          <w:shd w:val="clear" w:color="auto" w:fill="FFFFFF"/>
          <w:lang w:val="cs-CZ"/>
        </w:rPr>
        <w:t xml:space="preserve"> </w:t>
      </w:r>
      <w:r w:rsidR="000E16E4" w:rsidRPr="000E16E4">
        <w:rPr>
          <w:sz w:val="24"/>
          <w:shd w:val="clear" w:color="auto" w:fill="FFFFFF"/>
          <w:lang w:val="cs-CZ"/>
        </w:rPr>
        <w:tab/>
      </w:r>
      <w:r w:rsidRPr="000E16E4">
        <w:rPr>
          <w:sz w:val="24"/>
          <w:shd w:val="clear" w:color="auto" w:fill="FFFFFF"/>
          <w:lang w:val="cs-CZ"/>
        </w:rPr>
        <w:t>Nařízení Rady (EU, Euratom) 2024/765 ze dne 29. února 2024, kterým se mění nařízení (EU, Euratom) 2020/2093, kterým se stanoví víceletý finanční rámec na období 2021–2027 (</w:t>
      </w:r>
      <w:proofErr w:type="spellStart"/>
      <w:r w:rsidRPr="000E16E4">
        <w:rPr>
          <w:sz w:val="24"/>
          <w:shd w:val="clear" w:color="auto" w:fill="FFFFFF"/>
          <w:lang w:val="cs-CZ"/>
        </w:rPr>
        <w:t>Úř</w:t>
      </w:r>
      <w:proofErr w:type="spellEnd"/>
      <w:r w:rsidRPr="000E16E4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0E16E4">
        <w:rPr>
          <w:sz w:val="24"/>
          <w:shd w:val="clear" w:color="auto" w:fill="FFFFFF"/>
          <w:lang w:val="cs-CZ"/>
        </w:rPr>
        <w:t>věst</w:t>
      </w:r>
      <w:proofErr w:type="spellEnd"/>
      <w:r w:rsidRPr="000E16E4">
        <w:rPr>
          <w:sz w:val="24"/>
          <w:shd w:val="clear" w:color="auto" w:fill="FFFFFF"/>
          <w:lang w:val="cs-CZ"/>
        </w:rPr>
        <w:t>. L, 2024/765, 29.2.2024, ELI:</w:t>
      </w:r>
      <w:r w:rsidRPr="000E16E4">
        <w:rPr>
          <w:color w:val="333333"/>
          <w:sz w:val="24"/>
          <w:shd w:val="clear" w:color="auto" w:fill="FFFFFF"/>
          <w:lang w:val="cs-CZ"/>
        </w:rPr>
        <w:t xml:space="preserve"> </w:t>
      </w:r>
      <w:r>
        <w:fldChar w:fldCharType="begin"/>
      </w:r>
      <w:r w:rsidRPr="00424BCF">
        <w:rPr>
          <w:lang w:val="fi-FI"/>
        </w:rPr>
        <w:instrText>HYPERLINK "http://data.europa.eu/eli/reg/2024/765/oj"</w:instrText>
      </w:r>
      <w:r>
        <w:fldChar w:fldCharType="separate"/>
      </w:r>
      <w:r w:rsidRPr="000E16E4">
        <w:rPr>
          <w:rStyle w:val="Hyperlink"/>
          <w:sz w:val="24"/>
          <w:shd w:val="clear" w:color="auto" w:fill="FFFFFF"/>
          <w:lang w:val="cs-CZ"/>
        </w:rPr>
        <w:t>http://data.europa.eu/eli/reg/2024/765/oj</w:t>
      </w:r>
      <w:r>
        <w:fldChar w:fldCharType="end"/>
      </w:r>
      <w:r w:rsidRPr="000E16E4">
        <w:rPr>
          <w:i/>
          <w:color w:val="333333"/>
          <w:sz w:val="24"/>
          <w:shd w:val="clear" w:color="auto" w:fill="FFFFFF"/>
          <w:lang w:val="cs-CZ"/>
        </w:rPr>
        <w:t>).</w:t>
      </w:r>
    </w:p>
  </w:footnote>
  <w:footnote w:id="4">
    <w:p w14:paraId="35B69B1F" w14:textId="30584584" w:rsidR="000C136F" w:rsidRPr="000E16E4" w:rsidRDefault="000C136F" w:rsidP="000E16E4">
      <w:pPr>
        <w:pStyle w:val="FootnoteText"/>
        <w:ind w:left="567" w:hanging="567"/>
        <w:rPr>
          <w:sz w:val="24"/>
          <w:lang w:val="cs-CZ"/>
        </w:rPr>
      </w:pPr>
      <w:r w:rsidRPr="000E16E4">
        <w:rPr>
          <w:rStyle w:val="FootnoteReference"/>
          <w:sz w:val="24"/>
          <w:lang w:val="cs-CZ"/>
        </w:rPr>
        <w:footnoteRef/>
      </w:r>
      <w:r w:rsidR="000E16E4" w:rsidRPr="000E16E4">
        <w:rPr>
          <w:sz w:val="24"/>
          <w:lang w:val="cs-CZ"/>
        </w:rPr>
        <w:t xml:space="preserve"> </w:t>
      </w:r>
      <w:r w:rsidR="000E16E4" w:rsidRPr="000E16E4">
        <w:rPr>
          <w:sz w:val="24"/>
          <w:lang w:val="cs-CZ"/>
        </w:rPr>
        <w:tab/>
      </w:r>
      <w:proofErr w:type="spellStart"/>
      <w:r w:rsidRPr="000E16E4">
        <w:rPr>
          <w:sz w:val="24"/>
          <w:lang w:val="cs-CZ"/>
        </w:rPr>
        <w:t>Úř</w:t>
      </w:r>
      <w:proofErr w:type="spellEnd"/>
      <w:r w:rsidRPr="000E16E4">
        <w:rPr>
          <w:sz w:val="24"/>
          <w:lang w:val="cs-CZ"/>
        </w:rPr>
        <w:t>. </w:t>
      </w:r>
      <w:proofErr w:type="spellStart"/>
      <w:r w:rsidRPr="000E16E4">
        <w:rPr>
          <w:sz w:val="24"/>
          <w:lang w:val="cs-CZ"/>
        </w:rPr>
        <w:t>věst</w:t>
      </w:r>
      <w:proofErr w:type="spellEnd"/>
      <w:r w:rsidRPr="000E16E4">
        <w:rPr>
          <w:sz w:val="24"/>
          <w:lang w:val="cs-CZ"/>
        </w:rPr>
        <w:t xml:space="preserve">. L 433 I, 22.12.2020, s. 28, ELI: </w:t>
      </w:r>
      <w:r>
        <w:fldChar w:fldCharType="begin"/>
      </w:r>
      <w:r w:rsidRPr="00424BCF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0E16E4">
        <w:rPr>
          <w:rStyle w:val="Hyperlink"/>
          <w:sz w:val="24"/>
          <w:lang w:val="cs-CZ"/>
        </w:rPr>
        <w:t>http://data.europa.eu/eli/agree_interinstit/2020/1222/oj</w:t>
      </w:r>
      <w:r>
        <w:fldChar w:fldCharType="end"/>
      </w:r>
      <w:r w:rsidRPr="000E16E4">
        <w:rPr>
          <w:sz w:val="24"/>
          <w:lang w:val="cs-CZ"/>
        </w:rPr>
        <w:t>.</w:t>
      </w:r>
    </w:p>
  </w:footnote>
  <w:footnote w:id="5">
    <w:p w14:paraId="3969B321" w14:textId="67873A4C" w:rsidR="000C136F" w:rsidRPr="000E16E4" w:rsidRDefault="000C136F" w:rsidP="000E16E4">
      <w:pPr>
        <w:pStyle w:val="FootnoteText"/>
        <w:ind w:left="567" w:hanging="567"/>
        <w:rPr>
          <w:sz w:val="24"/>
          <w:lang w:val="cs-CZ"/>
        </w:rPr>
      </w:pPr>
      <w:r w:rsidRPr="000E16E4">
        <w:rPr>
          <w:rStyle w:val="FootnoteReference"/>
          <w:sz w:val="24"/>
          <w:lang w:val="cs-CZ"/>
        </w:rPr>
        <w:footnoteRef/>
      </w:r>
      <w:r w:rsidR="000E16E4" w:rsidRPr="000E16E4">
        <w:rPr>
          <w:sz w:val="24"/>
          <w:lang w:val="cs-CZ"/>
        </w:rPr>
        <w:t xml:space="preserve"> </w:t>
      </w:r>
      <w:r w:rsidR="000E16E4" w:rsidRPr="000E16E4">
        <w:rPr>
          <w:sz w:val="24"/>
          <w:lang w:val="cs-CZ"/>
        </w:rPr>
        <w:tab/>
      </w:r>
      <w:r w:rsidRPr="000E16E4">
        <w:rPr>
          <w:sz w:val="24"/>
          <w:lang w:val="cs-CZ"/>
        </w:rPr>
        <w:t>Ve smyslu článku 3 nařízení o EFG.</w:t>
      </w:r>
    </w:p>
  </w:footnote>
  <w:footnote w:id="6">
    <w:p w14:paraId="2709BBAD" w14:textId="74D593F5" w:rsidR="000C136F" w:rsidRPr="000E16E4" w:rsidRDefault="000C136F" w:rsidP="000E16E4">
      <w:pPr>
        <w:pStyle w:val="FootnoteText"/>
        <w:ind w:left="567" w:hanging="567"/>
        <w:rPr>
          <w:sz w:val="24"/>
          <w:lang w:val="cs-CZ"/>
        </w:rPr>
      </w:pPr>
      <w:r w:rsidRPr="000E16E4">
        <w:rPr>
          <w:rStyle w:val="FootnoteReference"/>
          <w:sz w:val="24"/>
          <w:lang w:val="cs-CZ"/>
        </w:rPr>
        <w:footnoteRef/>
      </w:r>
      <w:r w:rsidR="000E16E4" w:rsidRPr="000E16E4">
        <w:rPr>
          <w:sz w:val="24"/>
          <w:lang w:val="cs-CZ"/>
        </w:rPr>
        <w:t xml:space="preserve"> </w:t>
      </w:r>
      <w:r w:rsidR="000E16E4" w:rsidRPr="000E16E4">
        <w:rPr>
          <w:sz w:val="24"/>
          <w:lang w:val="cs-CZ"/>
        </w:rPr>
        <w:tab/>
      </w:r>
      <w:r w:rsidRPr="000E16E4">
        <w:rPr>
          <w:sz w:val="24"/>
          <w:lang w:val="cs-CZ"/>
        </w:rPr>
        <w:t>Článek 8 nařízení o VFR.</w:t>
      </w:r>
    </w:p>
  </w:footnote>
  <w:footnote w:id="7">
    <w:p w14:paraId="3B71A8A6" w14:textId="409A1F8E" w:rsidR="000C136F" w:rsidRPr="000E16E4" w:rsidRDefault="000C136F" w:rsidP="000E16E4">
      <w:pPr>
        <w:pStyle w:val="FootnoteText"/>
        <w:ind w:left="567" w:hanging="567"/>
        <w:rPr>
          <w:sz w:val="24"/>
          <w:lang w:val="cs-CZ"/>
        </w:rPr>
      </w:pPr>
      <w:r w:rsidRPr="000E16E4">
        <w:rPr>
          <w:rStyle w:val="FootnoteReference"/>
          <w:sz w:val="24"/>
          <w:lang w:val="cs-CZ"/>
        </w:rPr>
        <w:footnoteRef/>
      </w:r>
      <w:r w:rsidR="000E16E4" w:rsidRPr="000E16E4">
        <w:rPr>
          <w:sz w:val="24"/>
          <w:lang w:val="cs-CZ"/>
        </w:rPr>
        <w:t xml:space="preserve"> </w:t>
      </w:r>
      <w:r w:rsidR="000E16E4" w:rsidRPr="000E16E4">
        <w:rPr>
          <w:sz w:val="24"/>
          <w:lang w:val="cs-CZ"/>
        </w:rPr>
        <w:tab/>
      </w:r>
      <w:r>
        <w:fldChar w:fldCharType="begin"/>
      </w:r>
      <w:r w:rsidRPr="00424BCF">
        <w:rPr>
          <w:lang w:val="cs-CZ"/>
        </w:rPr>
        <w:instrText>HYPERLINK "https://www.nbb.be/doc/ts/publications/economicreview/2024/ecorevi2024_h02.pdf"</w:instrText>
      </w:r>
      <w:r>
        <w:fldChar w:fldCharType="separate"/>
      </w:r>
      <w:r w:rsidRPr="000E16E4">
        <w:rPr>
          <w:rStyle w:val="Hyperlink"/>
          <w:sz w:val="24"/>
          <w:lang w:val="cs-CZ"/>
        </w:rPr>
        <w:t>Belgická národní banka,</w:t>
      </w:r>
      <w:r>
        <w:fldChar w:fldCharType="end"/>
      </w:r>
      <w:r>
        <w:fldChar w:fldCharType="begin"/>
      </w:r>
      <w:r w:rsidRPr="00424BCF">
        <w:rPr>
          <w:lang w:val="cs-CZ"/>
        </w:rPr>
        <w:instrText>HYPERLINK "https://www.nbb.be/doc/ts/publications/economicreview/2024/ecorevi2024_h02.pdf"</w:instrText>
      </w:r>
      <w:r>
        <w:fldChar w:fldCharType="separate"/>
      </w:r>
      <w:r w:rsidRPr="000E16E4">
        <w:rPr>
          <w:rStyle w:val="Hyperlink"/>
          <w:sz w:val="24"/>
          <w:lang w:val="cs-CZ"/>
        </w:rPr>
        <w:t xml:space="preserve"> </w:t>
      </w:r>
      <w:proofErr w:type="spellStart"/>
      <w:r w:rsidRPr="000E16E4">
        <w:rPr>
          <w:rStyle w:val="Hyperlink"/>
          <w:sz w:val="24"/>
          <w:lang w:val="cs-CZ"/>
        </w:rPr>
        <w:t>Economic</w:t>
      </w:r>
      <w:proofErr w:type="spellEnd"/>
      <w:r w:rsidRPr="000E16E4">
        <w:rPr>
          <w:rStyle w:val="Hyperlink"/>
          <w:sz w:val="24"/>
          <w:lang w:val="cs-CZ"/>
        </w:rPr>
        <w:t xml:space="preserve"> </w:t>
      </w:r>
      <w:proofErr w:type="spellStart"/>
      <w:r w:rsidRPr="000E16E4">
        <w:rPr>
          <w:rStyle w:val="Hyperlink"/>
          <w:sz w:val="24"/>
          <w:lang w:val="cs-CZ"/>
        </w:rPr>
        <w:t>Review</w:t>
      </w:r>
      <w:proofErr w:type="spellEnd"/>
      <w:r w:rsidRPr="000E16E4">
        <w:rPr>
          <w:rStyle w:val="Hyperlink"/>
          <w:sz w:val="24"/>
          <w:lang w:val="cs-CZ"/>
        </w:rPr>
        <w:t xml:space="preserve"> 2024</w:t>
      </w:r>
      <w:r>
        <w:fldChar w:fldCharType="end"/>
      </w:r>
      <w:r w:rsidRPr="000E16E4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D235" w14:textId="77777777" w:rsidR="00064002" w:rsidRPr="000E16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C4CF" w14:textId="77777777" w:rsidR="00064002" w:rsidRPr="000E16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E3DE2" w14:textId="77777777" w:rsidR="00064002" w:rsidRPr="000E16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6288323">
    <w:abstractNumId w:val="9"/>
  </w:num>
  <w:num w:numId="2" w16cid:durableId="1240092753">
    <w:abstractNumId w:val="9"/>
  </w:num>
  <w:num w:numId="3" w16cid:durableId="74980876">
    <w:abstractNumId w:val="7"/>
  </w:num>
  <w:num w:numId="4" w16cid:durableId="403338709">
    <w:abstractNumId w:val="7"/>
  </w:num>
  <w:num w:numId="5" w16cid:durableId="1499925162">
    <w:abstractNumId w:val="6"/>
  </w:num>
  <w:num w:numId="6" w16cid:durableId="1932933013">
    <w:abstractNumId w:val="6"/>
  </w:num>
  <w:num w:numId="7" w16cid:durableId="1710565780">
    <w:abstractNumId w:val="5"/>
  </w:num>
  <w:num w:numId="8" w16cid:durableId="266734857">
    <w:abstractNumId w:val="5"/>
  </w:num>
  <w:num w:numId="9" w16cid:durableId="722365387">
    <w:abstractNumId w:val="4"/>
  </w:num>
  <w:num w:numId="10" w16cid:durableId="658189277">
    <w:abstractNumId w:val="4"/>
  </w:num>
  <w:num w:numId="11" w16cid:durableId="1050030687">
    <w:abstractNumId w:val="8"/>
  </w:num>
  <w:num w:numId="12" w16cid:durableId="646055056">
    <w:abstractNumId w:val="8"/>
  </w:num>
  <w:num w:numId="13" w16cid:durableId="2078896792">
    <w:abstractNumId w:val="3"/>
  </w:num>
  <w:num w:numId="14" w16cid:durableId="1060976301">
    <w:abstractNumId w:val="3"/>
  </w:num>
  <w:num w:numId="15" w16cid:durableId="1208833757">
    <w:abstractNumId w:val="2"/>
  </w:num>
  <w:num w:numId="16" w16cid:durableId="474495255">
    <w:abstractNumId w:val="2"/>
  </w:num>
  <w:num w:numId="17" w16cid:durableId="1977291356">
    <w:abstractNumId w:val="1"/>
  </w:num>
  <w:num w:numId="18" w16cid:durableId="17051764">
    <w:abstractNumId w:val="1"/>
  </w:num>
  <w:num w:numId="19" w16cid:durableId="1154564142">
    <w:abstractNumId w:val="0"/>
  </w:num>
  <w:num w:numId="20" w16cid:durableId="1450663558">
    <w:abstractNumId w:val="0"/>
  </w:num>
  <w:num w:numId="21" w16cid:durableId="377244118">
    <w:abstractNumId w:val="9"/>
  </w:num>
  <w:num w:numId="22" w16cid:durableId="440228394">
    <w:abstractNumId w:val="7"/>
  </w:num>
  <w:num w:numId="23" w16cid:durableId="2079591562">
    <w:abstractNumId w:val="6"/>
  </w:num>
  <w:num w:numId="24" w16cid:durableId="1704088262">
    <w:abstractNumId w:val="5"/>
  </w:num>
  <w:num w:numId="25" w16cid:durableId="1294025420">
    <w:abstractNumId w:val="4"/>
  </w:num>
  <w:num w:numId="26" w16cid:durableId="1224484054">
    <w:abstractNumId w:val="8"/>
  </w:num>
  <w:num w:numId="27" w16cid:durableId="1676345678">
    <w:abstractNumId w:val="3"/>
  </w:num>
  <w:num w:numId="28" w16cid:durableId="1216620177">
    <w:abstractNumId w:val="2"/>
  </w:num>
  <w:num w:numId="29" w16cid:durableId="1290472266">
    <w:abstractNumId w:val="1"/>
  </w:num>
  <w:num w:numId="30" w16cid:durableId="663313766">
    <w:abstractNumId w:val="0"/>
  </w:num>
  <w:num w:numId="31" w16cid:durableId="1890800384">
    <w:abstractNumId w:val="9"/>
  </w:num>
  <w:num w:numId="32" w16cid:durableId="282737705">
    <w:abstractNumId w:val="7"/>
  </w:num>
  <w:num w:numId="33" w16cid:durableId="2113277479">
    <w:abstractNumId w:val="6"/>
  </w:num>
  <w:num w:numId="34" w16cid:durableId="903221996">
    <w:abstractNumId w:val="5"/>
  </w:num>
  <w:num w:numId="35" w16cid:durableId="1872259984">
    <w:abstractNumId w:val="4"/>
  </w:num>
  <w:num w:numId="36" w16cid:durableId="744761234">
    <w:abstractNumId w:val="8"/>
  </w:num>
  <w:num w:numId="37" w16cid:durableId="1237788628">
    <w:abstractNumId w:val="3"/>
  </w:num>
  <w:num w:numId="38" w16cid:durableId="325864694">
    <w:abstractNumId w:val="2"/>
  </w:num>
  <w:num w:numId="39" w16cid:durableId="2091192796">
    <w:abstractNumId w:val="1"/>
  </w:num>
  <w:num w:numId="40" w16cid:durableId="1745566360">
    <w:abstractNumId w:val="0"/>
  </w:num>
  <w:num w:numId="41" w16cid:durableId="1984040112">
    <w:abstractNumId w:val="10"/>
  </w:num>
  <w:num w:numId="42" w16cid:durableId="610092090">
    <w:abstractNumId w:val="10"/>
  </w:num>
  <w:num w:numId="43" w16cid:durableId="150410007">
    <w:abstractNumId w:val="10"/>
  </w:num>
  <w:num w:numId="44" w16cid:durableId="573275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6"/>
    <w:docVar w:name="dvlangue" w:val="CS"/>
    <w:docVar w:name="dvnumam" w:val="0"/>
    <w:docVar w:name="dvpe" w:val="785.333"/>
    <w:docVar w:name="dvrapporteur" w:val="Zpravodaj: "/>
    <w:docVar w:name="dvtitre" w:val="Usnesení Evropského parlamentu ze dne.... 2026 o návrhu rozhodnutí Evropského parlamentu a Rady o uvolnění prostředků z Evropského fondu pro přizpůsobení se globalizaci na pomoc propuštěným pracovníkům na základě žádosti Belgie – EGF/2025/008 BE/Liberty(COM(2026)0004 – C10-0062/2026 – 2026/0066(BUD))"/>
  </w:docVars>
  <w:rsids>
    <w:rsidRoot w:val="00F665B7"/>
    <w:rsid w:val="00002272"/>
    <w:rsid w:val="000034E9"/>
    <w:rsid w:val="00064002"/>
    <w:rsid w:val="000677B9"/>
    <w:rsid w:val="000831BA"/>
    <w:rsid w:val="000A42CC"/>
    <w:rsid w:val="000C136F"/>
    <w:rsid w:val="000E16E4"/>
    <w:rsid w:val="000E7DD9"/>
    <w:rsid w:val="0010095E"/>
    <w:rsid w:val="00125B37"/>
    <w:rsid w:val="001800D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BC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8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F85"/>
    <w:rsid w:val="00930C23"/>
    <w:rsid w:val="0093193B"/>
    <w:rsid w:val="0093448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EB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138"/>
    <w:rsid w:val="00EB006A"/>
    <w:rsid w:val="00EB4772"/>
    <w:rsid w:val="00ED169E"/>
    <w:rsid w:val="00ED4235"/>
    <w:rsid w:val="00EF2F18"/>
    <w:rsid w:val="00F04346"/>
    <w:rsid w:val="00F075DC"/>
    <w:rsid w:val="00F149E9"/>
    <w:rsid w:val="00F40657"/>
    <w:rsid w:val="00F5134D"/>
    <w:rsid w:val="00F665B7"/>
    <w:rsid w:val="00F7318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16A6B"/>
  <w15:chartTrackingRefBased/>
  <w15:docId w15:val="{27EE851A-DE65-4589-916B-BD861612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C136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0C136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C136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C13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136F"/>
    <w:rPr>
      <w:sz w:val="24"/>
      <w:lang w:val="cs-CZ"/>
    </w:rPr>
  </w:style>
  <w:style w:type="paragraph" w:customStyle="1" w:styleId="EPFooter">
    <w:name w:val="EPFooter"/>
    <w:basedOn w:val="Normal"/>
    <w:rsid w:val="000C136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C136F"/>
    <w:pPr>
      <w:spacing w:before="480" w:after="240"/>
    </w:pPr>
  </w:style>
  <w:style w:type="character" w:styleId="Hyperlink">
    <w:name w:val="Hyperlink"/>
    <w:basedOn w:val="DefaultParagraphFont"/>
    <w:uiPriority w:val="99"/>
    <w:rsid w:val="000C136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C136F"/>
    <w:rPr>
      <w:sz w:val="24"/>
      <w:lang w:val="cs-CZ"/>
    </w:rPr>
  </w:style>
  <w:style w:type="paragraph" w:customStyle="1" w:styleId="Institutionquisigne">
    <w:name w:val="Institution qui signe"/>
    <w:basedOn w:val="Normal"/>
    <w:next w:val="Personnequisigne"/>
    <w:rsid w:val="000C136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C136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C136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C136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C136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C136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C136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0C136F"/>
    <w:rPr>
      <w:rFonts w:ascii="Arial" w:hAnsi="Arial" w:cs="Arial"/>
      <w:b/>
      <w:sz w:val="24"/>
      <w:lang w:val="cs-CZ"/>
    </w:rPr>
  </w:style>
  <w:style w:type="paragraph" w:styleId="Footer">
    <w:name w:val="footer"/>
    <w:basedOn w:val="Normal"/>
    <w:link w:val="FooterChar"/>
    <w:rsid w:val="00F406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40657"/>
    <w:rPr>
      <w:sz w:val="24"/>
      <w:lang w:val="cs-CZ"/>
    </w:rPr>
  </w:style>
  <w:style w:type="paragraph" w:styleId="Revision">
    <w:name w:val="Revision"/>
    <w:hidden/>
    <w:uiPriority w:val="99"/>
    <w:semiHidden/>
    <w:rsid w:val="00F73181"/>
    <w:rPr>
      <w:sz w:val="24"/>
      <w:lang w:val="cs-CZ"/>
    </w:rPr>
  </w:style>
  <w:style w:type="character" w:styleId="CommentReference">
    <w:name w:val="annotation reference"/>
    <w:basedOn w:val="DefaultParagraphFont"/>
    <w:rsid w:val="00F731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1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318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73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181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1682</Words>
  <Characters>10108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2026-07-06T09:53:00Z</dcterms:created>
  <dcterms:modified xsi:type="dcterms:W3CDTF">2026-07-06T09:53:00Z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P10_TA(2026)0145_</vt:lpwstr>
  </property>
  <property fmtid="{D5CDD505-2E9C-101B-9397-08002B2CF9AE}" pid="4" name="&lt;Type&gt;">
    <vt:lpwstr>RR</vt:lpwstr>
  </property>
</Properties>
</file>