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2536" w14:paraId="644BE61F" w14:textId="77777777" w:rsidTr="0010095E">
        <w:trPr>
          <w:trHeight w:hRule="exact" w:val="1418"/>
        </w:trPr>
        <w:tc>
          <w:tcPr>
            <w:tcW w:w="6804" w:type="dxa"/>
            <w:shd w:val="clear" w:color="auto" w:fill="auto"/>
            <w:vAlign w:val="center"/>
          </w:tcPr>
          <w:p w14:paraId="2706A15F" w14:textId="77777777" w:rsidR="00751A4A" w:rsidRPr="000C2536" w:rsidRDefault="0084727B" w:rsidP="0010095E">
            <w:pPr>
              <w:pStyle w:val="EPName"/>
            </w:pPr>
            <w:r w:rsidRPr="000C2536">
              <w:t>Europa-Parlamentet</w:t>
            </w:r>
          </w:p>
          <w:p w14:paraId="446981D1" w14:textId="77777777" w:rsidR="00751A4A" w:rsidRPr="000C2536" w:rsidRDefault="005F1B17" w:rsidP="005F1B17">
            <w:pPr>
              <w:pStyle w:val="EPTerm"/>
              <w:rPr>
                <w:rStyle w:val="HideTWBExt"/>
                <w:noProof w:val="0"/>
                <w:vanish w:val="0"/>
                <w:color w:val="auto"/>
              </w:rPr>
            </w:pPr>
            <w:r w:rsidRPr="000C2536">
              <w:t>2024</w:t>
            </w:r>
            <w:r w:rsidR="00817416" w:rsidRPr="000C2536">
              <w:t>-202</w:t>
            </w:r>
            <w:r w:rsidRPr="000C2536">
              <w:t>9</w:t>
            </w:r>
          </w:p>
        </w:tc>
        <w:tc>
          <w:tcPr>
            <w:tcW w:w="2268" w:type="dxa"/>
            <w:shd w:val="clear" w:color="auto" w:fill="auto"/>
          </w:tcPr>
          <w:p w14:paraId="1EA613A2" w14:textId="77777777" w:rsidR="00751A4A" w:rsidRPr="000C2536" w:rsidRDefault="00187494" w:rsidP="0010095E">
            <w:pPr>
              <w:pStyle w:val="EPLogo"/>
            </w:pPr>
            <w:r w:rsidRPr="000C2536">
              <w:rPr>
                <w:noProof/>
                <w:lang w:eastAsia="ja-JP"/>
              </w:rPr>
              <w:drawing>
                <wp:inline distT="0" distB="0" distL="0" distR="0" wp14:anchorId="372FDEB8" wp14:editId="4280148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C81CE9" w14:textId="77777777" w:rsidR="00D058B8" w:rsidRPr="000C2536" w:rsidRDefault="00D058B8" w:rsidP="004C5D52">
      <w:pPr>
        <w:pStyle w:val="LineTop"/>
      </w:pPr>
    </w:p>
    <w:p w14:paraId="6E09F4D4" w14:textId="77777777" w:rsidR="00680577" w:rsidRPr="000C2536" w:rsidRDefault="0084727B" w:rsidP="00680577">
      <w:pPr>
        <w:pStyle w:val="EPBodyTA1"/>
      </w:pPr>
      <w:r w:rsidRPr="000C2536">
        <w:t>VEDTAGNE TEKSTER</w:t>
      </w:r>
    </w:p>
    <w:p w14:paraId="0F024F39" w14:textId="77777777" w:rsidR="00D058B8" w:rsidRPr="000C2536" w:rsidRDefault="00D058B8" w:rsidP="00D058B8">
      <w:pPr>
        <w:pStyle w:val="LineBottom"/>
      </w:pPr>
    </w:p>
    <w:p w14:paraId="66A5E7E4" w14:textId="2DCD3742" w:rsidR="0084727B" w:rsidRPr="000C2536" w:rsidRDefault="0084727B" w:rsidP="0084727B">
      <w:pPr>
        <w:pStyle w:val="ATHeading1"/>
      </w:pPr>
      <w:bookmarkStart w:id="0" w:name="TANumber"/>
      <w:r w:rsidRPr="000C2536">
        <w:t>P10_</w:t>
      </w:r>
      <w:proofErr w:type="gramStart"/>
      <w:r w:rsidRPr="000C2536">
        <w:t>TA(</w:t>
      </w:r>
      <w:proofErr w:type="gramEnd"/>
      <w:r w:rsidRPr="000C2536">
        <w:t>2026)0</w:t>
      </w:r>
      <w:bookmarkEnd w:id="0"/>
      <w:r w:rsidR="003B2067">
        <w:t>145</w:t>
      </w:r>
    </w:p>
    <w:p w14:paraId="05BDF9C9" w14:textId="25C7BF34" w:rsidR="0084727B" w:rsidRPr="005E5C9E" w:rsidRDefault="005E5C9E" w:rsidP="005E5C9E">
      <w:pPr>
        <w:pStyle w:val="ATHeading2"/>
      </w:pPr>
      <w:r w:rsidRPr="003B2067">
        <w:rPr>
          <w:bCs/>
        </w:rPr>
        <w:t>Mobilisering af Den Europæiske Fond for Tilpasning til Globaliseringen for Afskedigede</w:t>
      </w:r>
      <w:r>
        <w:rPr>
          <w:bCs/>
        </w:rPr>
        <w:t xml:space="preserve"> </w:t>
      </w:r>
      <w:r w:rsidRPr="003B2067">
        <w:rPr>
          <w:bCs/>
        </w:rPr>
        <w:t>Arbejdstagere: ansøgning EGF/2025/008 BE/Liberty – Belgien</w:t>
      </w:r>
    </w:p>
    <w:p w14:paraId="64245355" w14:textId="77777777" w:rsidR="0084727B" w:rsidRPr="000C2536" w:rsidRDefault="0084727B" w:rsidP="0084727B">
      <w:pPr>
        <w:rPr>
          <w:i/>
          <w:vanish/>
        </w:rPr>
      </w:pPr>
      <w:r w:rsidRPr="000C2536">
        <w:rPr>
          <w:i/>
        </w:rPr>
        <w:fldChar w:fldCharType="begin"/>
      </w:r>
      <w:r w:rsidRPr="000C2536">
        <w:rPr>
          <w:i/>
        </w:rPr>
        <w:instrText xml:space="preserve"> TC"(</w:instrText>
      </w:r>
      <w:bookmarkStart w:id="1" w:name="DocNumber"/>
      <w:r w:rsidRPr="000C2536">
        <w:rPr>
          <w:i/>
        </w:rPr>
        <w:instrText>A10-0084/2026</w:instrText>
      </w:r>
      <w:bookmarkEnd w:id="1"/>
      <w:r w:rsidRPr="000C2536">
        <w:rPr>
          <w:i/>
        </w:rPr>
        <w:instrText xml:space="preserve"> - Ordfører: Matthias </w:instrText>
      </w:r>
      <w:proofErr w:type="spellStart"/>
      <w:r w:rsidRPr="000C2536">
        <w:rPr>
          <w:i/>
        </w:rPr>
        <w:instrText>Ecke</w:instrText>
      </w:r>
      <w:proofErr w:type="spellEnd"/>
      <w:r w:rsidRPr="000C2536">
        <w:rPr>
          <w:i/>
        </w:rPr>
        <w:instrText xml:space="preserve">)"\l3 \n&gt; \* MERGEFORMAT </w:instrText>
      </w:r>
      <w:r w:rsidRPr="000C2536">
        <w:rPr>
          <w:i/>
        </w:rPr>
        <w:fldChar w:fldCharType="end"/>
      </w:r>
    </w:p>
    <w:p w14:paraId="609DD060" w14:textId="77777777" w:rsidR="0084727B" w:rsidRPr="000C2536" w:rsidRDefault="0084727B" w:rsidP="0084727B">
      <w:pPr>
        <w:rPr>
          <w:vanish/>
        </w:rPr>
      </w:pPr>
      <w:bookmarkStart w:id="2" w:name="Commission"/>
      <w:r w:rsidRPr="000C2536">
        <w:rPr>
          <w:vanish/>
        </w:rPr>
        <w:t>Budgetudvalget</w:t>
      </w:r>
      <w:bookmarkEnd w:id="2"/>
    </w:p>
    <w:p w14:paraId="214FCD51" w14:textId="77777777" w:rsidR="0084727B" w:rsidRPr="000C2536" w:rsidRDefault="0084727B" w:rsidP="0084727B">
      <w:pPr>
        <w:rPr>
          <w:vanish/>
        </w:rPr>
      </w:pPr>
      <w:bookmarkStart w:id="3" w:name="PE"/>
      <w:r w:rsidRPr="000C2536">
        <w:rPr>
          <w:vanish/>
        </w:rPr>
        <w:t>PE785.333</w:t>
      </w:r>
      <w:bookmarkEnd w:id="3"/>
    </w:p>
    <w:p w14:paraId="0D84591F" w14:textId="51F32A36" w:rsidR="0084727B" w:rsidRPr="000C2536" w:rsidRDefault="0084727B" w:rsidP="0084727B">
      <w:pPr>
        <w:pStyle w:val="ATHeading3"/>
      </w:pPr>
      <w:bookmarkStart w:id="4" w:name="Sujet"/>
      <w:r w:rsidRPr="000C2536">
        <w:t xml:space="preserve">Europa-Parlamentets beslutning af </w:t>
      </w:r>
      <w:r w:rsidR="006B11FB">
        <w:t>29</w:t>
      </w:r>
      <w:r w:rsidRPr="000C2536">
        <w:t>.</w:t>
      </w:r>
      <w:r w:rsidR="005E5C9E">
        <w:t xml:space="preserve"> april</w:t>
      </w:r>
      <w:r w:rsidRPr="000C2536">
        <w:t xml:space="preserve"> 2026 om forslag til Europa-Parlamentets og Rådets afgørelse om mobilisering af Den Europæiske Fond for Tilpasning til Globaliseringen for Afskedigede Arbejdstagere på baggrund af en ansøgning fra Belgien (EGF/2025/008/BE/Liberty)</w:t>
      </w:r>
      <w:bookmarkEnd w:id="4"/>
      <w:r w:rsidRPr="000C2536">
        <w:t xml:space="preserve"> </w:t>
      </w:r>
      <w:bookmarkStart w:id="5" w:name="References"/>
      <w:r w:rsidRPr="000C2536">
        <w:t>(</w:t>
      </w:r>
      <w:proofErr w:type="gramStart"/>
      <w:r w:rsidRPr="000C2536">
        <w:t>COM(</w:t>
      </w:r>
      <w:proofErr w:type="gramEnd"/>
      <w:r w:rsidRPr="000C2536">
        <w:t>2026)0004 – C10-0062/2026 – 2026/0066(BUD))</w:t>
      </w:r>
      <w:bookmarkEnd w:id="5"/>
    </w:p>
    <w:p w14:paraId="18BDB7BD" w14:textId="77777777" w:rsidR="009C4089" w:rsidRPr="000C2536" w:rsidRDefault="009C4089" w:rsidP="009C4089">
      <w:pPr>
        <w:pStyle w:val="EPComma"/>
        <w:rPr>
          <w:noProof/>
        </w:rPr>
      </w:pPr>
      <w:r w:rsidRPr="000C2536">
        <w:rPr>
          <w:i/>
        </w:rPr>
        <w:t>Europa-Parlamentet,</w:t>
      </w:r>
    </w:p>
    <w:p w14:paraId="413E87F4" w14:textId="77777777" w:rsidR="009C4089" w:rsidRPr="000C2536" w:rsidRDefault="009C4089" w:rsidP="009C4089">
      <w:pPr>
        <w:pStyle w:val="NormalHanging12a"/>
        <w:rPr>
          <w:noProof/>
        </w:rPr>
      </w:pPr>
      <w:r w:rsidRPr="000C2536">
        <w:t>–</w:t>
      </w:r>
      <w:r w:rsidRPr="000C2536">
        <w:tab/>
        <w:t>der henviser til Kommissionens forslag til Europa-Parlamentet og Rådet (</w:t>
      </w:r>
      <w:proofErr w:type="gramStart"/>
      <w:r w:rsidRPr="000C2536">
        <w:t>COM(</w:t>
      </w:r>
      <w:proofErr w:type="gramEnd"/>
      <w:r w:rsidRPr="000C2536">
        <w:t>2026)0004 – C10</w:t>
      </w:r>
      <w:r w:rsidRPr="000C2536">
        <w:noBreakHyphen/>
        <w:t>0062/2026),</w:t>
      </w:r>
    </w:p>
    <w:p w14:paraId="16F2819F" w14:textId="77777777" w:rsidR="009C4089" w:rsidRPr="000C2536" w:rsidRDefault="009C4089" w:rsidP="009C4089">
      <w:pPr>
        <w:pStyle w:val="NormalHanging12a"/>
      </w:pPr>
      <w:r w:rsidRPr="000C2536">
        <w:t>–</w:t>
      </w:r>
      <w:r w:rsidRPr="000C2536">
        <w:tab/>
        <w:t>der henviser til Europa-Parlamentets og Rådets forordning (EU) 2021/691 af 28. april 2021 om Den Europæiske Fond for Tilpasning til Globaliseringen for Afskedigede Arbejdstagere (EGF) og om ophævelse af forordning (EU) nr. 1309/2013</w:t>
      </w:r>
      <w:r w:rsidRPr="000C2536">
        <w:rPr>
          <w:vertAlign w:val="superscript"/>
        </w:rPr>
        <w:footnoteReference w:id="1"/>
      </w:r>
      <w:r w:rsidRPr="000C2536">
        <w:t xml:space="preserve"> ("EGF-forordningen"), </w:t>
      </w:r>
    </w:p>
    <w:p w14:paraId="70636C67" w14:textId="77777777" w:rsidR="009C4089" w:rsidRPr="000C2536" w:rsidRDefault="009C4089" w:rsidP="009C4089">
      <w:pPr>
        <w:pStyle w:val="NormalHanging12a"/>
        <w:rPr>
          <w:noProof/>
        </w:rPr>
      </w:pPr>
      <w:r w:rsidRPr="000C2536">
        <w:t>–</w:t>
      </w:r>
      <w:r w:rsidRPr="000C2536">
        <w:tab/>
        <w:t xml:space="preserve">der henviser til Rådets forordning (EU, </w:t>
      </w:r>
      <w:proofErr w:type="spellStart"/>
      <w:r w:rsidRPr="000C2536">
        <w:t>Euratom</w:t>
      </w:r>
      <w:proofErr w:type="spellEnd"/>
      <w:r w:rsidRPr="000C2536">
        <w:t>) 2020/2093 af 17. december 2020 om fastlæggelse af den flerårige finansielle ramme for årene 2021-2027 ("FFR-forordningen")</w:t>
      </w:r>
      <w:r w:rsidRPr="000C2536">
        <w:rPr>
          <w:noProof/>
          <w:vertAlign w:val="superscript"/>
        </w:rPr>
        <w:footnoteReference w:id="2"/>
      </w:r>
      <w:r w:rsidRPr="000C2536">
        <w:t xml:space="preserve"> som ændret ved forordning (EU, </w:t>
      </w:r>
      <w:proofErr w:type="spellStart"/>
      <w:r w:rsidRPr="000C2536">
        <w:t>Euratom</w:t>
      </w:r>
      <w:proofErr w:type="spellEnd"/>
      <w:r w:rsidRPr="000C2536">
        <w:t>) 2024/765</w:t>
      </w:r>
      <w:r w:rsidRPr="000C2536">
        <w:rPr>
          <w:noProof/>
          <w:vertAlign w:val="superscript"/>
        </w:rPr>
        <w:footnoteReference w:id="3"/>
      </w:r>
      <w:r w:rsidRPr="000C2536">
        <w:t xml:space="preserve">, særlig artikel 8, </w:t>
      </w:r>
    </w:p>
    <w:p w14:paraId="31429BBD" w14:textId="77777777" w:rsidR="009C4089" w:rsidRPr="000C2536" w:rsidRDefault="009C4089" w:rsidP="009C4089">
      <w:pPr>
        <w:pStyle w:val="NormalHanging12a"/>
        <w:rPr>
          <w:noProof/>
        </w:rPr>
      </w:pPr>
      <w:r w:rsidRPr="000C2536">
        <w:t>–</w:t>
      </w:r>
      <w:r w:rsidRPr="000C2536">
        <w:tab/>
        <w:t xml:space="preserve">der henviser til den </w:t>
      </w:r>
      <w:proofErr w:type="spellStart"/>
      <w:r w:rsidRPr="000C2536">
        <w:t>interinstitutionelle</w:t>
      </w:r>
      <w:proofErr w:type="spellEnd"/>
      <w:r w:rsidRPr="000C2536">
        <w:t xml:space="preserve"> aftale af 16. december 2020 mellem Europa-Parlamentet, Rådet for Den Europæiske Union og Europa-Kommissionen om budgetdisciplin, om samarbejde på budgetområdet og om forsvarlig økonomisk forvaltning samt om nye egne indtægter, herunder en køreplan hen imod indførelse af </w:t>
      </w:r>
      <w:r w:rsidRPr="000C2536">
        <w:lastRenderedPageBreak/>
        <w:t>nye egne indtægter</w:t>
      </w:r>
      <w:r w:rsidRPr="000C2536">
        <w:rPr>
          <w:rStyle w:val="FootnoteReference"/>
          <w:noProof/>
        </w:rPr>
        <w:footnoteReference w:id="4"/>
      </w:r>
      <w:r w:rsidRPr="000C2536">
        <w:t>, særlig punkt 9,</w:t>
      </w:r>
    </w:p>
    <w:p w14:paraId="635D5FEC" w14:textId="77777777" w:rsidR="009C4089" w:rsidRPr="000C2536" w:rsidRDefault="009C4089" w:rsidP="009C4089">
      <w:pPr>
        <w:pStyle w:val="NormalHanging12a"/>
      </w:pPr>
      <w:r w:rsidRPr="000C2536">
        <w:t>–</w:t>
      </w:r>
      <w:r w:rsidRPr="000C2536">
        <w:tab/>
        <w:t>der henviser til den europæiske søjle for sociale rettigheder,</w:t>
      </w:r>
    </w:p>
    <w:p w14:paraId="1035DEC4" w14:textId="77777777" w:rsidR="009C4089" w:rsidRPr="000C2536" w:rsidRDefault="009C4089" w:rsidP="009C4089">
      <w:pPr>
        <w:pStyle w:val="NormalHanging12a"/>
      </w:pPr>
      <w:r w:rsidRPr="000C2536">
        <w:t>–</w:t>
      </w:r>
      <w:r w:rsidRPr="000C2536">
        <w:tab/>
        <w:t>der henviser til skrivelse fra Udvalget om Beskæftigelse og Sociale Anliggender,</w:t>
      </w:r>
    </w:p>
    <w:p w14:paraId="7DAFCC9B" w14:textId="77777777" w:rsidR="009C4089" w:rsidRPr="000C2536" w:rsidRDefault="009C4089" w:rsidP="009C4089">
      <w:pPr>
        <w:pStyle w:val="NormalHanging12a"/>
      </w:pPr>
      <w:r w:rsidRPr="000C2536">
        <w:t>–</w:t>
      </w:r>
      <w:r w:rsidRPr="000C2536">
        <w:tab/>
        <w:t>der henviser til betænkning fra Budgetudvalget (A10-0084/2026),</w:t>
      </w:r>
    </w:p>
    <w:p w14:paraId="5C495A7B" w14:textId="77777777" w:rsidR="009C4089" w:rsidRPr="000C2536" w:rsidRDefault="009C4089" w:rsidP="009C4089">
      <w:pPr>
        <w:pStyle w:val="NormalHanging12a"/>
        <w:rPr>
          <w:noProof/>
        </w:rPr>
      </w:pPr>
      <w:r w:rsidRPr="000C2536">
        <w:t>A.</w:t>
      </w:r>
      <w:r w:rsidRPr="000C2536">
        <w:tab/>
        <w:t>der henviser til, at Unionen har indført lovgivnings- og budgetinstrumenter for at yde supplerende støtte til arbejdstagere, der er ramt af følgerne af gennemgribende strukturelle begivenheder og ændringer i verdenshandelsmønstrene, med henblik på at hjælpe dem med at vende tilbage til arbejdsmarkedet; der henviser til, at denne bistand ydes gennem økonomisk støtte til arbejdstagere;</w:t>
      </w:r>
    </w:p>
    <w:p w14:paraId="05210A69" w14:textId="77777777" w:rsidR="009C4089" w:rsidRPr="000C2536" w:rsidRDefault="009C4089" w:rsidP="009C4089">
      <w:pPr>
        <w:pStyle w:val="NormalHanging12a"/>
        <w:rPr>
          <w:bCs/>
          <w:iCs/>
          <w:noProof/>
        </w:rPr>
      </w:pPr>
      <w:r w:rsidRPr="000C2536">
        <w:t>B.</w:t>
      </w:r>
      <w:r w:rsidRPr="000C2536">
        <w:tab/>
        <w:t>der henviser til, at støtten bør rettes mod hurtig reintegration af arbejdstagere og mod at sikre, at uddannelse, omskoling og erhvervsuddannelse i højere grad udstyrer arbejdstagerne med færdigheder, der er tilpasset arbejdsmarkedets behov;</w:t>
      </w:r>
    </w:p>
    <w:p w14:paraId="5F991CEF" w14:textId="77777777" w:rsidR="009C4089" w:rsidRPr="000C2536" w:rsidRDefault="009C4089" w:rsidP="009C4089">
      <w:pPr>
        <w:pStyle w:val="NormalHanging12a"/>
      </w:pPr>
      <w:r w:rsidRPr="000C2536">
        <w:t>C.</w:t>
      </w:r>
      <w:r w:rsidRPr="000C2536">
        <w:tab/>
        <w:t>der henviser til, at Belgien indgav ansøgning EGF/2025/008 BE/Liberty om økonomisk EGF-støtte som følge af 507 afskedigelser</w:t>
      </w:r>
      <w:r w:rsidRPr="000C2536">
        <w:rPr>
          <w:vertAlign w:val="superscript"/>
        </w:rPr>
        <w:footnoteReference w:id="5"/>
      </w:r>
      <w:r w:rsidRPr="000C2536">
        <w:t xml:space="preserve"> i Liberty </w:t>
      </w:r>
      <w:proofErr w:type="spellStart"/>
      <w:r w:rsidRPr="000C2536">
        <w:t>Galați</w:t>
      </w:r>
      <w:proofErr w:type="spellEnd"/>
      <w:r w:rsidRPr="000C2536">
        <w:t xml:space="preserve"> </w:t>
      </w:r>
      <w:proofErr w:type="spellStart"/>
      <w:r w:rsidRPr="000C2536">
        <w:t>Belgian</w:t>
      </w:r>
      <w:proofErr w:type="spellEnd"/>
      <w:r w:rsidRPr="000C2536">
        <w:t xml:space="preserve"> </w:t>
      </w:r>
      <w:proofErr w:type="spellStart"/>
      <w:r w:rsidRPr="000C2536">
        <w:t>Branch</w:t>
      </w:r>
      <w:proofErr w:type="spellEnd"/>
      <w:r w:rsidRPr="000C2536">
        <w:t xml:space="preserve"> (Liberty) i den økonomiske sektor, som er klassificeret under NACE rev. 2 hovedgruppe 24 (Fremstilling af basismetaller) i Liège-provinsen (BE33), i regionen </w:t>
      </w:r>
      <w:proofErr w:type="spellStart"/>
      <w:r w:rsidRPr="000C2536">
        <w:t>Vallonien</w:t>
      </w:r>
      <w:proofErr w:type="spellEnd"/>
      <w:r w:rsidRPr="000C2536">
        <w:t>, inden for en referenceperiode fra den 24. april 2025 til den 24. august 2025;</w:t>
      </w:r>
    </w:p>
    <w:p w14:paraId="0FF7DEE9" w14:textId="77777777" w:rsidR="009C4089" w:rsidRPr="000C2536" w:rsidRDefault="009C4089" w:rsidP="009C4089">
      <w:pPr>
        <w:pStyle w:val="NormalHanging12a"/>
      </w:pPr>
      <w:r w:rsidRPr="000C2536">
        <w:t>D.</w:t>
      </w:r>
      <w:r w:rsidRPr="000C2536">
        <w:tab/>
        <w:t>der henviser til, at ansøgningen er baseret på interventionskriteriet i artikel 4, stk. 2, litra a), i EGF-forordningen, som forudsætter aktivitetsophør for mindst 200 afskedigede arbejdstagere eller selvstændige erhvervsdrivende i løbet af en firemåneders referenceperiode i en virksomhed i en medlemsstat;</w:t>
      </w:r>
    </w:p>
    <w:p w14:paraId="332F3B34" w14:textId="77777777" w:rsidR="009C4089" w:rsidRPr="000C2536" w:rsidRDefault="009C4089" w:rsidP="009C4089">
      <w:pPr>
        <w:pStyle w:val="NormalHanging12a"/>
        <w:rPr>
          <w:noProof/>
        </w:rPr>
      </w:pPr>
      <w:r w:rsidRPr="000C2536">
        <w:t>E.</w:t>
      </w:r>
      <w:r w:rsidRPr="000C2536">
        <w:tab/>
        <w:t>der henviser til, at Liberty blev erklæret konkurs af Lièges handelsret den 22. april 2025; der henviser til, at antallet af konkurser har været stigende i Belgien siden 2022;</w:t>
      </w:r>
    </w:p>
    <w:p w14:paraId="35FF1A53" w14:textId="77777777" w:rsidR="009C4089" w:rsidRPr="000C2536" w:rsidRDefault="009C4089" w:rsidP="009C4089">
      <w:pPr>
        <w:pStyle w:val="NormalHanging12a"/>
      </w:pPr>
      <w:r w:rsidRPr="000C2536">
        <w:t>F.</w:t>
      </w:r>
      <w:r w:rsidRPr="000C2536">
        <w:tab/>
        <w:t xml:space="preserve">der henviser til, at regionen </w:t>
      </w:r>
      <w:proofErr w:type="spellStart"/>
      <w:r w:rsidRPr="000C2536">
        <w:t>Vallonien</w:t>
      </w:r>
      <w:proofErr w:type="spellEnd"/>
      <w:r w:rsidRPr="000C2536">
        <w:t xml:space="preserve"> og Le </w:t>
      </w:r>
      <w:proofErr w:type="spellStart"/>
      <w:r w:rsidRPr="000C2536">
        <w:t>Forem</w:t>
      </w:r>
      <w:proofErr w:type="spellEnd"/>
      <w:r w:rsidRPr="000C2536">
        <w:t xml:space="preserve"> har oplyst, at den flamske arbejdsformidling (VDAB) yder den nationale </w:t>
      </w:r>
      <w:proofErr w:type="spellStart"/>
      <w:r w:rsidRPr="000C2536">
        <w:t>forfinansiering</w:t>
      </w:r>
      <w:proofErr w:type="spellEnd"/>
      <w:r w:rsidRPr="000C2536">
        <w:t xml:space="preserve"> og medfinansiering af foranstaltningerne;</w:t>
      </w:r>
    </w:p>
    <w:p w14:paraId="16A1B33A" w14:textId="77777777" w:rsidR="009C4089" w:rsidRPr="000C2536" w:rsidRDefault="009C4089" w:rsidP="009C4089">
      <w:pPr>
        <w:pStyle w:val="NormalHanging12a"/>
      </w:pPr>
      <w:r w:rsidRPr="000C2536">
        <w:t>G.</w:t>
      </w:r>
      <w:r w:rsidRPr="000C2536">
        <w:tab/>
        <w:t>der henviser til, at kravene i EU-lovgivningen og den nationale lovgivning vedrørende kollektiv afskedigelse er blevet opfyldt;</w:t>
      </w:r>
    </w:p>
    <w:p w14:paraId="54658013" w14:textId="77777777" w:rsidR="009C4089" w:rsidRPr="000C2536" w:rsidRDefault="009C4089" w:rsidP="009C4089">
      <w:pPr>
        <w:pStyle w:val="NormalHanging12a"/>
      </w:pPr>
      <w:r w:rsidRPr="000C2536">
        <w:t>H.</w:t>
      </w:r>
      <w:r w:rsidRPr="000C2536">
        <w:tab/>
        <w:t>der henviser til, at den økonomiske støtte fra EGF primært bør være rettet mod aktive arbejdsmarkedspolitiske foranstaltninger og individualiserede tilbud, som har til formål hurtigt at reintegrere støttemodtagerne på arbejdsmarkedet og tilbyde dem uddannelse i færdigheder for at lette deres adgang til arbejdsmarkedet;</w:t>
      </w:r>
    </w:p>
    <w:p w14:paraId="54EF4818" w14:textId="77777777" w:rsidR="009C4089" w:rsidRPr="000C2536" w:rsidRDefault="009C4089" w:rsidP="009C4089">
      <w:pPr>
        <w:pStyle w:val="NormalHanging12a"/>
      </w:pPr>
      <w:r w:rsidRPr="000C2536">
        <w:t>I.</w:t>
      </w:r>
      <w:r w:rsidRPr="000C2536">
        <w:tab/>
        <w:t>der henviser til, at EGF ikke må overstige et maksimalt årligt beløb på 30 mio. EUR (i 2018-priser)</w:t>
      </w:r>
      <w:r w:rsidRPr="000C2536">
        <w:rPr>
          <w:rStyle w:val="FootnoteReference"/>
        </w:rPr>
        <w:footnoteReference w:id="6"/>
      </w:r>
      <w:r w:rsidRPr="000C2536">
        <w:t>;</w:t>
      </w:r>
    </w:p>
    <w:p w14:paraId="7AADAFD6" w14:textId="77777777" w:rsidR="009C4089" w:rsidRPr="000C2536" w:rsidRDefault="009C4089" w:rsidP="009C4089">
      <w:pPr>
        <w:pStyle w:val="NormalHanging12a"/>
      </w:pPr>
      <w:r w:rsidRPr="000C2536">
        <w:lastRenderedPageBreak/>
        <w:t>1.</w:t>
      </w:r>
      <w:r w:rsidRPr="000C2536">
        <w:tab/>
        <w:t>er enig med Kommissionen i, at betingelserne i EGF-forordningen og særlig i artikel 4, stk. 2, litra a), er opfyldt, og at Belgien derfor er berettiget til økonomisk støtte på 2 033 869 EUR i henhold til nævnte forordning, hvilket svarer til 85 % af de samlede omkostninger på 2 392 788 EUR og omfatter udgifterne til individualiserede tilbud på 2 358 922 EUR samt udgifter til forberedende arbejde, forvaltning, oplysning og offentliggørelse samt kontrol- og rapporteringsaktiviteter på 33 866 EUR;</w:t>
      </w:r>
    </w:p>
    <w:p w14:paraId="743F8CE4" w14:textId="77777777" w:rsidR="009C4089" w:rsidRPr="000C2536" w:rsidRDefault="009C4089" w:rsidP="009C4089">
      <w:pPr>
        <w:pStyle w:val="NormalHanging12a"/>
      </w:pPr>
      <w:r w:rsidRPr="000C2536">
        <w:t>2.</w:t>
      </w:r>
      <w:r w:rsidRPr="000C2536">
        <w:tab/>
        <w:t xml:space="preserve">bemærker, at de belgiske myndigheder indgav ansøgningen den 13. november 2025, og at Kommissionen efter at have modtaget yderligere oplysninger fra Belgien afsluttede sin vurdering heraf og fremsendte den til Parlamentet den 2. marts 2026; understreger behovet for at afkorte tidsrummet mellem en EGF-ansøgning og finansieringsafgørelsen, samtidig med at Parlamentets budgetmæssige rettigheder beskyttes; </w:t>
      </w:r>
    </w:p>
    <w:p w14:paraId="450CF340" w14:textId="77777777" w:rsidR="009C4089" w:rsidRPr="000C2536" w:rsidRDefault="009C4089" w:rsidP="009C4089">
      <w:pPr>
        <w:pStyle w:val="NormalHanging12a"/>
      </w:pPr>
      <w:r w:rsidRPr="000C2536">
        <w:t>3.</w:t>
      </w:r>
      <w:r w:rsidRPr="000C2536">
        <w:tab/>
        <w:t>der henviser til, at ansøgningen vedrører 507 tiltænkte støttemodtagere, der blev afskediget i virksomheden Liberty;</w:t>
      </w:r>
    </w:p>
    <w:p w14:paraId="1CDCB1CC" w14:textId="77777777" w:rsidR="009C4089" w:rsidRPr="000C2536" w:rsidRDefault="009C4089" w:rsidP="009C4089">
      <w:pPr>
        <w:pStyle w:val="NormalHanging12a"/>
      </w:pPr>
      <w:r w:rsidRPr="000C2536">
        <w:t>4.</w:t>
      </w:r>
      <w:r w:rsidRPr="000C2536">
        <w:tab/>
        <w:t xml:space="preserve">bemærker, at Liberty har stået over for flere års finansielle vanskeligheder forud for konkurserklæringen på grund af ugunstige forhold på stålmarkedet, covid-19-relaterede forstyrrelser i forsyningskæden og høje energipriser efter Ruslands angrebskrig mod Ukraine kombineret med Unionens afhængighed af importerede fossile brændstoffer og utilstrækkelig udbredelse af billigere energikilder; bemærker, at Liberty Steel Lièges galvaniseringslinjer har været uudnyttede siden december 2021, hovedsagelig på grund af mangel på råmaterialer, hvilket udløste en omstrukturering, der førte til, at virksomheden blev overført til Liberty </w:t>
      </w:r>
      <w:proofErr w:type="spellStart"/>
      <w:r w:rsidRPr="000C2536">
        <w:t>Galați</w:t>
      </w:r>
      <w:proofErr w:type="spellEnd"/>
      <w:r w:rsidRPr="000C2536">
        <w:t xml:space="preserve"> i 2023; beklager, at produktionsaktiviteten ikke blev genoptaget på trods af overtagelsen og kulminerede med konkurs;</w:t>
      </w:r>
    </w:p>
    <w:p w14:paraId="599DA6E4" w14:textId="77777777" w:rsidR="009C4089" w:rsidRPr="000C2536" w:rsidRDefault="009C4089" w:rsidP="009C4089">
      <w:pPr>
        <w:pStyle w:val="NormalHanging12a"/>
        <w:rPr>
          <w:noProof/>
        </w:rPr>
      </w:pPr>
      <w:r w:rsidRPr="000C2536">
        <w:t>5.</w:t>
      </w:r>
      <w:r w:rsidRPr="000C2536">
        <w:tab/>
        <w:t xml:space="preserve">bemærker, at de vanskeligheder, som Liberty Steel står over for, også er knyttet til virksomhedsspecifikke faktorer, efter at GFG Alliance købte virksomheden af </w:t>
      </w:r>
      <w:proofErr w:type="spellStart"/>
      <w:r w:rsidRPr="000C2536">
        <w:t>ArcelorMittal</w:t>
      </w:r>
      <w:proofErr w:type="spellEnd"/>
      <w:r w:rsidRPr="000C2536">
        <w:t>; understreger, at der er alvorlig bekymring over forretningsmodellens finansielle bæredygtighed og den manglende opfyldelse af investeringsforpligtelserne, hvilket bidrog til at forværre værkets økonomiske situation og de deraf følgende afskedigelser;</w:t>
      </w:r>
    </w:p>
    <w:p w14:paraId="1018531F" w14:textId="77777777" w:rsidR="009C4089" w:rsidRPr="000C2536" w:rsidRDefault="009C4089" w:rsidP="009C4089">
      <w:pPr>
        <w:pStyle w:val="NormalHanging12a"/>
        <w:rPr>
          <w:b/>
          <w:bCs/>
          <w:i/>
          <w:iCs/>
        </w:rPr>
      </w:pPr>
      <w:bookmarkStart w:id="6" w:name="_Hlk225497832"/>
      <w:r w:rsidRPr="000C2536">
        <w:t>6.</w:t>
      </w:r>
      <w:r w:rsidRPr="000C2536">
        <w:tab/>
        <w:t xml:space="preserve">bemærker, at regionen </w:t>
      </w:r>
      <w:proofErr w:type="spellStart"/>
      <w:r w:rsidRPr="000C2536">
        <w:t>Vallonien</w:t>
      </w:r>
      <w:proofErr w:type="spellEnd"/>
      <w:r w:rsidRPr="000C2536">
        <w:t xml:space="preserve"> har gennemgået en proces med afindustrialisering og økonomisk omstilling</w:t>
      </w:r>
      <w:r w:rsidRPr="000C2536">
        <w:rPr>
          <w:rStyle w:val="FootnoteReference"/>
        </w:rPr>
        <w:footnoteReference w:id="7"/>
      </w:r>
      <w:r w:rsidRPr="000C2536">
        <w:t xml:space="preserve">; bemærker, at Libertys konkurs udgør et stort socialt chok for </w:t>
      </w:r>
      <w:proofErr w:type="spellStart"/>
      <w:r w:rsidRPr="000C2536">
        <w:t>Vallonien</w:t>
      </w:r>
      <w:proofErr w:type="spellEnd"/>
      <w:r w:rsidRPr="000C2536">
        <w:t>, som er en region</w:t>
      </w:r>
      <w:bookmarkEnd w:id="6"/>
      <w:r w:rsidRPr="000C2536">
        <w:t xml:space="preserve">, hvis arbejdsmarked allerede er svækket af andre omstruktureringer; understreger, at stålsektoren fortsat er en vigtig økonomisk sektor for Belgien, idet andelen af ståljob pr. indbygger fortsat er høj; opfordrer de belgiske myndigheder til at yde specifik støtte, der er skræddersyet til disse profiler, for at hjælpe arbejdstagerne med at videreudvikle de nødvendige færdigheder til at finde nye kvalitetsjob, samtidig med at der træffes foranstaltninger til at mindske konkurser og afhjælpe sociale forskelle, der fører til udelukkelse af arbejdsstyrken; lægger vægt på, at Unionen opretholder et erhvervsvenligt miljø, som fører til økonomisk vækst, fremmer innovation, støtter teknologisk udvikling, styrker konkurrenceevnen samt mindsker unødvendige reguleringsmæssige byrder og forenkler bureaukratiske procedurer, og understreger behovet for politikker, der fremmer den industrielle konkurrenceevne og den territoriale, økonomiske og sociale samhørighed og regionale udvikling; fremhæver betydningen af en konkurrencedygtig og modstandsdygtig europæisk stålsektor som </w:t>
      </w:r>
      <w:r w:rsidRPr="000C2536">
        <w:lastRenderedPageBreak/>
        <w:t>grundlag for en stærk industri af høj kvalitet og en central søjle i Unionens strategiske autonomi;</w:t>
      </w:r>
    </w:p>
    <w:p w14:paraId="10397B05" w14:textId="77777777" w:rsidR="009C4089" w:rsidRPr="000C2536" w:rsidRDefault="009C4089" w:rsidP="009C4089">
      <w:pPr>
        <w:pStyle w:val="NormalHanging12a"/>
      </w:pPr>
      <w:r w:rsidRPr="000C2536">
        <w:t>7.</w:t>
      </w:r>
      <w:r w:rsidRPr="000C2536">
        <w:tab/>
        <w:t xml:space="preserve">minder om, at 1 ud af 4 registrerede jobsøgende i </w:t>
      </w:r>
      <w:proofErr w:type="spellStart"/>
      <w:r w:rsidRPr="000C2536">
        <w:t>Vallonien</w:t>
      </w:r>
      <w:proofErr w:type="spellEnd"/>
      <w:r w:rsidRPr="000C2536">
        <w:t xml:space="preserve"> er over 50 år og står over for større hindringer for at vende tilbage til arbejdsmarkedet; bemærker, at jobskifte blandt Libertys arbejdstagere på trods af deres høje specialisering udfordres af deres fremskredne alder (52 % af arbejdstagerne er 55 år eller derover); bemærker, at 69 % af de afskedigede arbejdstagere har et lavt uddannelsesniveau;</w:t>
      </w:r>
    </w:p>
    <w:p w14:paraId="08312F7C" w14:textId="77777777" w:rsidR="009C4089" w:rsidRPr="000C2536" w:rsidRDefault="009C4089" w:rsidP="009C4089">
      <w:pPr>
        <w:pStyle w:val="NormalHanging12a"/>
      </w:pPr>
      <w:bookmarkStart w:id="7" w:name="_Hlk226546977"/>
      <w:r w:rsidRPr="000C2536">
        <w:t>8.</w:t>
      </w:r>
      <w:r w:rsidRPr="000C2536">
        <w:tab/>
        <w:t>minder om, at individualiserede tilbud til arbejdstagerne efter aftale med fagforeninger og lokale myndigheder består af følgende foranstaltninger: hjælp til genplacering samt erhvervsvejledning, uddannelse, omskoling og erhvervsuddannelse, herunder IT-færdigheder, støtte til iværksættelse, støtte til virksomhedsetablering, incitamenter og andre godtgørelser; fremhæver betydningen af at styrke investeringerne i innovation, færdigheder og industriel modernisering for at styrke den europæiske industris konkurrenceevne og sikre, at arbejdstagerne er rustet til arbejdsmarkedets skiftende behov;</w:t>
      </w:r>
      <w:bookmarkEnd w:id="7"/>
    </w:p>
    <w:p w14:paraId="61F75228" w14:textId="77777777" w:rsidR="009C4089" w:rsidRPr="000C2536" w:rsidRDefault="009C4089" w:rsidP="009C4089">
      <w:pPr>
        <w:pStyle w:val="NormalHanging12a"/>
      </w:pPr>
      <w:r w:rsidRPr="000C2536">
        <w:t>9.</w:t>
      </w:r>
      <w:r w:rsidRPr="000C2536">
        <w:tab/>
        <w:t>understreger betydningen af at fremme fremtidsorienterede job af høj kvalitet, der styrker konkurrenceevnen, fremmer den digitale omstilling og opfylder arbejdsmarkedets behov, for at sikre langsigtet økonomisk og social modstandsdygtighed; mener derfor, at mobiliseringen af EGF skal integreres i en større politisk indsats på alle politiske niveauer for at sikre, at de berørte arbejdstagere finder passende muligheder i overensstemmelse med deres kvalifikationer og færdigheder; understreger, at EGF er et instrument til solidaritet og retfærdig omstilling, og at Unionens primære opgave skal være at forhindre sådanne lukninger i første omgang;</w:t>
      </w:r>
    </w:p>
    <w:p w14:paraId="6817A584" w14:textId="77777777" w:rsidR="009C4089" w:rsidRPr="000C2536" w:rsidRDefault="009C4089" w:rsidP="009C4089">
      <w:pPr>
        <w:pStyle w:val="NormalHanging12a"/>
      </w:pPr>
      <w:r w:rsidRPr="000C2536">
        <w:t>10.</w:t>
      </w:r>
      <w:r w:rsidRPr="000C2536">
        <w:tab/>
        <w:t>understreger betydningen af at styrke Unionens industrielle konkurrenceevne og fremme investeringer i strategiske industrisektorer med henblik på at forhindre yderligere afindustrialisering og afskedigelser samt støtte jobskabelse; understreger behovet for at omstille til vedvarende energi samt for andre foranstaltninger til at sikre økonomisk overkommelige energipriser;</w:t>
      </w:r>
    </w:p>
    <w:p w14:paraId="6E35A2C0" w14:textId="77777777" w:rsidR="009C4089" w:rsidRPr="000C2536" w:rsidRDefault="009C4089" w:rsidP="009C4089">
      <w:pPr>
        <w:pStyle w:val="NormalHanging12a"/>
        <w:rPr>
          <w:bCs/>
          <w:iCs/>
        </w:rPr>
      </w:pPr>
      <w:r w:rsidRPr="000C2536">
        <w:t>11.</w:t>
      </w:r>
      <w:r w:rsidRPr="000C2536">
        <w:tab/>
        <w:t>understreger, at de belgiske myndigheder skal sikre synligheden af EU-finansieringen og fremhæve dens merværdi ved at give effektive og målrettede oplysninger til støttemodtagere, regionale og lokale myndigheder, arbejdsmarkedets parter og den brede offentlighed;</w:t>
      </w:r>
    </w:p>
    <w:p w14:paraId="1AB18BE0" w14:textId="77777777" w:rsidR="009C4089" w:rsidRPr="000C2536" w:rsidRDefault="009C4089" w:rsidP="009C4089">
      <w:pPr>
        <w:pStyle w:val="NormalHanging12a"/>
      </w:pPr>
      <w:r w:rsidRPr="000C2536">
        <w:t>12.</w:t>
      </w:r>
      <w:r w:rsidRPr="000C2536">
        <w:tab/>
        <w:t xml:space="preserve">opfordrer til grundige endelige evalueringer sammen med arbejdsmarkedets parter af de gennemførte foranstaltninger, herunder klare og gennemsigtige oplysninger om, hvordan midlerne er blevet anvendt, reintegration af arbejdstagere på arbejdsmarkedet, og hvorvidt </w:t>
      </w:r>
      <w:proofErr w:type="spellStart"/>
      <w:r w:rsidRPr="000C2536">
        <w:t>EGF's</w:t>
      </w:r>
      <w:proofErr w:type="spellEnd"/>
      <w:r w:rsidRPr="000C2536">
        <w:t xml:space="preserve"> mål er blevet indfriet; fremhæver i denne forbindelse betydningen af regelmæssig overvågning af de foranstaltninger, der finansieres af EGF, med henblik på at vurdere deres effektivitet;</w:t>
      </w:r>
    </w:p>
    <w:p w14:paraId="284FC80C" w14:textId="77777777" w:rsidR="009C4089" w:rsidRPr="000C2536" w:rsidRDefault="009C4089" w:rsidP="009C4089">
      <w:pPr>
        <w:pStyle w:val="NormalHanging12a"/>
      </w:pPr>
      <w:r w:rsidRPr="000C2536">
        <w:t>13.</w:t>
      </w:r>
      <w:r w:rsidRPr="000C2536">
        <w:tab/>
        <w:t>bemærker, at Belgien begyndte at give individualiserede tilbud til de tiltænkte støttemodtagere den 1. juni 2025, og at perioden for berettigelse til økonomisk støtte fra EGF vil løbe fra denne dato og indtil 24 måneder efter datoen for finansieringsafgørelsens ikrafttræden;</w:t>
      </w:r>
    </w:p>
    <w:p w14:paraId="17BA4CA1" w14:textId="77777777" w:rsidR="009C4089" w:rsidRPr="000C2536" w:rsidRDefault="009C4089" w:rsidP="009C4089">
      <w:pPr>
        <w:pStyle w:val="NormalHanging12a"/>
        <w:rPr>
          <w:sz w:val="23"/>
          <w:szCs w:val="23"/>
        </w:rPr>
      </w:pPr>
      <w:r w:rsidRPr="000C2536">
        <w:t>14.</w:t>
      </w:r>
      <w:r w:rsidRPr="000C2536">
        <w:tab/>
        <w:t xml:space="preserve">bemærker, at Belgien siden den 22. april 2025 har afholdt de administrative udgifter til </w:t>
      </w:r>
      <w:r w:rsidRPr="000C2536">
        <w:lastRenderedPageBreak/>
        <w:t>gennemførelsen af EGF, og at disse udgifter derfor berettiger til økonomisk støtte fra EGF fra den dato og indtil 31 måneder efter datoen for finansieringsafgørelsens ikrafttræden;</w:t>
      </w:r>
    </w:p>
    <w:p w14:paraId="611A6EEA" w14:textId="77777777" w:rsidR="009C4089" w:rsidRPr="000C2536" w:rsidRDefault="009C4089" w:rsidP="009C4089">
      <w:pPr>
        <w:pStyle w:val="NormalHanging12a"/>
      </w:pPr>
      <w:r w:rsidRPr="000C2536">
        <w:t>15.</w:t>
      </w:r>
      <w:r w:rsidRPr="000C2536">
        <w:tab/>
        <w:t>bemærker, at de belgiske myndigheder har givet garanti for, at principperne om ligebehandling og ikkeforskelsbehandling vil blive overholdt i forbindelse med adgangen til de foreslåede foranstaltninger og deres gennemførelse, og at dobbeltfinansiering vil blive forhindret;</w:t>
      </w:r>
    </w:p>
    <w:p w14:paraId="4E1DEA36" w14:textId="77777777" w:rsidR="009C4089" w:rsidRPr="000C2536" w:rsidRDefault="009C4089" w:rsidP="009C4089">
      <w:pPr>
        <w:pStyle w:val="NormalHanging12a"/>
      </w:pPr>
      <w:r w:rsidRPr="000C2536">
        <w:t>16.</w:t>
      </w:r>
      <w:r w:rsidRPr="000C2536">
        <w:tab/>
        <w:t>gentager, at støtte fra EGF ikke må erstatte foranstaltninger, som det påhviler de offentlige myndigheder eller virksomhederne at gennemføre i henhold til national lovgivning eller kollektive overenskomster; minder om, at EGF er en begrænset, målrettet og komplementær mekanisme og ikke kan erstatte strukturelle økonomiske politikker, som hovedsageligt henhører under medlemsstaternes kompetence;</w:t>
      </w:r>
    </w:p>
    <w:p w14:paraId="6CAF0656" w14:textId="77777777" w:rsidR="009C4089" w:rsidRPr="000C2536" w:rsidRDefault="009C4089" w:rsidP="009C4089">
      <w:pPr>
        <w:pStyle w:val="NormalHanging12a"/>
      </w:pPr>
      <w:r w:rsidRPr="000C2536">
        <w:t>17.</w:t>
      </w:r>
      <w:r w:rsidRPr="000C2536">
        <w:tab/>
        <w:t>godkender den afgørelse, der er vedføjet denne beslutning;</w:t>
      </w:r>
    </w:p>
    <w:p w14:paraId="11930097" w14:textId="77777777" w:rsidR="009C4089" w:rsidRPr="000C2536" w:rsidRDefault="009C4089" w:rsidP="009C4089">
      <w:pPr>
        <w:pStyle w:val="NormalHanging12a"/>
      </w:pPr>
      <w:r w:rsidRPr="000C2536">
        <w:t>18.</w:t>
      </w:r>
      <w:r w:rsidRPr="000C2536">
        <w:tab/>
        <w:t xml:space="preserve">pålægger sin formand at undertegne denne afgørelse sammen med Rådets formand og drage omsorg for, at den offentliggøres i </w:t>
      </w:r>
      <w:r w:rsidRPr="000C2536">
        <w:rPr>
          <w:i/>
        </w:rPr>
        <w:t>Den Europæiske Unions Tidende</w:t>
      </w:r>
      <w:r w:rsidRPr="000C2536">
        <w:t>;</w:t>
      </w:r>
    </w:p>
    <w:p w14:paraId="4F8A5155" w14:textId="77777777" w:rsidR="009C4089" w:rsidRPr="000C2536" w:rsidRDefault="009C4089" w:rsidP="009C4089">
      <w:pPr>
        <w:pStyle w:val="NormalHanging12a"/>
      </w:pPr>
      <w:r w:rsidRPr="000C2536">
        <w:t>19.</w:t>
      </w:r>
      <w:r w:rsidRPr="000C2536">
        <w:tab/>
        <w:t>pålægger sin formand at sende denne beslutning sammen med bilaget til Rådet og Kommissionen.</w:t>
      </w:r>
    </w:p>
    <w:p w14:paraId="085F17BA" w14:textId="77777777" w:rsidR="009C4089" w:rsidRPr="000C2536" w:rsidRDefault="009C4089" w:rsidP="009C4089">
      <w:pPr>
        <w:rPr>
          <w:noProof/>
        </w:rPr>
      </w:pPr>
    </w:p>
    <w:p w14:paraId="431DF8FC" w14:textId="77777777" w:rsidR="009C4089" w:rsidRPr="000C2536" w:rsidRDefault="009C4089" w:rsidP="009C4089">
      <w:pPr>
        <w:pStyle w:val="PageHeading"/>
        <w:rPr>
          <w:noProof/>
        </w:rPr>
        <w:sectPr w:rsidR="009C4089" w:rsidRPr="000C2536" w:rsidSect="000C253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FE5C126" w14:textId="77777777" w:rsidR="009C4089" w:rsidRPr="000C2536" w:rsidRDefault="009C4089" w:rsidP="009C4089">
      <w:pPr>
        <w:pStyle w:val="PageHeading"/>
        <w:rPr>
          <w:noProof/>
        </w:rPr>
      </w:pPr>
      <w:bookmarkStart w:id="8" w:name="_Toc227075835"/>
      <w:bookmarkStart w:id="9" w:name="_Toc227910957"/>
      <w:r w:rsidRPr="000C2536">
        <w:lastRenderedPageBreak/>
        <w:t>BILAG: EUROPA-PARLAMENTETS OG RÅDETS AFGØRELSE</w:t>
      </w:r>
      <w:bookmarkEnd w:id="8"/>
      <w:bookmarkEnd w:id="9"/>
    </w:p>
    <w:p w14:paraId="5C2FB455" w14:textId="77777777" w:rsidR="009C4089" w:rsidRDefault="009C4089" w:rsidP="003B2067">
      <w:pPr>
        <w:pStyle w:val="NormalHanging12a"/>
        <w:ind w:left="0" w:firstLine="0"/>
        <w:jc w:val="center"/>
        <w:rPr>
          <w:b/>
        </w:rPr>
      </w:pPr>
      <w:r w:rsidRPr="000C2536">
        <w:rPr>
          <w:b/>
        </w:rPr>
        <w:t>om mobilisering af Den Europæiske Fond for Tilpasning til Globaliseringen for Afskedigede Arbejdstagere på baggrund af en ansøgning fra Belgien (EGF/2025/008 BE/Liberty)</w:t>
      </w:r>
    </w:p>
    <w:p w14:paraId="6F939A19" w14:textId="77777777" w:rsidR="006D6BDA" w:rsidRDefault="006D6BDA" w:rsidP="00FF62A3">
      <w:pPr>
        <w:tabs>
          <w:tab w:val="left" w:pos="567"/>
          <w:tab w:val="left" w:pos="851"/>
          <w:tab w:val="left" w:pos="1134"/>
          <w:tab w:val="left" w:pos="1418"/>
          <w:tab w:val="left" w:pos="1701"/>
        </w:tabs>
        <w:ind w:right="-1"/>
      </w:pPr>
    </w:p>
    <w:p w14:paraId="0C8B9A36" w14:textId="46A2C940" w:rsidR="006D6BDA" w:rsidRPr="00F43BBF" w:rsidRDefault="006D6BDA" w:rsidP="00FF62A3">
      <w:pPr>
        <w:rPr>
          <w:i/>
        </w:rPr>
      </w:pPr>
      <w:r w:rsidRPr="00F43BBF">
        <w:rPr>
          <w:i/>
        </w:rPr>
        <w:t xml:space="preserve">(Teksten i bilaget gengives ikke her, eftersom det svarer til den endelige retsakt, </w:t>
      </w:r>
      <w:r>
        <w:rPr>
          <w:i/>
        </w:rPr>
        <w:t>afgørelse (EU) 2026/1134</w:t>
      </w:r>
      <w:r w:rsidRPr="00F43BBF">
        <w:rPr>
          <w:i/>
        </w:rPr>
        <w:t>).</w:t>
      </w:r>
    </w:p>
    <w:p w14:paraId="4B8245CA" w14:textId="17388D5B" w:rsidR="006D6BDA" w:rsidRPr="000C2536" w:rsidRDefault="006D6BDA" w:rsidP="006D6BDA">
      <w:pPr>
        <w:pStyle w:val="NormalHanging12a"/>
        <w:ind w:left="0" w:firstLine="0"/>
        <w:rPr>
          <w:b/>
          <w:bCs/>
        </w:rPr>
      </w:pPr>
    </w:p>
    <w:sectPr w:rsidR="006D6BDA" w:rsidRPr="000C2536" w:rsidSect="000C2536">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4CF32" w14:textId="77777777" w:rsidR="0084727B" w:rsidRPr="000C2536" w:rsidRDefault="0084727B">
      <w:r w:rsidRPr="000C2536">
        <w:separator/>
      </w:r>
    </w:p>
  </w:endnote>
  <w:endnote w:type="continuationSeparator" w:id="0">
    <w:p w14:paraId="61439D6D" w14:textId="77777777" w:rsidR="0084727B" w:rsidRPr="000C2536" w:rsidRDefault="0084727B">
      <w:r w:rsidRPr="000C25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AEA26" w14:textId="77777777" w:rsidR="009C4089" w:rsidRPr="000C2536" w:rsidRDefault="009C4089" w:rsidP="00FD79F5">
    <w:pPr>
      <w:pStyle w:val="EPFooter"/>
    </w:pPr>
    <w:r w:rsidRPr="000C2536">
      <w:t>PE</w:t>
    </w:r>
    <w:r w:rsidRPr="000C2536">
      <w:rPr>
        <w:rStyle w:val="HideTWBExt"/>
      </w:rPr>
      <w:t>&lt;</w:t>
    </w:r>
    <w:proofErr w:type="spellStart"/>
    <w:r w:rsidRPr="000C2536">
      <w:rPr>
        <w:rStyle w:val="HideTWBExt"/>
      </w:rPr>
      <w:t>NoPE</w:t>
    </w:r>
    <w:proofErr w:type="spellEnd"/>
    <w:r w:rsidRPr="000C2536">
      <w:rPr>
        <w:rStyle w:val="HideTWBExt"/>
      </w:rPr>
      <w:t>&gt;</w:t>
    </w:r>
    <w:r w:rsidRPr="000C2536">
      <w:t>785.333</w:t>
    </w:r>
    <w:r w:rsidRPr="000C2536">
      <w:rPr>
        <w:rStyle w:val="HideTWBExt"/>
      </w:rPr>
      <w:t>&lt;/</w:t>
    </w:r>
    <w:proofErr w:type="spellStart"/>
    <w:r w:rsidRPr="000C2536">
      <w:rPr>
        <w:rStyle w:val="HideTWBExt"/>
      </w:rPr>
      <w:t>NoPE</w:t>
    </w:r>
    <w:proofErr w:type="spellEnd"/>
    <w:r w:rsidRPr="000C2536">
      <w:rPr>
        <w:rStyle w:val="HideTWBExt"/>
      </w:rPr>
      <w:t>&gt;&lt;Version&gt;</w:t>
    </w:r>
    <w:r w:rsidRPr="000C2536">
      <w:t>v03-00</w:t>
    </w:r>
    <w:r w:rsidRPr="000C2536">
      <w:rPr>
        <w:rStyle w:val="HideTWBExt"/>
      </w:rPr>
      <w:t>&lt;/Version&gt;</w:t>
    </w:r>
    <w:r w:rsidRPr="000C2536">
      <w:tab/>
    </w:r>
    <w:r w:rsidRPr="000C2536">
      <w:fldChar w:fldCharType="begin"/>
    </w:r>
    <w:r w:rsidRPr="000C2536">
      <w:instrText xml:space="preserve"> PAGE  \* MERGEFORMAT </w:instrText>
    </w:r>
    <w:r w:rsidRPr="000C2536">
      <w:fldChar w:fldCharType="separate"/>
    </w:r>
    <w:r w:rsidRPr="000C2536">
      <w:rPr>
        <w:noProof/>
      </w:rPr>
      <w:t>2</w:t>
    </w:r>
    <w:r w:rsidRPr="000C2536">
      <w:fldChar w:fldCharType="end"/>
    </w:r>
    <w:r w:rsidRPr="000C2536">
      <w:t>/</w:t>
    </w:r>
    <w:fldSimple w:instr=" NUMPAGES  \* MERGEFORMAT ">
      <w:r w:rsidRPr="000C2536">
        <w:rPr>
          <w:noProof/>
        </w:rPr>
        <w:t>22</w:t>
      </w:r>
    </w:fldSimple>
    <w:r w:rsidRPr="000C2536">
      <w:tab/>
    </w:r>
    <w:r w:rsidRPr="000C2536">
      <w:rPr>
        <w:rStyle w:val="HideTWBExt"/>
      </w:rPr>
      <w:t>&lt;PathFdR&gt;</w:t>
    </w:r>
    <w:r w:rsidRPr="000C2536">
      <w:t>RR\1341391DA.docx</w:t>
    </w:r>
    <w:r w:rsidRPr="000C2536">
      <w:rPr>
        <w:rStyle w:val="HideTWBExt"/>
      </w:rPr>
      <w:t>&lt;/</w:t>
    </w:r>
    <w:proofErr w:type="spellStart"/>
    <w:r w:rsidRPr="000C2536">
      <w:rPr>
        <w:rStyle w:val="HideTWBExt"/>
      </w:rPr>
      <w:t>PathFdR</w:t>
    </w:r>
    <w:proofErr w:type="spellEnd"/>
    <w:r w:rsidRPr="000C2536">
      <w:rPr>
        <w:rStyle w:val="HideTWBExt"/>
      </w:rPr>
      <w:t>&gt;</w:t>
    </w:r>
  </w:p>
  <w:p w14:paraId="58A56B53" w14:textId="77777777" w:rsidR="009C4089" w:rsidRPr="000C2536" w:rsidRDefault="009C4089" w:rsidP="00FD79F5">
    <w:pPr>
      <w:pStyle w:val="EPFooter2"/>
    </w:pPr>
    <w:r w:rsidRPr="000C2536">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96AF4" w14:textId="30EA9DF2" w:rsidR="009C4089" w:rsidRPr="000C2536" w:rsidRDefault="009C4089" w:rsidP="00FD79F5">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5C20E" w14:textId="77777777" w:rsidR="009C4089" w:rsidRPr="000C2536" w:rsidRDefault="009C4089" w:rsidP="00FD79F5">
    <w:pPr>
      <w:pStyle w:val="EPFooter"/>
    </w:pPr>
    <w:r w:rsidRPr="000C2536">
      <w:rPr>
        <w:rStyle w:val="HideTWBExt"/>
      </w:rPr>
      <w:t>&lt;PathFdR&gt;</w:t>
    </w:r>
    <w:r w:rsidRPr="000C2536">
      <w:t>RR\1341391DA.docx</w:t>
    </w:r>
    <w:r w:rsidRPr="000C2536">
      <w:rPr>
        <w:rStyle w:val="HideTWBExt"/>
      </w:rPr>
      <w:t>&lt;/</w:t>
    </w:r>
    <w:proofErr w:type="spellStart"/>
    <w:r w:rsidRPr="000C2536">
      <w:rPr>
        <w:rStyle w:val="HideTWBExt"/>
      </w:rPr>
      <w:t>PathFdR</w:t>
    </w:r>
    <w:proofErr w:type="spellEnd"/>
    <w:r w:rsidRPr="000C2536">
      <w:rPr>
        <w:rStyle w:val="HideTWBExt"/>
      </w:rPr>
      <w:t>&gt;</w:t>
    </w:r>
    <w:r w:rsidRPr="000C2536">
      <w:tab/>
    </w:r>
    <w:r w:rsidRPr="000C2536">
      <w:tab/>
      <w:t>PE</w:t>
    </w:r>
    <w:r w:rsidRPr="000C2536">
      <w:rPr>
        <w:rStyle w:val="HideTWBExt"/>
      </w:rPr>
      <w:t>&lt;</w:t>
    </w:r>
    <w:proofErr w:type="spellStart"/>
    <w:r w:rsidRPr="000C2536">
      <w:rPr>
        <w:rStyle w:val="HideTWBExt"/>
      </w:rPr>
      <w:t>NoPE</w:t>
    </w:r>
    <w:proofErr w:type="spellEnd"/>
    <w:r w:rsidRPr="000C2536">
      <w:rPr>
        <w:rStyle w:val="HideTWBExt"/>
      </w:rPr>
      <w:t>&gt;</w:t>
    </w:r>
    <w:r w:rsidRPr="000C2536">
      <w:t>785.333</w:t>
    </w:r>
    <w:r w:rsidRPr="000C2536">
      <w:rPr>
        <w:rStyle w:val="HideTWBExt"/>
      </w:rPr>
      <w:t>&lt;/</w:t>
    </w:r>
    <w:proofErr w:type="spellStart"/>
    <w:r w:rsidRPr="000C2536">
      <w:rPr>
        <w:rStyle w:val="HideTWBExt"/>
      </w:rPr>
      <w:t>NoPE</w:t>
    </w:r>
    <w:proofErr w:type="spellEnd"/>
    <w:r w:rsidRPr="000C2536">
      <w:rPr>
        <w:rStyle w:val="HideTWBExt"/>
      </w:rPr>
      <w:t>&gt;&lt;Version&gt;</w:t>
    </w:r>
    <w:r w:rsidRPr="000C2536">
      <w:t>v03-00</w:t>
    </w:r>
    <w:r w:rsidRPr="000C2536">
      <w:rPr>
        <w:rStyle w:val="HideTWBExt"/>
      </w:rPr>
      <w:t>&lt;/Version&gt;</w:t>
    </w:r>
  </w:p>
  <w:p w14:paraId="042241FF" w14:textId="77777777" w:rsidR="009C4089" w:rsidRPr="000C2536" w:rsidRDefault="009C4089" w:rsidP="00FD79F5">
    <w:pPr>
      <w:pStyle w:val="EPFooter2"/>
    </w:pPr>
    <w:r w:rsidRPr="000C2536">
      <w:t>DA</w:t>
    </w:r>
    <w:r w:rsidRPr="000C2536">
      <w:tab/>
    </w:r>
    <w:r w:rsidRPr="000C2536">
      <w:rPr>
        <w:b w:val="0"/>
        <w:i/>
        <w:color w:val="C0C0C0"/>
        <w:sz w:val="22"/>
      </w:rPr>
      <w:t>Forenet i mangfoldighed</w:t>
    </w:r>
    <w:r w:rsidRPr="000C2536">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A42BF" w14:textId="77777777" w:rsidR="00064002" w:rsidRPr="000C253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4C1DE" w14:textId="77777777" w:rsidR="00064002" w:rsidRPr="000C2536"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D3631" w14:textId="77777777" w:rsidR="00064002" w:rsidRPr="000C25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FC28B" w14:textId="77777777" w:rsidR="0084727B" w:rsidRPr="000C2536" w:rsidRDefault="0084727B">
      <w:r w:rsidRPr="000C2536">
        <w:separator/>
      </w:r>
    </w:p>
  </w:footnote>
  <w:footnote w:type="continuationSeparator" w:id="0">
    <w:p w14:paraId="2D7D00CC" w14:textId="77777777" w:rsidR="0084727B" w:rsidRPr="000C2536" w:rsidRDefault="0084727B">
      <w:r w:rsidRPr="000C2536">
        <w:continuationSeparator/>
      </w:r>
    </w:p>
  </w:footnote>
  <w:footnote w:id="1">
    <w:p w14:paraId="139EFC5A" w14:textId="046B2E73" w:rsidR="009C4089" w:rsidRPr="000C2536" w:rsidRDefault="009C4089" w:rsidP="000C2536">
      <w:pPr>
        <w:pStyle w:val="FootnoteText"/>
        <w:ind w:left="567" w:hanging="567"/>
        <w:rPr>
          <w:sz w:val="24"/>
          <w:lang w:val="da-DK"/>
        </w:rPr>
      </w:pPr>
      <w:r w:rsidRPr="000C2536">
        <w:rPr>
          <w:rStyle w:val="FootnoteReference"/>
          <w:sz w:val="24"/>
          <w:lang w:val="da-DK"/>
        </w:rPr>
        <w:footnoteRef/>
      </w:r>
      <w:r w:rsidR="000C2536" w:rsidRPr="000C2536">
        <w:rPr>
          <w:sz w:val="24"/>
          <w:lang w:val="da-DK"/>
        </w:rPr>
        <w:t xml:space="preserve"> </w:t>
      </w:r>
      <w:r w:rsidR="000C2536" w:rsidRPr="000C2536">
        <w:rPr>
          <w:sz w:val="24"/>
          <w:lang w:val="da-DK"/>
        </w:rPr>
        <w:tab/>
      </w:r>
      <w:r w:rsidRPr="000C2536">
        <w:rPr>
          <w:sz w:val="24"/>
          <w:lang w:val="da-DK"/>
        </w:rPr>
        <w:t xml:space="preserve">EUT L 153 af 3.5.2021, s. 48, ELI: </w:t>
      </w:r>
      <w:r>
        <w:fldChar w:fldCharType="begin"/>
      </w:r>
      <w:r w:rsidRPr="006D6BDA">
        <w:rPr>
          <w:lang w:val="da-DK"/>
        </w:rPr>
        <w:instrText>HYPERLINK "http://data.europa.eu/eli/reg/2021/691/oj"</w:instrText>
      </w:r>
      <w:r>
        <w:fldChar w:fldCharType="separate"/>
      </w:r>
      <w:r w:rsidRPr="000C2536">
        <w:rPr>
          <w:rStyle w:val="Hyperlink"/>
          <w:sz w:val="24"/>
          <w:lang w:val="da-DK"/>
        </w:rPr>
        <w:t>http://data.europa.eu/eli/reg/2021/691/oj</w:t>
      </w:r>
      <w:r>
        <w:fldChar w:fldCharType="end"/>
      </w:r>
      <w:r w:rsidRPr="000C2536">
        <w:rPr>
          <w:sz w:val="24"/>
          <w:lang w:val="da-DK"/>
        </w:rPr>
        <w:t>.</w:t>
      </w:r>
    </w:p>
  </w:footnote>
  <w:footnote w:id="2">
    <w:p w14:paraId="5543D007" w14:textId="5045CF07" w:rsidR="009C4089" w:rsidRPr="000C2536" w:rsidRDefault="009C4089" w:rsidP="000C2536">
      <w:pPr>
        <w:pStyle w:val="FootnoteText"/>
        <w:ind w:left="567" w:hanging="567"/>
        <w:rPr>
          <w:sz w:val="24"/>
          <w:lang w:val="da-DK"/>
        </w:rPr>
      </w:pPr>
      <w:r w:rsidRPr="000C2536">
        <w:rPr>
          <w:rStyle w:val="FootnoteReference"/>
          <w:sz w:val="24"/>
          <w:lang w:val="da-DK"/>
        </w:rPr>
        <w:footnoteRef/>
      </w:r>
      <w:r w:rsidR="000C2536" w:rsidRPr="000C2536">
        <w:rPr>
          <w:sz w:val="24"/>
          <w:lang w:val="da-DK"/>
        </w:rPr>
        <w:t xml:space="preserve"> </w:t>
      </w:r>
      <w:r w:rsidR="000C2536" w:rsidRPr="000C2536">
        <w:rPr>
          <w:sz w:val="24"/>
          <w:lang w:val="da-DK"/>
        </w:rPr>
        <w:tab/>
      </w:r>
      <w:r w:rsidRPr="000C2536">
        <w:rPr>
          <w:sz w:val="24"/>
          <w:lang w:val="da-DK"/>
        </w:rPr>
        <w:t xml:space="preserve">EUT L 433 I af 22.12.2020, s. 11, ELI: </w:t>
      </w:r>
      <w:r>
        <w:fldChar w:fldCharType="begin"/>
      </w:r>
      <w:r w:rsidRPr="006D6BDA">
        <w:rPr>
          <w:lang w:val="da-DK"/>
        </w:rPr>
        <w:instrText>HYPERLINK "http://data.europa.eu/eli/reg/2020/2093/oj"</w:instrText>
      </w:r>
      <w:r>
        <w:fldChar w:fldCharType="separate"/>
      </w:r>
      <w:r w:rsidRPr="000C2536">
        <w:rPr>
          <w:rStyle w:val="Hyperlink"/>
          <w:sz w:val="24"/>
          <w:lang w:val="da-DK"/>
        </w:rPr>
        <w:t>http://data.europa.eu/eli/reg/2020/2093/oj</w:t>
      </w:r>
      <w:r>
        <w:fldChar w:fldCharType="end"/>
      </w:r>
      <w:r w:rsidRPr="000C2536">
        <w:rPr>
          <w:sz w:val="24"/>
          <w:lang w:val="da-DK"/>
        </w:rPr>
        <w:t>.</w:t>
      </w:r>
    </w:p>
  </w:footnote>
  <w:footnote w:id="3">
    <w:p w14:paraId="25907363" w14:textId="024786C2" w:rsidR="009C4089" w:rsidRPr="000C2536" w:rsidRDefault="009C4089" w:rsidP="000C2536">
      <w:pPr>
        <w:pStyle w:val="FootnoteText"/>
        <w:ind w:left="567" w:hanging="567"/>
        <w:rPr>
          <w:sz w:val="24"/>
          <w:lang w:val="da-DK"/>
        </w:rPr>
      </w:pPr>
      <w:r w:rsidRPr="000C2536">
        <w:rPr>
          <w:rStyle w:val="FootnoteReference"/>
          <w:sz w:val="24"/>
          <w:lang w:val="da-DK"/>
        </w:rPr>
        <w:footnoteRef/>
      </w:r>
      <w:r w:rsidR="000C2536" w:rsidRPr="000C2536">
        <w:rPr>
          <w:sz w:val="24"/>
          <w:shd w:val="clear" w:color="auto" w:fill="FFFFFF"/>
          <w:lang w:val="da-DK"/>
        </w:rPr>
        <w:t xml:space="preserve"> </w:t>
      </w:r>
      <w:r w:rsidR="000C2536" w:rsidRPr="000C2536">
        <w:rPr>
          <w:sz w:val="24"/>
          <w:shd w:val="clear" w:color="auto" w:fill="FFFFFF"/>
          <w:lang w:val="da-DK"/>
        </w:rPr>
        <w:tab/>
      </w:r>
      <w:r w:rsidRPr="000C2536">
        <w:rPr>
          <w:sz w:val="24"/>
          <w:shd w:val="clear" w:color="auto" w:fill="FFFFFF"/>
          <w:lang w:val="da-DK"/>
        </w:rPr>
        <w:t xml:space="preserve">Rådets forordning (EU, </w:t>
      </w:r>
      <w:proofErr w:type="spellStart"/>
      <w:r w:rsidRPr="000C2536">
        <w:rPr>
          <w:sz w:val="24"/>
          <w:shd w:val="clear" w:color="auto" w:fill="FFFFFF"/>
          <w:lang w:val="da-DK"/>
        </w:rPr>
        <w:t>Euratom</w:t>
      </w:r>
      <w:proofErr w:type="spellEnd"/>
      <w:r w:rsidRPr="000C2536">
        <w:rPr>
          <w:sz w:val="24"/>
          <w:shd w:val="clear" w:color="auto" w:fill="FFFFFF"/>
          <w:lang w:val="da-DK"/>
        </w:rPr>
        <w:t xml:space="preserve">) 2024/765 af 29. februar 2024 om ændring af forordning (EU, </w:t>
      </w:r>
      <w:proofErr w:type="spellStart"/>
      <w:r w:rsidRPr="000C2536">
        <w:rPr>
          <w:sz w:val="24"/>
          <w:shd w:val="clear" w:color="auto" w:fill="FFFFFF"/>
          <w:lang w:val="da-DK"/>
        </w:rPr>
        <w:t>Euratom</w:t>
      </w:r>
      <w:proofErr w:type="spellEnd"/>
      <w:r w:rsidRPr="000C2536">
        <w:rPr>
          <w:sz w:val="24"/>
          <w:shd w:val="clear" w:color="auto" w:fill="FFFFFF"/>
          <w:lang w:val="da-DK"/>
        </w:rPr>
        <w:t>) 2020/2093 om fastlæggelse af den flerårige finansielle ramme for årene 2021-2027 (EUT L, 2024/765, 29.2.2024, ELI:</w:t>
      </w:r>
      <w:r w:rsidRPr="000C2536">
        <w:rPr>
          <w:color w:val="333333"/>
          <w:sz w:val="24"/>
          <w:shd w:val="clear" w:color="auto" w:fill="FFFFFF"/>
          <w:lang w:val="da-DK"/>
        </w:rPr>
        <w:t xml:space="preserve"> </w:t>
      </w:r>
      <w:r>
        <w:fldChar w:fldCharType="begin"/>
      </w:r>
      <w:r w:rsidRPr="006D6BDA">
        <w:rPr>
          <w:lang w:val="da-DK"/>
        </w:rPr>
        <w:instrText>HYPERLINK "http://data.europa.eu/eli/reg/2024/765/oj"</w:instrText>
      </w:r>
      <w:r>
        <w:fldChar w:fldCharType="separate"/>
      </w:r>
      <w:r w:rsidRPr="000C2536">
        <w:rPr>
          <w:rStyle w:val="Hyperlink"/>
          <w:sz w:val="24"/>
          <w:shd w:val="clear" w:color="auto" w:fill="FFFFFF"/>
          <w:lang w:val="da-DK"/>
        </w:rPr>
        <w:t>http://data.europa.eu/eli/reg/2024/765/oj</w:t>
      </w:r>
      <w:r>
        <w:fldChar w:fldCharType="end"/>
      </w:r>
      <w:r w:rsidRPr="000C2536">
        <w:rPr>
          <w:i/>
          <w:color w:val="333333"/>
          <w:sz w:val="24"/>
          <w:shd w:val="clear" w:color="auto" w:fill="FFFFFF"/>
          <w:lang w:val="da-DK"/>
        </w:rPr>
        <w:t>).</w:t>
      </w:r>
    </w:p>
  </w:footnote>
  <w:footnote w:id="4">
    <w:p w14:paraId="31A76473" w14:textId="3F41E2D9" w:rsidR="009C4089" w:rsidRPr="000C2536" w:rsidRDefault="009C4089" w:rsidP="000C2536">
      <w:pPr>
        <w:pStyle w:val="FootnoteText"/>
        <w:ind w:left="567" w:hanging="567"/>
        <w:rPr>
          <w:sz w:val="24"/>
          <w:lang w:val="da-DK"/>
        </w:rPr>
      </w:pPr>
      <w:r w:rsidRPr="000C2536">
        <w:rPr>
          <w:rStyle w:val="FootnoteReference"/>
          <w:sz w:val="24"/>
          <w:lang w:val="da-DK"/>
        </w:rPr>
        <w:footnoteRef/>
      </w:r>
      <w:r w:rsidR="000C2536" w:rsidRPr="000C2536">
        <w:rPr>
          <w:sz w:val="24"/>
          <w:lang w:val="da-DK"/>
        </w:rPr>
        <w:t xml:space="preserve"> </w:t>
      </w:r>
      <w:r w:rsidR="000C2536" w:rsidRPr="000C2536">
        <w:rPr>
          <w:sz w:val="24"/>
          <w:lang w:val="da-DK"/>
        </w:rPr>
        <w:tab/>
      </w:r>
      <w:r w:rsidRPr="000C2536">
        <w:rPr>
          <w:sz w:val="24"/>
          <w:lang w:val="da-DK"/>
        </w:rPr>
        <w:t xml:space="preserve">EUT L 433 I af 22.12.2020, s. 28, ELI: </w:t>
      </w:r>
      <w:r>
        <w:fldChar w:fldCharType="begin"/>
      </w:r>
      <w:r w:rsidRPr="006D6BDA">
        <w:rPr>
          <w:lang w:val="da-DK"/>
        </w:rPr>
        <w:instrText>HYPERLINK "http://data.europa.eu/eli/agree_interinstit/2020/1222/oj"</w:instrText>
      </w:r>
      <w:r>
        <w:fldChar w:fldCharType="separate"/>
      </w:r>
      <w:r w:rsidRPr="000C2536">
        <w:rPr>
          <w:rStyle w:val="Hyperlink"/>
          <w:sz w:val="24"/>
          <w:lang w:val="da-DK"/>
        </w:rPr>
        <w:t>http://data.europa.eu/eli/agree_interinstit/2020/1222/oj</w:t>
      </w:r>
      <w:r>
        <w:fldChar w:fldCharType="end"/>
      </w:r>
      <w:r w:rsidRPr="000C2536">
        <w:rPr>
          <w:sz w:val="24"/>
          <w:lang w:val="da-DK"/>
        </w:rPr>
        <w:t>.</w:t>
      </w:r>
    </w:p>
  </w:footnote>
  <w:footnote w:id="5">
    <w:p w14:paraId="7DC54E30" w14:textId="2468E5CB" w:rsidR="009C4089" w:rsidRPr="000C2536" w:rsidRDefault="009C4089" w:rsidP="000C2536">
      <w:pPr>
        <w:pStyle w:val="FootnoteText"/>
        <w:ind w:left="567" w:hanging="567"/>
        <w:rPr>
          <w:sz w:val="24"/>
          <w:lang w:val="da-DK"/>
        </w:rPr>
      </w:pPr>
      <w:r w:rsidRPr="000C2536">
        <w:rPr>
          <w:rStyle w:val="FootnoteReference"/>
          <w:sz w:val="24"/>
          <w:lang w:val="da-DK"/>
        </w:rPr>
        <w:footnoteRef/>
      </w:r>
      <w:r w:rsidR="000C2536" w:rsidRPr="000C2536">
        <w:rPr>
          <w:sz w:val="24"/>
          <w:lang w:val="da-DK"/>
        </w:rPr>
        <w:t xml:space="preserve"> </w:t>
      </w:r>
      <w:r w:rsidR="000C2536" w:rsidRPr="000C2536">
        <w:rPr>
          <w:sz w:val="24"/>
          <w:lang w:val="da-DK"/>
        </w:rPr>
        <w:tab/>
      </w:r>
      <w:r w:rsidRPr="000C2536">
        <w:rPr>
          <w:sz w:val="24"/>
          <w:lang w:val="da-DK"/>
        </w:rPr>
        <w:t>Som omhandlet i EGF-forordningens artikel 3.</w:t>
      </w:r>
    </w:p>
  </w:footnote>
  <w:footnote w:id="6">
    <w:p w14:paraId="15559368" w14:textId="42D4CBBB" w:rsidR="009C4089" w:rsidRPr="000C2536" w:rsidRDefault="009C4089" w:rsidP="000C2536">
      <w:pPr>
        <w:pStyle w:val="FootnoteText"/>
        <w:ind w:left="567" w:hanging="567"/>
        <w:rPr>
          <w:sz w:val="24"/>
          <w:lang w:val="da-DK"/>
        </w:rPr>
      </w:pPr>
      <w:r w:rsidRPr="000C2536">
        <w:rPr>
          <w:rStyle w:val="FootnoteReference"/>
          <w:sz w:val="24"/>
          <w:lang w:val="da-DK"/>
        </w:rPr>
        <w:footnoteRef/>
      </w:r>
      <w:r w:rsidR="000C2536" w:rsidRPr="000C2536">
        <w:rPr>
          <w:sz w:val="24"/>
          <w:lang w:val="da-DK"/>
        </w:rPr>
        <w:t xml:space="preserve"> </w:t>
      </w:r>
      <w:r w:rsidR="000C2536" w:rsidRPr="000C2536">
        <w:rPr>
          <w:sz w:val="24"/>
          <w:lang w:val="da-DK"/>
        </w:rPr>
        <w:tab/>
      </w:r>
      <w:r w:rsidRPr="000C2536">
        <w:rPr>
          <w:sz w:val="24"/>
          <w:lang w:val="da-DK"/>
        </w:rPr>
        <w:t>FFR-forordningens artikel 8.</w:t>
      </w:r>
    </w:p>
  </w:footnote>
  <w:footnote w:id="7">
    <w:p w14:paraId="0F04BBF3" w14:textId="14A7E5BB" w:rsidR="009C4089" w:rsidRPr="000C2536" w:rsidRDefault="009C4089" w:rsidP="000C2536">
      <w:pPr>
        <w:pStyle w:val="FootnoteText"/>
        <w:ind w:left="567" w:hanging="567"/>
        <w:rPr>
          <w:sz w:val="24"/>
          <w:lang w:val="da-DK"/>
        </w:rPr>
      </w:pPr>
      <w:r w:rsidRPr="000C2536">
        <w:rPr>
          <w:rStyle w:val="FootnoteReference"/>
          <w:sz w:val="24"/>
          <w:lang w:val="da-DK"/>
        </w:rPr>
        <w:footnoteRef/>
      </w:r>
      <w:r w:rsidR="000C2536" w:rsidRPr="000C2536">
        <w:rPr>
          <w:sz w:val="24"/>
          <w:lang w:val="da-DK"/>
        </w:rPr>
        <w:t xml:space="preserve"> </w:t>
      </w:r>
      <w:r w:rsidR="000C2536" w:rsidRPr="000C2536">
        <w:rPr>
          <w:sz w:val="24"/>
          <w:lang w:val="da-DK"/>
        </w:rPr>
        <w:tab/>
      </w:r>
      <w:hyperlink r:id="rId1" w:history="1">
        <w:r w:rsidRPr="000C2536">
          <w:rPr>
            <w:rStyle w:val="Hyperlink"/>
            <w:sz w:val="24"/>
            <w:lang w:val="da-DK"/>
          </w:rPr>
          <w:t xml:space="preserve">National Bank of </w:t>
        </w:r>
        <w:proofErr w:type="spellStart"/>
        <w:r w:rsidRPr="000C2536">
          <w:rPr>
            <w:rStyle w:val="Hyperlink"/>
            <w:sz w:val="24"/>
            <w:lang w:val="da-DK"/>
          </w:rPr>
          <w:t>Belgium</w:t>
        </w:r>
        <w:proofErr w:type="spellEnd"/>
        <w:r w:rsidRPr="000C2536">
          <w:rPr>
            <w:rStyle w:val="Hyperlink"/>
            <w:sz w:val="24"/>
            <w:lang w:val="da-DK"/>
          </w:rPr>
          <w:t>.</w:t>
        </w:r>
      </w:hyperlink>
      <w:hyperlink r:id="rId2" w:history="1">
        <w:r w:rsidRPr="000C2536">
          <w:rPr>
            <w:rStyle w:val="Hyperlink"/>
            <w:sz w:val="24"/>
            <w:lang w:val="da-DK"/>
          </w:rPr>
          <w:t xml:space="preserve"> </w:t>
        </w:r>
        <w:proofErr w:type="spellStart"/>
        <w:r w:rsidRPr="000C2536">
          <w:rPr>
            <w:rStyle w:val="Hyperlink"/>
            <w:sz w:val="24"/>
            <w:lang w:val="da-DK"/>
          </w:rPr>
          <w:t>Economic</w:t>
        </w:r>
        <w:proofErr w:type="spellEnd"/>
        <w:r w:rsidRPr="000C2536">
          <w:rPr>
            <w:rStyle w:val="Hyperlink"/>
            <w:sz w:val="24"/>
            <w:lang w:val="da-DK"/>
          </w:rPr>
          <w:t xml:space="preserve"> Review 2024</w:t>
        </w:r>
      </w:hyperlink>
      <w:r w:rsidRPr="000C2536">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460D2" w14:textId="77777777" w:rsidR="009C4089" w:rsidRPr="000C2536" w:rsidRDefault="009C40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62F25" w14:textId="77777777" w:rsidR="009C4089" w:rsidRPr="000C2536" w:rsidRDefault="009C40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78FAF" w14:textId="77777777" w:rsidR="009C4089" w:rsidRPr="000C2536" w:rsidRDefault="009C408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2C2C5" w14:textId="77777777" w:rsidR="00064002" w:rsidRPr="000C2536"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5E025" w14:textId="77777777" w:rsidR="00064002" w:rsidRPr="000C2536"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DD3CF" w14:textId="77777777" w:rsidR="00064002" w:rsidRPr="000C25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02342514">
    <w:abstractNumId w:val="9"/>
  </w:num>
  <w:num w:numId="2" w16cid:durableId="401680430">
    <w:abstractNumId w:val="9"/>
  </w:num>
  <w:num w:numId="3" w16cid:durableId="36054942">
    <w:abstractNumId w:val="7"/>
  </w:num>
  <w:num w:numId="4" w16cid:durableId="426929898">
    <w:abstractNumId w:val="7"/>
  </w:num>
  <w:num w:numId="5" w16cid:durableId="1053819317">
    <w:abstractNumId w:val="6"/>
  </w:num>
  <w:num w:numId="6" w16cid:durableId="1889222785">
    <w:abstractNumId w:val="6"/>
  </w:num>
  <w:num w:numId="7" w16cid:durableId="521287496">
    <w:abstractNumId w:val="5"/>
  </w:num>
  <w:num w:numId="8" w16cid:durableId="1277905187">
    <w:abstractNumId w:val="5"/>
  </w:num>
  <w:num w:numId="9" w16cid:durableId="845634109">
    <w:abstractNumId w:val="4"/>
  </w:num>
  <w:num w:numId="10" w16cid:durableId="612514583">
    <w:abstractNumId w:val="4"/>
  </w:num>
  <w:num w:numId="11" w16cid:durableId="1119644282">
    <w:abstractNumId w:val="8"/>
  </w:num>
  <w:num w:numId="12" w16cid:durableId="550309005">
    <w:abstractNumId w:val="8"/>
  </w:num>
  <w:num w:numId="13" w16cid:durableId="1195927719">
    <w:abstractNumId w:val="3"/>
  </w:num>
  <w:num w:numId="14" w16cid:durableId="1013727406">
    <w:abstractNumId w:val="3"/>
  </w:num>
  <w:num w:numId="15" w16cid:durableId="1312751738">
    <w:abstractNumId w:val="2"/>
  </w:num>
  <w:num w:numId="16" w16cid:durableId="367295052">
    <w:abstractNumId w:val="2"/>
  </w:num>
  <w:num w:numId="17" w16cid:durableId="133107148">
    <w:abstractNumId w:val="1"/>
  </w:num>
  <w:num w:numId="18" w16cid:durableId="341126071">
    <w:abstractNumId w:val="1"/>
  </w:num>
  <w:num w:numId="19" w16cid:durableId="756484788">
    <w:abstractNumId w:val="0"/>
  </w:num>
  <w:num w:numId="20" w16cid:durableId="579874040">
    <w:abstractNumId w:val="0"/>
  </w:num>
  <w:num w:numId="21" w16cid:durableId="1013455795">
    <w:abstractNumId w:val="9"/>
  </w:num>
  <w:num w:numId="22" w16cid:durableId="727650422">
    <w:abstractNumId w:val="7"/>
  </w:num>
  <w:num w:numId="23" w16cid:durableId="499547457">
    <w:abstractNumId w:val="6"/>
  </w:num>
  <w:num w:numId="24" w16cid:durableId="2022583030">
    <w:abstractNumId w:val="5"/>
  </w:num>
  <w:num w:numId="25" w16cid:durableId="1806269593">
    <w:abstractNumId w:val="4"/>
  </w:num>
  <w:num w:numId="26" w16cid:durableId="2109423988">
    <w:abstractNumId w:val="8"/>
  </w:num>
  <w:num w:numId="27" w16cid:durableId="1758087966">
    <w:abstractNumId w:val="3"/>
  </w:num>
  <w:num w:numId="28" w16cid:durableId="1558935275">
    <w:abstractNumId w:val="2"/>
  </w:num>
  <w:num w:numId="29" w16cid:durableId="1512795925">
    <w:abstractNumId w:val="1"/>
  </w:num>
  <w:num w:numId="30" w16cid:durableId="2097096100">
    <w:abstractNumId w:val="0"/>
  </w:num>
  <w:num w:numId="31" w16cid:durableId="342244240">
    <w:abstractNumId w:val="9"/>
  </w:num>
  <w:num w:numId="32" w16cid:durableId="1925802766">
    <w:abstractNumId w:val="7"/>
  </w:num>
  <w:num w:numId="33" w16cid:durableId="1388185596">
    <w:abstractNumId w:val="6"/>
  </w:num>
  <w:num w:numId="34" w16cid:durableId="1848402340">
    <w:abstractNumId w:val="5"/>
  </w:num>
  <w:num w:numId="35" w16cid:durableId="1394621940">
    <w:abstractNumId w:val="4"/>
  </w:num>
  <w:num w:numId="36" w16cid:durableId="1020199277">
    <w:abstractNumId w:val="8"/>
  </w:num>
  <w:num w:numId="37" w16cid:durableId="623003843">
    <w:abstractNumId w:val="3"/>
  </w:num>
  <w:num w:numId="38" w16cid:durableId="298270812">
    <w:abstractNumId w:val="2"/>
  </w:num>
  <w:num w:numId="39" w16cid:durableId="1270965473">
    <w:abstractNumId w:val="1"/>
  </w:num>
  <w:num w:numId="40" w16cid:durableId="254215459">
    <w:abstractNumId w:val="0"/>
  </w:num>
  <w:num w:numId="41" w16cid:durableId="730426931">
    <w:abstractNumId w:val="10"/>
  </w:num>
  <w:num w:numId="42" w16cid:durableId="1280644299">
    <w:abstractNumId w:val="10"/>
  </w:num>
  <w:num w:numId="43" w16cid:durableId="1476339721">
    <w:abstractNumId w:val="10"/>
  </w:num>
  <w:num w:numId="44" w16cid:durableId="4701728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4/2026"/>
    <w:docVar w:name="dvlangue" w:val="DA"/>
    <w:docVar w:name="dvnumam" w:val="0"/>
    <w:docVar w:name="dvpe" w:val="785.333"/>
    <w:docVar w:name="dvrapporteur" w:val="Ordfører: "/>
    <w:docVar w:name="dvtitre" w:val="Europa-Parlamentets beslutning af xx.xx 2026 om forslag til Europa-Parlamentets og Rådets afgørelse om mobilisering af Den Europæiske Fond for Tilpasning til Globaliseringen for Afskedigede Arbejdstagere på baggrund af en ansøgning fra Belgien (EGF/2025/008/BE/Liberty)(COM(2026)0004 – C10-0062/2026 – 2026/0066(BUD))"/>
  </w:docVars>
  <w:rsids>
    <w:rsidRoot w:val="0084727B"/>
    <w:rsid w:val="00002272"/>
    <w:rsid w:val="00064002"/>
    <w:rsid w:val="000677B9"/>
    <w:rsid w:val="000831BA"/>
    <w:rsid w:val="000A42CC"/>
    <w:rsid w:val="000C2536"/>
    <w:rsid w:val="000E7DD9"/>
    <w:rsid w:val="0010095E"/>
    <w:rsid w:val="00125B37"/>
    <w:rsid w:val="00187494"/>
    <w:rsid w:val="0019396A"/>
    <w:rsid w:val="001F32AE"/>
    <w:rsid w:val="001F6A6D"/>
    <w:rsid w:val="002767FF"/>
    <w:rsid w:val="002B18FE"/>
    <w:rsid w:val="002B5493"/>
    <w:rsid w:val="002B7593"/>
    <w:rsid w:val="00343214"/>
    <w:rsid w:val="00361C00"/>
    <w:rsid w:val="00395FA1"/>
    <w:rsid w:val="003B206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5C9E"/>
    <w:rsid w:val="005F1B17"/>
    <w:rsid w:val="006037C0"/>
    <w:rsid w:val="006631B6"/>
    <w:rsid w:val="00680577"/>
    <w:rsid w:val="006B11FB"/>
    <w:rsid w:val="006D6BDA"/>
    <w:rsid w:val="006F74FA"/>
    <w:rsid w:val="00731ADD"/>
    <w:rsid w:val="00734777"/>
    <w:rsid w:val="00747932"/>
    <w:rsid w:val="00751A4A"/>
    <w:rsid w:val="00756632"/>
    <w:rsid w:val="00762C74"/>
    <w:rsid w:val="00786EC0"/>
    <w:rsid w:val="007D1690"/>
    <w:rsid w:val="007E22AD"/>
    <w:rsid w:val="00817416"/>
    <w:rsid w:val="00842779"/>
    <w:rsid w:val="0084727B"/>
    <w:rsid w:val="00865F67"/>
    <w:rsid w:val="00881A7B"/>
    <w:rsid w:val="008840E5"/>
    <w:rsid w:val="00887B3E"/>
    <w:rsid w:val="008C2AC6"/>
    <w:rsid w:val="008F1A24"/>
    <w:rsid w:val="00930C23"/>
    <w:rsid w:val="0093193B"/>
    <w:rsid w:val="009509D8"/>
    <w:rsid w:val="00950B64"/>
    <w:rsid w:val="00981893"/>
    <w:rsid w:val="009C4089"/>
    <w:rsid w:val="00A1687D"/>
    <w:rsid w:val="00A43E52"/>
    <w:rsid w:val="00A4678D"/>
    <w:rsid w:val="00A778C7"/>
    <w:rsid w:val="00A80378"/>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18D5"/>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2CDC5"/>
  <w15:chartTrackingRefBased/>
  <w15:docId w15:val="{38A82630-B151-46A5-921A-776946B0C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C4089"/>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9C4089"/>
    <w:pPr>
      <w:keepNext/>
      <w:spacing w:after="480"/>
      <w:jc w:val="center"/>
    </w:pPr>
    <w:rPr>
      <w:rFonts w:ascii="Arial" w:hAnsi="Arial" w:cs="Arial"/>
      <w:b/>
    </w:rPr>
  </w:style>
  <w:style w:type="paragraph" w:customStyle="1" w:styleId="NormalHanging12a">
    <w:name w:val="NormalHanging12a"/>
    <w:basedOn w:val="Normal"/>
    <w:link w:val="NormalHanging12aChar"/>
    <w:rsid w:val="009C4089"/>
    <w:pPr>
      <w:spacing w:after="240"/>
      <w:ind w:left="567" w:hanging="567"/>
    </w:pPr>
  </w:style>
  <w:style w:type="paragraph" w:styleId="Header">
    <w:name w:val="header"/>
    <w:basedOn w:val="Normal"/>
    <w:link w:val="HeaderChar"/>
    <w:rsid w:val="009C4089"/>
    <w:pPr>
      <w:tabs>
        <w:tab w:val="center" w:pos="4513"/>
        <w:tab w:val="right" w:pos="9026"/>
      </w:tabs>
    </w:pPr>
  </w:style>
  <w:style w:type="character" w:customStyle="1" w:styleId="HeaderChar">
    <w:name w:val="Header Char"/>
    <w:basedOn w:val="DefaultParagraphFont"/>
    <w:link w:val="Header"/>
    <w:rsid w:val="009C4089"/>
    <w:rPr>
      <w:sz w:val="24"/>
      <w:lang w:val="da-DK"/>
    </w:rPr>
  </w:style>
  <w:style w:type="paragraph" w:customStyle="1" w:styleId="EPFooter">
    <w:name w:val="EPFooter"/>
    <w:basedOn w:val="Normal"/>
    <w:rsid w:val="009C4089"/>
    <w:pPr>
      <w:tabs>
        <w:tab w:val="center" w:pos="4535"/>
        <w:tab w:val="right" w:pos="9071"/>
      </w:tabs>
      <w:spacing w:before="240" w:after="240"/>
    </w:pPr>
    <w:rPr>
      <w:color w:val="010000"/>
      <w:sz w:val="22"/>
    </w:rPr>
  </w:style>
  <w:style w:type="paragraph" w:customStyle="1" w:styleId="EPComma">
    <w:name w:val="EPComma"/>
    <w:basedOn w:val="Normal"/>
    <w:rsid w:val="009C4089"/>
    <w:pPr>
      <w:spacing w:before="480" w:after="240"/>
    </w:pPr>
  </w:style>
  <w:style w:type="character" w:styleId="Hyperlink">
    <w:name w:val="Hyperlink"/>
    <w:basedOn w:val="DefaultParagraphFont"/>
    <w:uiPriority w:val="99"/>
    <w:rsid w:val="009C4089"/>
    <w:rPr>
      <w:color w:val="0563C1" w:themeColor="hyperlink"/>
      <w:u w:val="single"/>
    </w:rPr>
  </w:style>
  <w:style w:type="character" w:customStyle="1" w:styleId="NormalHanging12aChar">
    <w:name w:val="NormalHanging12a Char"/>
    <w:basedOn w:val="DefaultParagraphFont"/>
    <w:link w:val="NormalHanging12a"/>
    <w:locked/>
    <w:rsid w:val="009C4089"/>
    <w:rPr>
      <w:sz w:val="24"/>
      <w:lang w:val="da-DK"/>
    </w:rPr>
  </w:style>
  <w:style w:type="paragraph" w:customStyle="1" w:styleId="Institutionquisigne">
    <w:name w:val="Institution qui signe"/>
    <w:basedOn w:val="Normal"/>
    <w:next w:val="Personnequisigne"/>
    <w:rsid w:val="009C4089"/>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9C4089"/>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9C408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9C408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9C4089"/>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9C4089"/>
    <w:pPr>
      <w:widowControl/>
      <w:tabs>
        <w:tab w:val="left" w:pos="4252"/>
      </w:tabs>
    </w:pPr>
    <w:rPr>
      <w:rFonts w:eastAsiaTheme="minorHAnsi"/>
      <w:i/>
      <w:szCs w:val="22"/>
      <w:lang w:eastAsia="en-US"/>
    </w:rPr>
  </w:style>
  <w:style w:type="paragraph" w:customStyle="1" w:styleId="ManualConsidrant">
    <w:name w:val="Manual Considérant"/>
    <w:basedOn w:val="Normal"/>
    <w:rsid w:val="009C4089"/>
    <w:pPr>
      <w:widowControl/>
      <w:spacing w:before="120" w:after="120"/>
      <w:ind w:left="709" w:hanging="709"/>
      <w:jc w:val="both"/>
    </w:pPr>
    <w:rPr>
      <w:rFonts w:eastAsiaTheme="minorHAnsi"/>
      <w:szCs w:val="22"/>
      <w:lang w:eastAsia="en-US"/>
    </w:rPr>
  </w:style>
  <w:style w:type="character" w:styleId="CommentReference">
    <w:name w:val="annotation reference"/>
    <w:uiPriority w:val="99"/>
    <w:unhideWhenUsed/>
    <w:rsid w:val="009C4089"/>
    <w:rPr>
      <w:rFonts w:ascii="Times New Roman" w:hAnsi="Times New Roman" w:cs="Times New Roman" w:hint="default"/>
      <w:sz w:val="16"/>
      <w:szCs w:val="16"/>
    </w:rPr>
  </w:style>
  <w:style w:type="character" w:customStyle="1" w:styleId="PageHeadingChar">
    <w:name w:val="PageHeading Char"/>
    <w:basedOn w:val="DefaultParagraphFont"/>
    <w:link w:val="PageHeading"/>
    <w:locked/>
    <w:rsid w:val="009C4089"/>
    <w:rPr>
      <w:rFonts w:ascii="Arial" w:hAnsi="Arial" w:cs="Arial"/>
      <w:b/>
      <w:sz w:val="24"/>
      <w:lang w:val="da-DK"/>
    </w:rPr>
  </w:style>
  <w:style w:type="paragraph" w:styleId="Revision">
    <w:name w:val="Revision"/>
    <w:hidden/>
    <w:uiPriority w:val="99"/>
    <w:semiHidden/>
    <w:rsid w:val="005E5C9E"/>
    <w:rPr>
      <w:sz w:val="24"/>
      <w:lang w:val="da-DK"/>
    </w:rPr>
  </w:style>
  <w:style w:type="paragraph" w:styleId="CommentText">
    <w:name w:val="annotation text"/>
    <w:basedOn w:val="Normal"/>
    <w:link w:val="CommentTextChar"/>
    <w:rsid w:val="008F1A24"/>
    <w:rPr>
      <w:sz w:val="20"/>
    </w:rPr>
  </w:style>
  <w:style w:type="character" w:customStyle="1" w:styleId="CommentTextChar">
    <w:name w:val="Comment Text Char"/>
    <w:basedOn w:val="DefaultParagraphFont"/>
    <w:link w:val="CommentText"/>
    <w:rsid w:val="008F1A24"/>
    <w:rPr>
      <w:lang w:val="da-DK"/>
    </w:rPr>
  </w:style>
  <w:style w:type="paragraph" w:styleId="CommentSubject">
    <w:name w:val="annotation subject"/>
    <w:basedOn w:val="CommentText"/>
    <w:next w:val="CommentText"/>
    <w:link w:val="CommentSubjectChar"/>
    <w:rsid w:val="008F1A24"/>
    <w:rPr>
      <w:b/>
      <w:bCs/>
    </w:rPr>
  </w:style>
  <w:style w:type="character" w:customStyle="1" w:styleId="CommentSubjectChar">
    <w:name w:val="Comment Subject Char"/>
    <w:basedOn w:val="CommentTextChar"/>
    <w:link w:val="CommentSubject"/>
    <w:rsid w:val="008F1A24"/>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nbb.be/doc/ts/publications/economicreview/2024/ecorevi2024_h02.pdf" TargetMode="External"/><Relationship Id="rId1" Type="http://schemas.openxmlformats.org/officeDocument/2006/relationships/hyperlink" Target="https://www.nbb.be/doc/ts/publications/economicreview/2024/ecorevi2024_h0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1652</Words>
  <Characters>10707</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2026-07-09T09:04:00Z</dcterms:created>
  <dcterms:modified xsi:type="dcterms:W3CDTF">2026-07-09T09:04:00Z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P10_TA(2026)0145_</vt:lpwstr>
  </property>
  <property fmtid="{D5CDD505-2E9C-101B-9397-08002B2CF9AE}" pid="4" name="&lt;Type&gt;">
    <vt:lpwstr>RR</vt:lpwstr>
  </property>
</Properties>
</file>