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76E5" w14:paraId="737F5899" w14:textId="77777777" w:rsidTr="0010095E">
        <w:trPr>
          <w:trHeight w:hRule="exact" w:val="1418"/>
        </w:trPr>
        <w:tc>
          <w:tcPr>
            <w:tcW w:w="6804" w:type="dxa"/>
            <w:shd w:val="clear" w:color="auto" w:fill="auto"/>
            <w:vAlign w:val="center"/>
          </w:tcPr>
          <w:p w14:paraId="2D05AA33" w14:textId="77777777" w:rsidR="00751A4A" w:rsidRPr="001D76E5" w:rsidRDefault="004B3F41" w:rsidP="0010095E">
            <w:pPr>
              <w:pStyle w:val="EPName"/>
            </w:pPr>
            <w:r w:rsidRPr="001D76E5">
              <w:t>Euroopa Parlament</w:t>
            </w:r>
          </w:p>
          <w:p w14:paraId="4D5F41CA" w14:textId="77777777" w:rsidR="00751A4A" w:rsidRPr="001D76E5" w:rsidRDefault="005F1B17" w:rsidP="005F1B17">
            <w:pPr>
              <w:pStyle w:val="EPTerm"/>
              <w:rPr>
                <w:rStyle w:val="HideTWBExt"/>
                <w:noProof w:val="0"/>
                <w:vanish w:val="0"/>
                <w:color w:val="auto"/>
              </w:rPr>
            </w:pPr>
            <w:r w:rsidRPr="001D76E5">
              <w:t>2024</w:t>
            </w:r>
            <w:r w:rsidR="00817416" w:rsidRPr="001D76E5">
              <w:t>-202</w:t>
            </w:r>
            <w:r w:rsidRPr="001D76E5">
              <w:t>9</w:t>
            </w:r>
          </w:p>
        </w:tc>
        <w:tc>
          <w:tcPr>
            <w:tcW w:w="2268" w:type="dxa"/>
            <w:shd w:val="clear" w:color="auto" w:fill="auto"/>
          </w:tcPr>
          <w:p w14:paraId="5A6BC55D" w14:textId="77777777" w:rsidR="00751A4A" w:rsidRPr="001D76E5" w:rsidRDefault="00187494" w:rsidP="0010095E">
            <w:pPr>
              <w:pStyle w:val="EPLogo"/>
            </w:pPr>
            <w:r w:rsidRPr="001D76E5">
              <w:rPr>
                <w:noProof/>
                <w:lang w:eastAsia="ja-JP"/>
              </w:rPr>
              <w:drawing>
                <wp:inline distT="0" distB="0" distL="0" distR="0" wp14:anchorId="1069328B" wp14:editId="2EC4AC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76E149" w14:textId="77777777" w:rsidR="00D058B8" w:rsidRPr="001D76E5" w:rsidRDefault="00D058B8" w:rsidP="004C5D52">
      <w:pPr>
        <w:pStyle w:val="LineTop"/>
      </w:pPr>
    </w:p>
    <w:p w14:paraId="26ADA987" w14:textId="77777777" w:rsidR="00680577" w:rsidRPr="001D76E5" w:rsidRDefault="004B3F41" w:rsidP="00680577">
      <w:pPr>
        <w:pStyle w:val="EPBodyTA1"/>
      </w:pPr>
      <w:r w:rsidRPr="001D76E5">
        <w:t>VASTUVÕETUD TEKSTID</w:t>
      </w:r>
    </w:p>
    <w:p w14:paraId="6F4D6B32" w14:textId="77777777" w:rsidR="00D058B8" w:rsidRPr="001D76E5" w:rsidRDefault="00D058B8" w:rsidP="00D058B8">
      <w:pPr>
        <w:pStyle w:val="LineBottom"/>
      </w:pPr>
    </w:p>
    <w:p w14:paraId="08163E20" w14:textId="2AAFFF13" w:rsidR="004B3F41" w:rsidRPr="001D76E5" w:rsidRDefault="004B3F41" w:rsidP="004B3F41">
      <w:pPr>
        <w:pStyle w:val="ATHeading1"/>
      </w:pPr>
      <w:bookmarkStart w:id="0" w:name="TANumber"/>
      <w:r w:rsidRPr="001D76E5">
        <w:t>P10_TA(2026)0</w:t>
      </w:r>
      <w:r w:rsidR="00DD2E14" w:rsidRPr="001D76E5">
        <w:t>145</w:t>
      </w:r>
      <w:bookmarkEnd w:id="0"/>
    </w:p>
    <w:p w14:paraId="585A06E6" w14:textId="77777777" w:rsidR="004B3F41" w:rsidRPr="001D76E5" w:rsidRDefault="004B3F41" w:rsidP="004B3F41">
      <w:pPr>
        <w:pStyle w:val="ATHeading2"/>
      </w:pPr>
      <w:bookmarkStart w:id="1" w:name="title"/>
      <w:r w:rsidRPr="001D76E5">
        <w:t>Koondatud töötajate toetuseks loodud Globaliseerumisega Kohanemise Euroopa Fondi kasutuselevõtmine (Belgia taotlus – EGF/2025/008 BE/Liberty)</w:t>
      </w:r>
    </w:p>
    <w:p w14:paraId="10C78504" w14:textId="77777777" w:rsidR="004B3F41" w:rsidRPr="001D76E5" w:rsidRDefault="004B3F41" w:rsidP="004B3F41">
      <w:pPr>
        <w:rPr>
          <w:i/>
          <w:vanish/>
        </w:rPr>
      </w:pPr>
      <w:r w:rsidRPr="001D76E5">
        <w:rPr>
          <w:i/>
        </w:rPr>
        <w:fldChar w:fldCharType="begin"/>
      </w:r>
      <w:r w:rsidRPr="001D76E5">
        <w:rPr>
          <w:i/>
        </w:rPr>
        <w:instrText xml:space="preserve"> TC"(</w:instrText>
      </w:r>
      <w:bookmarkStart w:id="2" w:name="DocNumber"/>
      <w:r w:rsidRPr="001D76E5">
        <w:rPr>
          <w:i/>
        </w:rPr>
        <w:instrText>A10-0084/2026</w:instrText>
      </w:r>
      <w:bookmarkEnd w:id="2"/>
      <w:r w:rsidRPr="001D76E5">
        <w:rPr>
          <w:i/>
        </w:rPr>
        <w:instrText xml:space="preserve"> - Raportöör: Matthias Ecke)"\l3 \n&gt; \* MERGEFORMAT </w:instrText>
      </w:r>
      <w:r w:rsidRPr="001D76E5">
        <w:rPr>
          <w:i/>
        </w:rPr>
        <w:fldChar w:fldCharType="end"/>
      </w:r>
    </w:p>
    <w:p w14:paraId="5146ADAA" w14:textId="77777777" w:rsidR="004B3F41" w:rsidRPr="001D76E5" w:rsidRDefault="004B3F41" w:rsidP="004B3F41">
      <w:pPr>
        <w:rPr>
          <w:vanish/>
        </w:rPr>
      </w:pPr>
      <w:bookmarkStart w:id="3" w:name="Commission"/>
      <w:r w:rsidRPr="001D76E5">
        <w:rPr>
          <w:vanish/>
        </w:rPr>
        <w:t>Eelarvekomisjon</w:t>
      </w:r>
      <w:bookmarkEnd w:id="3"/>
    </w:p>
    <w:p w14:paraId="1F8129FA" w14:textId="77777777" w:rsidR="004B3F41" w:rsidRPr="001D76E5" w:rsidRDefault="004B3F41" w:rsidP="004B3F41">
      <w:pPr>
        <w:rPr>
          <w:vanish/>
        </w:rPr>
      </w:pPr>
      <w:bookmarkStart w:id="4" w:name="PE"/>
      <w:r w:rsidRPr="001D76E5">
        <w:rPr>
          <w:vanish/>
        </w:rPr>
        <w:t>PE785.333</w:t>
      </w:r>
      <w:bookmarkEnd w:id="4"/>
    </w:p>
    <w:p w14:paraId="39341FC8" w14:textId="6F94E426" w:rsidR="004B3F41" w:rsidRPr="001D76E5" w:rsidRDefault="004B3F41" w:rsidP="004B3F41">
      <w:pPr>
        <w:pStyle w:val="ATHeading3"/>
      </w:pPr>
      <w:bookmarkStart w:id="5" w:name="Sujet"/>
      <w:r w:rsidRPr="001D76E5">
        <w:t xml:space="preserve">Euroopa Parlamendi </w:t>
      </w:r>
      <w:r w:rsidR="00752BE1" w:rsidRPr="001D76E5">
        <w:t>29. aprilli</w:t>
      </w:r>
      <w:r w:rsidRPr="001D76E5">
        <w:t xml:space="preserve"> 2026. aasta resolutsioon</w:t>
      </w:r>
      <w:r w:rsidR="00245AA4" w:rsidRPr="001D76E5">
        <w:t>,</w:t>
      </w:r>
      <w:r w:rsidRPr="001D76E5">
        <w:t xml:space="preserve"> mis käsitleb ettepanekut võtta vastu Euroopa Parlamendi ja nõukogu otsus koondatud töötajate toetuseks loodud Globaliseerumisega Kohanemise Euroopa Fondi kasutuselevõtmise kohta (Belgia taotlus – EGF/2025/008 BE/Liberty)</w:t>
      </w:r>
      <w:bookmarkEnd w:id="5"/>
      <w:r w:rsidRPr="001D76E5">
        <w:t xml:space="preserve"> </w:t>
      </w:r>
      <w:bookmarkStart w:id="6" w:name="References"/>
      <w:r w:rsidRPr="001D76E5">
        <w:t>(COM(2026)0004 – C10-0062/2026 – 2026/0066(BUD))</w:t>
      </w:r>
      <w:bookmarkEnd w:id="6"/>
    </w:p>
    <w:p w14:paraId="16BAB6B5" w14:textId="77777777" w:rsidR="002C6EEC" w:rsidRPr="001D76E5" w:rsidRDefault="002C6EEC" w:rsidP="002C6EEC">
      <w:pPr>
        <w:pStyle w:val="EPComma"/>
        <w:rPr>
          <w:noProof/>
        </w:rPr>
      </w:pPr>
      <w:r w:rsidRPr="001D76E5">
        <w:rPr>
          <w:i/>
        </w:rPr>
        <w:t>Euroopa Parlament</w:t>
      </w:r>
      <w:r w:rsidRPr="001D76E5">
        <w:t>,</w:t>
      </w:r>
    </w:p>
    <w:p w14:paraId="13FFFC2C" w14:textId="77777777" w:rsidR="002C6EEC" w:rsidRPr="001D76E5" w:rsidRDefault="002C6EEC" w:rsidP="002C6EEC">
      <w:pPr>
        <w:pStyle w:val="NormalHanging12a"/>
        <w:rPr>
          <w:noProof/>
        </w:rPr>
      </w:pPr>
      <w:r w:rsidRPr="001D76E5">
        <w:t>–</w:t>
      </w:r>
      <w:r w:rsidRPr="001D76E5">
        <w:tab/>
        <w:t>võttes arvesse komisjoni ettepanekut Euroopa Parlamendile ja nõukogule (COM(2026)0004 – C10</w:t>
      </w:r>
      <w:r w:rsidRPr="001D76E5">
        <w:noBreakHyphen/>
        <w:t>0062/2026),</w:t>
      </w:r>
    </w:p>
    <w:p w14:paraId="5E79E339" w14:textId="5DEF93A0" w:rsidR="002C6EEC" w:rsidRPr="001D76E5" w:rsidRDefault="002C6EEC" w:rsidP="002C6EEC">
      <w:pPr>
        <w:pStyle w:val="NormalHanging12a"/>
      </w:pPr>
      <w:r w:rsidRPr="001D76E5">
        <w:t>–</w:t>
      </w:r>
      <w:r w:rsidRPr="001D76E5">
        <w:tab/>
        <w:t>võttes arvesse Euroopa Parlamendi ja nõukogu 28. aprilli 2021. aasta määrust (EL) 2021/691, millega luuakse Globaliseerumisega Kohanemise Euroopa Fond (EGF) koondatud töötajate toetuseks ja tunnistatakse kehtetuks määrus (EL) nr 1309/2013</w:t>
      </w:r>
      <w:r w:rsidRPr="001D76E5">
        <w:rPr>
          <w:vertAlign w:val="superscript"/>
        </w:rPr>
        <w:footnoteReference w:id="1"/>
      </w:r>
      <w:r w:rsidRPr="001D76E5">
        <w:t xml:space="preserve"> (edaspidi „</w:t>
      </w:r>
      <w:proofErr w:type="spellStart"/>
      <w:r w:rsidRPr="001D76E5">
        <w:t>EGFi</w:t>
      </w:r>
      <w:proofErr w:type="spellEnd"/>
      <w:r w:rsidRPr="001D76E5">
        <w:t xml:space="preserve"> määrus“),</w:t>
      </w:r>
    </w:p>
    <w:p w14:paraId="050EE73D" w14:textId="4AFF3CB0" w:rsidR="002C6EEC" w:rsidRPr="001D76E5" w:rsidRDefault="002C6EEC" w:rsidP="002C6EEC">
      <w:pPr>
        <w:pStyle w:val="NormalHanging12a"/>
        <w:rPr>
          <w:noProof/>
        </w:rPr>
      </w:pPr>
      <w:r w:rsidRPr="001D76E5">
        <w:t>–</w:t>
      </w:r>
      <w:r w:rsidRPr="001D76E5">
        <w:tab/>
        <w:t>võttes arvesse nõukogu 17. detsembri 2020. aasta määrust (EL, Euratom) 2020/2093, millega määratakse kindlaks mitmeaastane finantsraamistik aastateks 2021–2027 (edaspidi „mitmeaastase finantsraamistiku määrus“)</w:t>
      </w:r>
      <w:r w:rsidRPr="001D76E5">
        <w:rPr>
          <w:noProof/>
          <w:vertAlign w:val="superscript"/>
        </w:rPr>
        <w:footnoteReference w:id="2"/>
      </w:r>
      <w:r w:rsidRPr="001D76E5">
        <w:t>, mida on muudetud määrusega (EL, Euratom) 2024/765</w:t>
      </w:r>
      <w:r w:rsidRPr="001D76E5">
        <w:rPr>
          <w:noProof/>
          <w:vertAlign w:val="superscript"/>
        </w:rPr>
        <w:footnoteReference w:id="3"/>
      </w:r>
      <w:r w:rsidRPr="001D76E5">
        <w:t>, eriti selle artiklit 8,</w:t>
      </w:r>
    </w:p>
    <w:p w14:paraId="27C9C75C" w14:textId="77777777" w:rsidR="002C6EEC" w:rsidRPr="001D76E5" w:rsidRDefault="002C6EEC" w:rsidP="002C6EEC">
      <w:pPr>
        <w:pStyle w:val="NormalHanging12a"/>
        <w:rPr>
          <w:noProof/>
        </w:rPr>
      </w:pPr>
      <w:r w:rsidRPr="001D76E5">
        <w:t>–</w:t>
      </w:r>
      <w:r w:rsidRPr="001D76E5">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1D76E5">
        <w:lastRenderedPageBreak/>
        <w:t>tegevuskava</w:t>
      </w:r>
      <w:r w:rsidRPr="001D76E5">
        <w:rPr>
          <w:rStyle w:val="FootnoteReference"/>
          <w:noProof/>
        </w:rPr>
        <w:footnoteReference w:id="4"/>
      </w:r>
      <w:r w:rsidRPr="001D76E5">
        <w:t>, eriti selle punkti 9,</w:t>
      </w:r>
    </w:p>
    <w:p w14:paraId="02F1D0BE" w14:textId="77777777" w:rsidR="002C6EEC" w:rsidRPr="001D76E5" w:rsidRDefault="002C6EEC" w:rsidP="002C6EEC">
      <w:pPr>
        <w:pStyle w:val="NormalHanging12a"/>
      </w:pPr>
      <w:r w:rsidRPr="001D76E5">
        <w:t>–</w:t>
      </w:r>
      <w:r w:rsidRPr="001D76E5">
        <w:tab/>
        <w:t>võttes arvesse Euroopa sotsiaalõiguste sammast,</w:t>
      </w:r>
    </w:p>
    <w:p w14:paraId="11E1C4F8" w14:textId="77777777" w:rsidR="002C6EEC" w:rsidRPr="001D76E5" w:rsidRDefault="002C6EEC" w:rsidP="002C6EEC">
      <w:pPr>
        <w:pStyle w:val="NormalHanging12a"/>
      </w:pPr>
      <w:r w:rsidRPr="001D76E5">
        <w:t>–</w:t>
      </w:r>
      <w:r w:rsidRPr="001D76E5">
        <w:tab/>
        <w:t>võttes arvesse tööhõive- ja sotsiaalkomisjoni kirja,</w:t>
      </w:r>
    </w:p>
    <w:p w14:paraId="1D4E1D90" w14:textId="77777777" w:rsidR="002C6EEC" w:rsidRPr="001D76E5" w:rsidRDefault="002C6EEC" w:rsidP="002C6EEC">
      <w:pPr>
        <w:pStyle w:val="NormalHanging12a"/>
      </w:pPr>
      <w:r w:rsidRPr="001D76E5">
        <w:t>–</w:t>
      </w:r>
      <w:r w:rsidRPr="001D76E5">
        <w:tab/>
        <w:t>võttes arvesse eelarvekomisjoni raportit (A10-0084/2026),</w:t>
      </w:r>
    </w:p>
    <w:p w14:paraId="58D0E205" w14:textId="77777777" w:rsidR="002C6EEC" w:rsidRPr="001D76E5" w:rsidRDefault="002C6EEC" w:rsidP="002C6EEC">
      <w:pPr>
        <w:pStyle w:val="NormalHanging12a"/>
        <w:rPr>
          <w:noProof/>
        </w:rPr>
      </w:pPr>
      <w:r w:rsidRPr="001D76E5">
        <w:t>A.</w:t>
      </w:r>
      <w:r w:rsidRPr="001D76E5">
        <w:tab/>
        <w:t>arvestades, et liit on loonud õigusnormid ja eelarvevahendid, et anda lisaabi töötajatele, kes kannatavad maailmakaubanduses toimunud ulatuslike struktuursete sündmuste ja muutuste tagajärgede tõttu, ning aidata neil tööturule tagasi pöörduda; arvestades, et seda abi antakse töötajatele makstava rahalise toetuse kaudu;</w:t>
      </w:r>
    </w:p>
    <w:p w14:paraId="607BC94F" w14:textId="77777777" w:rsidR="002C6EEC" w:rsidRPr="001D76E5" w:rsidRDefault="002C6EEC" w:rsidP="002C6EEC">
      <w:pPr>
        <w:pStyle w:val="NormalHanging12a"/>
        <w:rPr>
          <w:bCs/>
          <w:iCs/>
          <w:noProof/>
        </w:rPr>
      </w:pPr>
      <w:r w:rsidRPr="001D76E5">
        <w:t>B.</w:t>
      </w:r>
      <w:r w:rsidRPr="001D76E5">
        <w:tab/>
        <w:t>arvestades, et toetust tuleks kasutada selleks, et töötajaid kiiresti tööturule tagasi tuua ning tagada, et koolituse, ümberõppe ja kutseõppe tulemusel oleksid töötajatel oskused, mis on tööturu vajadustega paremini vastavuses;</w:t>
      </w:r>
    </w:p>
    <w:p w14:paraId="07E6C055" w14:textId="77777777" w:rsidR="002C6EEC" w:rsidRPr="001D76E5" w:rsidRDefault="002C6EEC" w:rsidP="002C6EEC">
      <w:pPr>
        <w:pStyle w:val="NormalHanging12a"/>
      </w:pPr>
      <w:r w:rsidRPr="001D76E5">
        <w:t>C.</w:t>
      </w:r>
      <w:r w:rsidRPr="001D76E5">
        <w:tab/>
        <w:t>arvestades, et Belgia esitas taotluse EGF/2025/008 BE/Liberty, et saada EGFist rahalist toetust seoses 507 töötaja koondamisega</w:t>
      </w:r>
      <w:r w:rsidRPr="001D76E5">
        <w:rPr>
          <w:vertAlign w:val="superscript"/>
        </w:rPr>
        <w:footnoteReference w:id="5"/>
      </w:r>
      <w:r w:rsidRPr="001D76E5">
        <w:t xml:space="preserve"> ettevõttest Liberty Galaţi Belgian Branch (edaspidi „Liberty“) NACE Revision 2 osa 24 (põhimetallide tootmine) alla kuuluvas majandussektoris Liège’i provintsis (BE33) Valloonias võrdlusperioodil 24. aprillist 2025 kuni 24. augustini 2025;</w:t>
      </w:r>
    </w:p>
    <w:p w14:paraId="3A6D2E2F" w14:textId="77777777" w:rsidR="002C6EEC" w:rsidRPr="001D76E5" w:rsidRDefault="002C6EEC" w:rsidP="002C6EEC">
      <w:pPr>
        <w:pStyle w:val="NormalHanging12a"/>
      </w:pPr>
      <w:r w:rsidRPr="001D76E5">
        <w:t>D.</w:t>
      </w:r>
      <w:r w:rsidRPr="001D76E5">
        <w:tab/>
        <w:t>arvestades, et taotlus põhineb EGFi määruse artikli 4 lõike 2 punktis a sätestatud sekkumiskriteeriumidel, mille kohaselt peab neljakuulise võrdlusperioodi jooksul liikmesriigi ettevõttes olema tegevuse lõpetanud vähemalt 200 koondatud töötajat või füüsilisest isikust ettevõtjat;</w:t>
      </w:r>
    </w:p>
    <w:p w14:paraId="0991887C" w14:textId="77777777" w:rsidR="002C6EEC" w:rsidRPr="001D76E5" w:rsidRDefault="002C6EEC" w:rsidP="002C6EEC">
      <w:pPr>
        <w:pStyle w:val="NormalHanging12a"/>
        <w:rPr>
          <w:noProof/>
        </w:rPr>
      </w:pPr>
      <w:r w:rsidRPr="001D76E5">
        <w:t>E.</w:t>
      </w:r>
      <w:r w:rsidRPr="001D76E5">
        <w:tab/>
        <w:t>arvestades, et Liège’i kaubanduskohus kuulutas 22. aprillil 2025 välja Liberty pankroti; arvestades, et Belgias on pankrottide arv alates 2022. aastast olnud tõusuteel;</w:t>
      </w:r>
    </w:p>
    <w:p w14:paraId="2F2DB47F" w14:textId="77777777" w:rsidR="002C6EEC" w:rsidRPr="001D76E5" w:rsidRDefault="002C6EEC" w:rsidP="002C6EEC">
      <w:pPr>
        <w:pStyle w:val="NormalHanging12a"/>
      </w:pPr>
      <w:r w:rsidRPr="001D76E5">
        <w:t>F.</w:t>
      </w:r>
      <w:r w:rsidRPr="001D76E5">
        <w:tab/>
        <w:t>arvestades, et meetmete riikliku eel- ja kaasrahastamise tagavad Valloonia piirkond ja Le Forem;</w:t>
      </w:r>
    </w:p>
    <w:p w14:paraId="07722F80" w14:textId="77777777" w:rsidR="002C6EEC" w:rsidRPr="001D76E5" w:rsidRDefault="002C6EEC" w:rsidP="002C6EEC">
      <w:pPr>
        <w:pStyle w:val="NormalHanging12a"/>
      </w:pPr>
      <w:r w:rsidRPr="001D76E5">
        <w:t>G.</w:t>
      </w:r>
      <w:r w:rsidRPr="001D76E5">
        <w:tab/>
        <w:t>arvestades, et liidu ja liikmesriigi õigusaktides sätestatud kollektiivse koondamise nõuded on täidetud;</w:t>
      </w:r>
    </w:p>
    <w:p w14:paraId="4295004A" w14:textId="77777777" w:rsidR="002C6EEC" w:rsidRPr="001D76E5" w:rsidRDefault="002C6EEC" w:rsidP="002C6EEC">
      <w:pPr>
        <w:pStyle w:val="NormalHanging12a"/>
      </w:pPr>
      <w:r w:rsidRPr="001D76E5">
        <w:t>H.</w:t>
      </w:r>
      <w:r w:rsidRPr="001D76E5">
        <w:tab/>
        <w:t>arvestades, et EGFi rahalist toetust tuleks peamiselt kasutada aktiivseteks tööturupoliitika meetmeteks ja individuaalseteks teenusteks, mille eesmärk on aidata toetusesaajatel kiiresti tööturule naasta, pakkudes neile oskuste õppimist võimaldavat koolitust, et hõlbustada nende pääsu tööturule;</w:t>
      </w:r>
    </w:p>
    <w:p w14:paraId="6938F8F6" w14:textId="77777777" w:rsidR="002C6EEC" w:rsidRPr="001D76E5" w:rsidRDefault="002C6EEC" w:rsidP="002C6EEC">
      <w:pPr>
        <w:pStyle w:val="NormalHanging12a"/>
      </w:pPr>
      <w:r w:rsidRPr="001D76E5">
        <w:t>I.</w:t>
      </w:r>
      <w:r w:rsidRPr="001D76E5">
        <w:tab/>
        <w:t>arvestades, et EGF ei tohi ületada iga-aastast maksimaalset summat, mis on 30 miljonit eurot (2018. aasta hindades)</w:t>
      </w:r>
      <w:r w:rsidRPr="001D76E5">
        <w:rPr>
          <w:rStyle w:val="FootnoteReference"/>
        </w:rPr>
        <w:footnoteReference w:id="6"/>
      </w:r>
      <w:r w:rsidRPr="001D76E5">
        <w:t>;</w:t>
      </w:r>
    </w:p>
    <w:p w14:paraId="49B3ECA7" w14:textId="77777777" w:rsidR="002C6EEC" w:rsidRPr="001D76E5" w:rsidRDefault="002C6EEC" w:rsidP="002C6EEC">
      <w:pPr>
        <w:pStyle w:val="NormalHanging12a"/>
      </w:pPr>
      <w:r w:rsidRPr="001D76E5">
        <w:t>1.</w:t>
      </w:r>
      <w:r w:rsidRPr="001D76E5">
        <w:tab/>
        <w:t xml:space="preserve">nõustub komisjoniga, et EGFi määruses, eriti selle artikli 4 lõike 2 punktis a sätestatud tingimused on täidetud ja Belgial on õigus saada nimetatud määruse alusel rahalist </w:t>
      </w:r>
      <w:r w:rsidRPr="001D76E5">
        <w:lastRenderedPageBreak/>
        <w:t>toetust summas 2 033 869 eurot ehk 85 % 2 392 788 euro suurusest kogukulust, mis sisaldab individuaalsete teenuste kulusid summas 2 358 922 eurot ning ettevalmistus-, haldus-, teavitamis- ja reklaami- ning kontrolli- ja aruandluskulusid summas 33 866 eurot;</w:t>
      </w:r>
    </w:p>
    <w:p w14:paraId="168AA31B" w14:textId="3CC8046E" w:rsidR="002C6EEC" w:rsidRPr="001D76E5" w:rsidRDefault="002C6EEC" w:rsidP="002C6EEC">
      <w:pPr>
        <w:pStyle w:val="NormalHanging12a"/>
      </w:pPr>
      <w:r w:rsidRPr="001D76E5">
        <w:t>2.</w:t>
      </w:r>
      <w:r w:rsidRPr="001D76E5">
        <w:tab/>
        <w:t>märgib, et Belgia ametiasutused esitasid taotluse 13. novembril 2025 ning pärast Belgialt lisateabe saamist viis komisjon taotluse hindamise lõpule ja andis sellest Euroopa Parlamendile teada 2. märtsil 2026; rõhutab vajadust lühendada EGFi taotluse esitamise ja rahastamisotsuse tegemise vahelist aega, kaitstes samal ajal Euroopa Parlamendi kui eelarvepädeva institutsiooni õigusi;</w:t>
      </w:r>
    </w:p>
    <w:p w14:paraId="5F9FED84" w14:textId="77777777" w:rsidR="002C6EEC" w:rsidRPr="001D76E5" w:rsidRDefault="002C6EEC" w:rsidP="002C6EEC">
      <w:pPr>
        <w:pStyle w:val="NormalHanging12a"/>
      </w:pPr>
      <w:r w:rsidRPr="001D76E5">
        <w:t>3.</w:t>
      </w:r>
      <w:r w:rsidRPr="001D76E5">
        <w:tab/>
        <w:t>märgib, et taotlus on seotud ettevõttest Liberty koondatud 507 sihtrühma kuuluva toetusesaajaga;</w:t>
      </w:r>
    </w:p>
    <w:p w14:paraId="1567CF53" w14:textId="77777777" w:rsidR="002C6EEC" w:rsidRPr="001D76E5" w:rsidRDefault="002C6EEC" w:rsidP="002C6EEC">
      <w:pPr>
        <w:pStyle w:val="NormalHanging12a"/>
      </w:pPr>
      <w:r w:rsidRPr="001D76E5">
        <w:t>4.</w:t>
      </w:r>
      <w:r w:rsidRPr="001D76E5">
        <w:tab/>
        <w:t>märgib, et Liberty oli enne pankroti väljakuulutamist seisnud aastaid silmitsi finantsraskustega, mis olid tingitud ebasoodsatest tingimustest teraseturul, COVID-19-ga seotud tarneahela häiretest ja kõrgetest energiahindadest, mille tõi kaasa Venemaa agressioonisõda Ukraina vastu, ning liidu sõltuvusest imporditud fossiilkütustest ja odavamate energiaallikate ebapiisavast kasutuselevõtust; märgib, et Liberty Steel Liège’i tsinkimisliinid seiskusid 2021. aasta detsembris peamiselt tooraine puudumise tõttu, mistõttu alustati restruktureerimist, mille tulemusel anti Liberty Steel Liège 2023. aastal lepingu alusel üle Liberty Galaţile; peab kahetsusväärseks, et hoolimata ülevõtmisest tootmistegevus ei taastunud ja olukord kulmineerus pankrotiga;</w:t>
      </w:r>
    </w:p>
    <w:p w14:paraId="4A896BFB" w14:textId="77777777" w:rsidR="002C6EEC" w:rsidRPr="001D76E5" w:rsidRDefault="002C6EEC" w:rsidP="002C6EEC">
      <w:pPr>
        <w:pStyle w:val="NormalHanging12a"/>
        <w:rPr>
          <w:noProof/>
        </w:rPr>
      </w:pPr>
      <w:r w:rsidRPr="001D76E5">
        <w:t>5.</w:t>
      </w:r>
      <w:r w:rsidRPr="001D76E5">
        <w:tab/>
        <w:t>märgib, et Liberty Steeli raskused on seotud ka ettevõttespetsiifiliste teguritega, mis on esinenud pärast seda, kui GFG Alliance selle ArcelorMittalilt omandas; rõhutab tõsist muret ärimudeli rahalise jätkusuutlikkuse ja investeerimiskohustuste täitmata jätmise pärast, mis aitasid kaasa tehase majandusliku olukorra halvenemisele ja sellest tulenevatele koondamistele;</w:t>
      </w:r>
    </w:p>
    <w:p w14:paraId="15006B4E" w14:textId="77777777" w:rsidR="002C6EEC" w:rsidRPr="001D76E5" w:rsidRDefault="002C6EEC" w:rsidP="002C6EEC">
      <w:pPr>
        <w:pStyle w:val="NormalHanging12a"/>
        <w:rPr>
          <w:b/>
          <w:bCs/>
          <w:i/>
          <w:iCs/>
        </w:rPr>
      </w:pPr>
      <w:bookmarkStart w:id="7" w:name="_Hlk225497832"/>
      <w:r w:rsidRPr="001D76E5">
        <w:t>6.</w:t>
      </w:r>
      <w:r w:rsidRPr="001D76E5">
        <w:tab/>
        <w:t>märgib, et Valloonia piirkond on kannatanud deindustrialiseerimise ja majanduse ümberkujundamise protsessi tõttu</w:t>
      </w:r>
      <w:r w:rsidRPr="001D76E5">
        <w:rPr>
          <w:rStyle w:val="FootnoteReference"/>
        </w:rPr>
        <w:footnoteReference w:id="7"/>
      </w:r>
      <w:r w:rsidRPr="001D76E5">
        <w:t>; märgib, et Liberty pankrot on Vallooniale, see tähendab piirkonnale</w:t>
      </w:r>
      <w:bookmarkEnd w:id="7"/>
      <w:r w:rsidRPr="001D76E5">
        <w:t>, mille tööturgu on juba nõrgestanud muud restruktureerimised, suur sotsiaalne vapustus; rõhutab, et terasesektor on Belgia jaoks endiselt oluline majandussektor, sest terasesektori töökohtade arv ühe elaniku kohta on endiselt suur; kutsub Belgia ametiasutusi üles pakkuma nendele profiilidele kohandatud eritoetust, et aidata töötajatel arendada oskusi, mis on vajalikud uue kvaliteetse töökoha leidmiseks, võttes samal ajal meetmeid pankrottide vähendamiseks ja töötajate tõrjutuseni viiva sotsiaalse ebavõrdsuse käsitlemiseks; toonitab, et liit hoiab alal ettevõtlussõbralikku keskkonda, millega soodustatakse majanduskasvu, edendatakse innovatsiooni, toetatakse tehnoloogia arengut, tugevdatakse konkurentsivõimet ning vähendatakse tarbetut regulatiivset koormust ja lihtsustatakse bürokraatlikke menetlusi, ning rõhutab vajadust poliitika järele, millega edendatakse tööstuse konkurentsivõimet, territoriaalset, majanduslikku ja sotsiaalset ühtekuuluvust ning piirkondlikku arengut; rõhutab konkurentsivõimelise ja vastupidava Euroopa terasesektori tähtsust tugeva ja kvaliteetse tööstuse alusena ning liidu strateegilise autonoomia keskse sambana;</w:t>
      </w:r>
    </w:p>
    <w:p w14:paraId="4C21511F" w14:textId="77777777" w:rsidR="002C6EEC" w:rsidRPr="001D76E5" w:rsidRDefault="002C6EEC" w:rsidP="002C6EEC">
      <w:pPr>
        <w:pStyle w:val="NormalHanging12a"/>
      </w:pPr>
      <w:r w:rsidRPr="001D76E5">
        <w:t>7.</w:t>
      </w:r>
      <w:r w:rsidRPr="001D76E5">
        <w:tab/>
        <w:t xml:space="preserve">tuletab meelde, et iga neljas registreeritud tööotsija Valloonias on vanem kui 50-aastane ja seisab tööturule naasmisel silmitsi suuremate takistustega; märgib, et hoolimata </w:t>
      </w:r>
      <w:r w:rsidRPr="001D76E5">
        <w:lastRenderedPageBreak/>
        <w:t>sellest, et tegemist on kõrge tasemega spetsialistidega, tekitab Liberty töötajate töökohavahetusel probleeme nende kõrge vanus (52 % töötajatest on 55-aastased või vanemad); märgib, et 69 %-l koondatud töötajatest on madal haridustase;</w:t>
      </w:r>
    </w:p>
    <w:p w14:paraId="3531FE89" w14:textId="77777777" w:rsidR="002C6EEC" w:rsidRPr="001D76E5" w:rsidRDefault="002C6EEC" w:rsidP="002C6EEC">
      <w:pPr>
        <w:pStyle w:val="NormalHanging12a"/>
      </w:pPr>
      <w:bookmarkStart w:id="8" w:name="_Hlk226546977"/>
      <w:r w:rsidRPr="001D76E5">
        <w:t>8.</w:t>
      </w:r>
      <w:r w:rsidRPr="001D76E5">
        <w:tab/>
        <w:t>tuletab meelde, et kokkuleppel ametiühingute ja piirkondlike asutustega sisaldavad töötajatele osutatavad individuaalsed teenused järgmisi meetmeid: töökohavahetus ja kutsenõustamine; koolitus, ümberõpe ja kutseõpe, sealhulgas IT-oskused; ettevõtlusega alustamise toetus; ettevõtte asutamise toetus; stiimulid ja muud toetused; rõhutab, kui oluline on suurendada investeeringuid innovatsiooni, oskustesse ja tööstuse ajakohastamisse, et tugevdada Euroopa tööstuse konkurentsivõimet ja tagada, et töötajad on valmis tööturu muutuvateks vajadusteks;</w:t>
      </w:r>
      <w:bookmarkEnd w:id="8"/>
    </w:p>
    <w:p w14:paraId="59FE934D" w14:textId="77777777" w:rsidR="002C6EEC" w:rsidRPr="001D76E5" w:rsidRDefault="002C6EEC" w:rsidP="002C6EEC">
      <w:pPr>
        <w:pStyle w:val="NormalHanging12a"/>
      </w:pPr>
      <w:r w:rsidRPr="001D76E5">
        <w:t>9.</w:t>
      </w:r>
      <w:r w:rsidRPr="001D76E5">
        <w:tab/>
        <w:t>toonitab, et on oluline edendada kvaliteetseid ja tulevikku suunatud töökohti, mis tugevdavad konkurentsivõimet, edendavad digiüleminekut ja vastavad tööturu nõudmistele, et tagada pikaajaline majanduslik ja sotsiaalne vastupanuvõime; on seetõttu seisukohal, et EGFi kasutuselevõtmine peab toimuma ulatuslikumate poliitilise meetmete raames, mida võetakse kõigil poliitilistel tasanditel, et tagada mõjutatud töötajatele piisavad võimalused, mis vastavad nende kvalifikatsioonile ja oskustele; rõhutab, et EGF on solidaarsuse ja õiglase ülemineku vahend ning et liidu esmane ülesanne peab olema selliste sulgemiste ennetamine;</w:t>
      </w:r>
    </w:p>
    <w:p w14:paraId="1665E065" w14:textId="77777777" w:rsidR="002C6EEC" w:rsidRPr="001D76E5" w:rsidRDefault="002C6EEC" w:rsidP="002C6EEC">
      <w:pPr>
        <w:pStyle w:val="NormalHanging12a"/>
      </w:pPr>
      <w:r w:rsidRPr="001D76E5">
        <w:t>10.</w:t>
      </w:r>
      <w:r w:rsidRPr="001D76E5">
        <w:tab/>
        <w:t>toonitab, et on oluline tugevdada liidu tööstuse konkurentsivõimet ja edendada investeeringuid strateegilistesse tööstussektoritesse, et vältida edasist deindustrialiseerimist ja täiendavaid koondamisi ning toetada töökohtade loomist; toob esile vajadust minna üle taastuvenergiale ja võtta muid meetmeid taskukohaste energiahindade tagamiseks;</w:t>
      </w:r>
    </w:p>
    <w:p w14:paraId="5D5E39FD" w14:textId="77777777" w:rsidR="002C6EEC" w:rsidRPr="001D76E5" w:rsidRDefault="002C6EEC" w:rsidP="002C6EEC">
      <w:pPr>
        <w:pStyle w:val="NormalHanging12a"/>
        <w:rPr>
          <w:bCs/>
          <w:iCs/>
        </w:rPr>
      </w:pPr>
      <w:r w:rsidRPr="001D76E5">
        <w:t>11.</w:t>
      </w:r>
      <w:r w:rsidRPr="001D76E5">
        <w:tab/>
        <w:t>rõhutab, et Belgia ametiasutused tagavad liidu rahastamise nähtavuse ja toovad välja selle lisaväärtuse, andes toetusesaajatele, piirkondlikele ja kohalikele ametiasutustele, sotsiaalpartneritele ja laiemale üldsusele mõjusat ja sihipärast teavet;</w:t>
      </w:r>
    </w:p>
    <w:p w14:paraId="02E37AB4" w14:textId="2CAA8F17" w:rsidR="002C6EEC" w:rsidRPr="001D76E5" w:rsidRDefault="002C6EEC" w:rsidP="002C6EEC">
      <w:pPr>
        <w:pStyle w:val="NormalHanging12a"/>
      </w:pPr>
      <w:r w:rsidRPr="001D76E5">
        <w:t>12.</w:t>
      </w:r>
      <w:r w:rsidRPr="001D76E5">
        <w:tab/>
        <w:t xml:space="preserve">nõuab võetud meetmete põhjalikku lõpphindamist koostöös sotsiaalpartneritega, sealhulgas selget ja läbipaistvat teavet vahendite kasutamise, töötajate tööturule tagasipöördumise ja EGFi eesmärkide saavutamise kohta; rõhutab sellega seoses, kui oluline on EGFist rahastatavate meetmete korrapärane </w:t>
      </w:r>
      <w:r w:rsidR="00752BE1" w:rsidRPr="001D76E5">
        <w:t>seire</w:t>
      </w:r>
      <w:r w:rsidRPr="001D76E5">
        <w:t xml:space="preserve">, et hinnata nende </w:t>
      </w:r>
      <w:r w:rsidR="00752BE1" w:rsidRPr="001D76E5">
        <w:t>toimivust</w:t>
      </w:r>
      <w:r w:rsidRPr="001D76E5">
        <w:t>;</w:t>
      </w:r>
    </w:p>
    <w:p w14:paraId="6BE6EC0F" w14:textId="77777777" w:rsidR="002C6EEC" w:rsidRPr="001D76E5" w:rsidRDefault="002C6EEC" w:rsidP="002C6EEC">
      <w:pPr>
        <w:pStyle w:val="NormalHanging12a"/>
      </w:pPr>
      <w:r w:rsidRPr="001D76E5">
        <w:t>13.</w:t>
      </w:r>
      <w:r w:rsidRPr="001D76E5">
        <w:tab/>
        <w:t>märgib, et Belgia alustas sihtrühma kuuluvatele toetusesaajatele individuaalsete teenuste osutamist 1. juunil 2025 ja EGFist rahalise toetuse saamise tingimustele vastab ajavahemik alates nimetatud kuupäevast kuni 24 kuu möödumiseni rahastamisotsuse jõustumise kuupäevast;</w:t>
      </w:r>
    </w:p>
    <w:p w14:paraId="14FADCC9" w14:textId="77777777" w:rsidR="002C6EEC" w:rsidRPr="001D76E5" w:rsidRDefault="002C6EEC" w:rsidP="002C6EEC">
      <w:pPr>
        <w:pStyle w:val="NormalHanging12a"/>
        <w:rPr>
          <w:sz w:val="23"/>
          <w:szCs w:val="23"/>
        </w:rPr>
      </w:pPr>
      <w:r w:rsidRPr="001D76E5">
        <w:t>14.</w:t>
      </w:r>
      <w:r w:rsidRPr="001D76E5">
        <w:tab/>
        <w:t>märgib, et Belgia hakkas EGFi rakendamisega seotud halduskulusid kandma 22. aprillil 2025 ja seega on sellised kulud kõlblikud EGFist rahalise toetuse saamiseks alates nimetatud kuupäevast kuni 31 kuu möödumiseni rahastamisotsuse jõustumise kuupäevast;</w:t>
      </w:r>
    </w:p>
    <w:p w14:paraId="76F4D39F" w14:textId="77777777" w:rsidR="002C6EEC" w:rsidRPr="001D76E5" w:rsidRDefault="002C6EEC" w:rsidP="002C6EEC">
      <w:pPr>
        <w:pStyle w:val="NormalHanging12a"/>
      </w:pPr>
      <w:r w:rsidRPr="001D76E5">
        <w:t>15.</w:t>
      </w:r>
      <w:r w:rsidRPr="001D76E5">
        <w:tab/>
        <w:t>märgib, et Belgia ametiasutused on kinnitanud, et kavandatud meetmetele juurdepääsul ja nende rakendamisel järgitakse võrdse kohtlemise ja mittediskrimineerimise põhimõtteid ning välditakse topeltrahastamist;</w:t>
      </w:r>
    </w:p>
    <w:p w14:paraId="29677B57" w14:textId="77777777" w:rsidR="002C6EEC" w:rsidRPr="001D76E5" w:rsidRDefault="002C6EEC" w:rsidP="002C6EEC">
      <w:pPr>
        <w:pStyle w:val="NormalHanging12a"/>
      </w:pPr>
      <w:r w:rsidRPr="001D76E5">
        <w:t>16.</w:t>
      </w:r>
      <w:r w:rsidRPr="001D76E5">
        <w:tab/>
        <w:t xml:space="preserve">kordab, et EGFi toetus ei tohi asendada meetmeid, mis on riigisisese õiguse või kollektiivlepingute kohaselt avaliku sektori asutuste või äriühingute vastutusalas; </w:t>
      </w:r>
      <w:r w:rsidRPr="001D76E5">
        <w:lastRenderedPageBreak/>
        <w:t>tuletab meelde, et EGF on piiratud, sihipärane ja täiendav mehhanism ning see ei saa asendada struktuurseid majanduspoliitikameetmeid, mis kuuluvad peamiselt liikmesriikide pädevusse;</w:t>
      </w:r>
    </w:p>
    <w:p w14:paraId="01F386C3" w14:textId="77777777" w:rsidR="002C6EEC" w:rsidRPr="001D76E5" w:rsidRDefault="002C6EEC" w:rsidP="002C6EEC">
      <w:pPr>
        <w:pStyle w:val="NormalHanging12a"/>
      </w:pPr>
      <w:r w:rsidRPr="001D76E5">
        <w:t>17.</w:t>
      </w:r>
      <w:r w:rsidRPr="001D76E5">
        <w:tab/>
        <w:t>kiidab käesolevale resolutsioonile lisatud otsuse heaks;</w:t>
      </w:r>
    </w:p>
    <w:p w14:paraId="76858542" w14:textId="77777777" w:rsidR="002C6EEC" w:rsidRPr="001D76E5" w:rsidRDefault="002C6EEC" w:rsidP="002C6EEC">
      <w:pPr>
        <w:pStyle w:val="NormalHanging12a"/>
      </w:pPr>
      <w:r w:rsidRPr="001D76E5">
        <w:t>18.</w:t>
      </w:r>
      <w:r w:rsidRPr="001D76E5">
        <w:tab/>
        <w:t xml:space="preserve">teeb presidendile ülesandeks kirjutada koos nõukogu eesistujaga otsusele alla ja korraldada selle avaldamine </w:t>
      </w:r>
      <w:r w:rsidRPr="001D76E5">
        <w:rPr>
          <w:i/>
        </w:rPr>
        <w:t>Euroopa Liidu Teatajas</w:t>
      </w:r>
      <w:r w:rsidRPr="001D76E5">
        <w:t>;</w:t>
      </w:r>
    </w:p>
    <w:p w14:paraId="7B562B70" w14:textId="77777777" w:rsidR="002C6EEC" w:rsidRPr="001D76E5" w:rsidRDefault="002C6EEC" w:rsidP="002C6EEC">
      <w:pPr>
        <w:pStyle w:val="NormalHanging12a"/>
      </w:pPr>
      <w:r w:rsidRPr="001D76E5">
        <w:t>19.</w:t>
      </w:r>
      <w:r w:rsidRPr="001D76E5">
        <w:tab/>
        <w:t>teeb presidendile ülesandeks edastada käesolev resolutsioon koos selle lisaga nõukogule ja komisjonile.</w:t>
      </w:r>
    </w:p>
    <w:p w14:paraId="33CD5F33" w14:textId="77777777" w:rsidR="002C6EEC" w:rsidRPr="001D76E5" w:rsidRDefault="002C6EEC" w:rsidP="002C6EEC">
      <w:pPr>
        <w:rPr>
          <w:noProof/>
        </w:rPr>
      </w:pPr>
    </w:p>
    <w:p w14:paraId="68C9F693" w14:textId="77777777" w:rsidR="002C6EEC" w:rsidRPr="001D76E5" w:rsidRDefault="002C6EEC" w:rsidP="002C6EEC">
      <w:pPr>
        <w:pStyle w:val="PageHeading"/>
        <w:rPr>
          <w:noProof/>
        </w:rPr>
        <w:sectPr w:rsidR="002C6EEC" w:rsidRPr="001D76E5" w:rsidSect="00236B0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055772" w14:textId="77777777" w:rsidR="002C6EEC" w:rsidRPr="001D76E5" w:rsidRDefault="002C6EEC" w:rsidP="00752BE1">
      <w:pPr>
        <w:pStyle w:val="PageHeading"/>
        <w:spacing w:after="240"/>
        <w:rPr>
          <w:noProof/>
        </w:rPr>
      </w:pPr>
      <w:bookmarkStart w:id="9" w:name="_Toc227833032"/>
      <w:r w:rsidRPr="001D76E5">
        <w:lastRenderedPageBreak/>
        <w:t>LISA: EUROOPA PARLAMENDI JA NÕUKOGU OTSUS</w:t>
      </w:r>
      <w:bookmarkEnd w:id="9"/>
    </w:p>
    <w:p w14:paraId="12F8756D" w14:textId="77777777" w:rsidR="002C6EEC" w:rsidRDefault="002C6EEC" w:rsidP="00752BE1">
      <w:pPr>
        <w:pStyle w:val="NormalHanging12a"/>
        <w:rPr>
          <w:b/>
        </w:rPr>
      </w:pPr>
      <w:r w:rsidRPr="001D76E5">
        <w:rPr>
          <w:b/>
        </w:rPr>
        <w:t>koondatud töötajate toetuseks loodud Globaliseerumisega Kohanemise Euroopa Fondi kasutuselevõtmise kohta (Belgia taotlus – EGF/2025/008 BE/Liberty)</w:t>
      </w:r>
    </w:p>
    <w:p w14:paraId="7F68DB75" w14:textId="4540A36E" w:rsidR="00567317" w:rsidRPr="006D4016" w:rsidRDefault="00567317" w:rsidP="00567317">
      <w:pPr>
        <w:pStyle w:val="Institutionquiagit"/>
        <w:spacing w:before="120"/>
        <w:jc w:val="left"/>
        <w:outlineLvl w:val="0"/>
        <w:rPr>
          <w:i/>
          <w:szCs w:val="24"/>
          <w:lang w:eastAsia="de-DE"/>
        </w:rPr>
      </w:pPr>
      <w:r w:rsidRPr="006D4016">
        <w:rPr>
          <w:i/>
          <w:szCs w:val="24"/>
        </w:rPr>
        <w:t>(Käesoleva lisa teksti siinkohal ei avaldata, kuna see kattub lõpliku õigusaktiga, st otsusega (EL) </w:t>
      </w:r>
      <w:r>
        <w:rPr>
          <w:i/>
          <w:szCs w:val="24"/>
        </w:rPr>
        <w:t>2026</w:t>
      </w:r>
      <w:r w:rsidRPr="006D4016">
        <w:rPr>
          <w:i/>
          <w:szCs w:val="24"/>
        </w:rPr>
        <w:t>/</w:t>
      </w:r>
      <w:r>
        <w:rPr>
          <w:i/>
          <w:szCs w:val="24"/>
        </w:rPr>
        <w:t>1134</w:t>
      </w:r>
      <w:r w:rsidRPr="006D4016">
        <w:rPr>
          <w:i/>
          <w:szCs w:val="24"/>
        </w:rPr>
        <w:t>).</w:t>
      </w:r>
    </w:p>
    <w:bookmarkEnd w:id="1"/>
    <w:sectPr w:rsidR="00567317" w:rsidRPr="006D4016" w:rsidSect="00236B0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6F37" w14:textId="77777777" w:rsidR="004B3F41" w:rsidRPr="00236B0C" w:rsidRDefault="004B3F41">
      <w:r w:rsidRPr="00236B0C">
        <w:separator/>
      </w:r>
    </w:p>
  </w:endnote>
  <w:endnote w:type="continuationSeparator" w:id="0">
    <w:p w14:paraId="7429A591" w14:textId="77777777" w:rsidR="004B3F41" w:rsidRPr="00236B0C" w:rsidRDefault="004B3F41">
      <w:r w:rsidRPr="00236B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0789" w14:textId="77777777" w:rsidR="002C6EEC" w:rsidRPr="00236B0C" w:rsidRDefault="002C6EEC" w:rsidP="00F572E2">
    <w:pPr>
      <w:pStyle w:val="EPFooter"/>
    </w:pPr>
    <w:r w:rsidRPr="00236B0C">
      <w:t>PE</w:t>
    </w:r>
    <w:r w:rsidRPr="00236B0C">
      <w:rPr>
        <w:rStyle w:val="HideTWBExt"/>
      </w:rPr>
      <w:t>&lt;NoPE&gt;</w:t>
    </w:r>
    <w:r w:rsidRPr="00236B0C">
      <w:t>785.333</w:t>
    </w:r>
    <w:r w:rsidRPr="00236B0C">
      <w:rPr>
        <w:rStyle w:val="HideTWBExt"/>
      </w:rPr>
      <w:t>&lt;/NoPE&gt;&lt;Version&gt;</w:t>
    </w:r>
    <w:r w:rsidRPr="00236B0C">
      <w:t>v03-00</w:t>
    </w:r>
    <w:r w:rsidRPr="00236B0C">
      <w:rPr>
        <w:rStyle w:val="HideTWBExt"/>
      </w:rPr>
      <w:t>&lt;/Version&gt;</w:t>
    </w:r>
    <w:r w:rsidRPr="00236B0C">
      <w:tab/>
    </w:r>
    <w:r w:rsidRPr="00236B0C">
      <w:fldChar w:fldCharType="begin"/>
    </w:r>
    <w:r w:rsidRPr="00236B0C">
      <w:instrText xml:space="preserve"> PAGE  \* MERGEFORMAT </w:instrText>
    </w:r>
    <w:r w:rsidRPr="00236B0C">
      <w:fldChar w:fldCharType="separate"/>
    </w:r>
    <w:r w:rsidRPr="00236B0C">
      <w:rPr>
        <w:noProof/>
      </w:rPr>
      <w:t>2</w:t>
    </w:r>
    <w:r w:rsidRPr="00236B0C">
      <w:fldChar w:fldCharType="end"/>
    </w:r>
    <w:r w:rsidRPr="00236B0C">
      <w:t>/</w:t>
    </w:r>
    <w:fldSimple w:instr=" NUMPAGES  \* MERGEFORMAT ">
      <w:r w:rsidRPr="00236B0C">
        <w:rPr>
          <w:noProof/>
        </w:rPr>
        <w:t>17</w:t>
      </w:r>
    </w:fldSimple>
    <w:r w:rsidRPr="00236B0C">
      <w:tab/>
    </w:r>
    <w:r w:rsidRPr="00236B0C">
      <w:rPr>
        <w:rStyle w:val="HideTWBExt"/>
      </w:rPr>
      <w:t>&lt;PathFdR&gt;</w:t>
    </w:r>
    <w:r w:rsidRPr="00236B0C">
      <w:t>RR\1341391ET.docx</w:t>
    </w:r>
    <w:r w:rsidRPr="00236B0C">
      <w:rPr>
        <w:rStyle w:val="HideTWBExt"/>
      </w:rPr>
      <w:t>&lt;/PathFdR&gt;</w:t>
    </w:r>
  </w:p>
  <w:p w14:paraId="299EF288" w14:textId="77777777" w:rsidR="002C6EEC" w:rsidRPr="00236B0C" w:rsidRDefault="002C6EEC" w:rsidP="00F572E2">
    <w:pPr>
      <w:pStyle w:val="EPFooter2"/>
    </w:pPr>
    <w:r w:rsidRPr="00236B0C">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6755" w14:textId="77777777" w:rsidR="002C6EEC" w:rsidRPr="00236B0C" w:rsidRDefault="002C6EEC" w:rsidP="00F572E2">
    <w:pPr>
      <w:pStyle w:val="EPFooter"/>
    </w:pPr>
    <w:r w:rsidRPr="00236B0C">
      <w:rPr>
        <w:rStyle w:val="HideTWBExt"/>
      </w:rPr>
      <w:t>&lt;PathFdR&gt;</w:t>
    </w:r>
    <w:r w:rsidRPr="00236B0C">
      <w:t>RR\1341391ET.docx</w:t>
    </w:r>
    <w:r w:rsidRPr="00236B0C">
      <w:rPr>
        <w:rStyle w:val="HideTWBExt"/>
      </w:rPr>
      <w:t>&lt;/PathFdR&gt;</w:t>
    </w:r>
    <w:r w:rsidRPr="00236B0C">
      <w:tab/>
    </w:r>
    <w:r w:rsidRPr="00236B0C">
      <w:tab/>
      <w:t>PE</w:t>
    </w:r>
    <w:r w:rsidRPr="00236B0C">
      <w:rPr>
        <w:rStyle w:val="HideTWBExt"/>
      </w:rPr>
      <w:t>&lt;NoPE&gt;</w:t>
    </w:r>
    <w:r w:rsidRPr="00236B0C">
      <w:t>785.333</w:t>
    </w:r>
    <w:r w:rsidRPr="00236B0C">
      <w:rPr>
        <w:rStyle w:val="HideTWBExt"/>
      </w:rPr>
      <w:t>&lt;/NoPE&gt;&lt;Version&gt;</w:t>
    </w:r>
    <w:r w:rsidRPr="00236B0C">
      <w:t>v03-00</w:t>
    </w:r>
    <w:r w:rsidRPr="00236B0C">
      <w:rPr>
        <w:rStyle w:val="HideTWBExt"/>
      </w:rPr>
      <w:t>&lt;/Version&gt;</w:t>
    </w:r>
  </w:p>
  <w:p w14:paraId="6428F3EE" w14:textId="77777777" w:rsidR="002C6EEC" w:rsidRPr="00236B0C" w:rsidRDefault="002C6EEC" w:rsidP="00F572E2">
    <w:pPr>
      <w:pStyle w:val="EPFooter2"/>
    </w:pPr>
    <w:r w:rsidRPr="00236B0C">
      <w:t>ET</w:t>
    </w:r>
    <w:r w:rsidRPr="00236B0C">
      <w:tab/>
    </w:r>
    <w:r w:rsidRPr="00236B0C">
      <w:rPr>
        <w:b w:val="0"/>
        <w:i/>
        <w:color w:val="C0C0C0"/>
        <w:sz w:val="22"/>
      </w:rPr>
      <w:t>Ühinenud mitmekesisuses</w:t>
    </w:r>
    <w:r w:rsidRPr="00236B0C">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276F" w14:textId="77777777" w:rsidR="00064002" w:rsidRPr="00236B0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40A25" w14:textId="77777777" w:rsidR="00064002" w:rsidRPr="00236B0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BECA" w14:textId="77777777" w:rsidR="00064002" w:rsidRPr="00236B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267B5" w14:textId="77777777" w:rsidR="004B3F41" w:rsidRPr="00236B0C" w:rsidRDefault="004B3F41">
      <w:r w:rsidRPr="00236B0C">
        <w:separator/>
      </w:r>
    </w:p>
  </w:footnote>
  <w:footnote w:type="continuationSeparator" w:id="0">
    <w:p w14:paraId="4A0C6C43" w14:textId="77777777" w:rsidR="004B3F41" w:rsidRPr="00236B0C" w:rsidRDefault="004B3F41">
      <w:r w:rsidRPr="00236B0C">
        <w:continuationSeparator/>
      </w:r>
    </w:p>
  </w:footnote>
  <w:footnote w:id="1">
    <w:p w14:paraId="16AB20B1" w14:textId="080E4678"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r w:rsidRPr="00236B0C">
        <w:rPr>
          <w:sz w:val="24"/>
          <w:lang w:val="et-EE"/>
        </w:rPr>
        <w:t xml:space="preserve">ELT L 153, 3.5.2021, lk 48, ELI: </w:t>
      </w:r>
      <w:hyperlink r:id="rId1" w:history="1">
        <w:r w:rsidRPr="00236B0C">
          <w:rPr>
            <w:rStyle w:val="Hyperlink"/>
            <w:sz w:val="24"/>
            <w:lang w:val="et-EE"/>
          </w:rPr>
          <w:t>http://data.europa.eu/eli/reg/2021/691/oj</w:t>
        </w:r>
      </w:hyperlink>
      <w:r w:rsidRPr="00236B0C">
        <w:rPr>
          <w:sz w:val="24"/>
          <w:lang w:val="et-EE"/>
        </w:rPr>
        <w:t>.</w:t>
      </w:r>
    </w:p>
  </w:footnote>
  <w:footnote w:id="2">
    <w:p w14:paraId="3E11DE46" w14:textId="0ADDCFE2"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r w:rsidRPr="00236B0C">
        <w:rPr>
          <w:sz w:val="24"/>
          <w:lang w:val="et-EE"/>
        </w:rPr>
        <w:t>ELT L 433</w:t>
      </w:r>
      <w:r w:rsidR="00567317">
        <w:rPr>
          <w:sz w:val="24"/>
          <w:lang w:val="et-EE"/>
        </w:rPr>
        <w:t> </w:t>
      </w:r>
      <w:r w:rsidRPr="00236B0C">
        <w:rPr>
          <w:sz w:val="24"/>
          <w:lang w:val="et-EE"/>
        </w:rPr>
        <w:t xml:space="preserve">I, 22.12.2020, lk 11, ELI: </w:t>
      </w:r>
      <w:hyperlink r:id="rId2" w:history="1">
        <w:r w:rsidRPr="00236B0C">
          <w:rPr>
            <w:rStyle w:val="Hyperlink"/>
            <w:sz w:val="24"/>
            <w:lang w:val="et-EE"/>
          </w:rPr>
          <w:t>http://data.europa.eu/eli/reg/2020/2093/oj</w:t>
        </w:r>
      </w:hyperlink>
      <w:r w:rsidRPr="00236B0C">
        <w:rPr>
          <w:sz w:val="24"/>
          <w:lang w:val="et-EE"/>
        </w:rPr>
        <w:t>.</w:t>
      </w:r>
    </w:p>
  </w:footnote>
  <w:footnote w:id="3">
    <w:p w14:paraId="4E88F134" w14:textId="191DB835"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shd w:val="clear" w:color="auto" w:fill="FFFFFF"/>
          <w:lang w:val="et-EE"/>
        </w:rPr>
        <w:tab/>
      </w:r>
      <w:r w:rsidRPr="00236B0C">
        <w:rPr>
          <w:sz w:val="24"/>
          <w:shd w:val="clear" w:color="auto" w:fill="FFFFFF"/>
          <w:lang w:val="et-EE"/>
        </w:rPr>
        <w:t>Nõukogu 29. veebruari 2024. </w:t>
      </w:r>
      <w:r w:rsidRPr="00236B0C">
        <w:rPr>
          <w:sz w:val="24"/>
          <w:shd w:val="clear" w:color="auto" w:fill="FFFFFF"/>
          <w:lang w:val="et-EE"/>
        </w:rPr>
        <w:t>aasta määrus (EL, Euratom) 2024/765, millega muudetakse määrust (EL, Euratom) 2020/2093, millega määratakse kindlaks mitmeaastane finantsraamistik aastateks 2021–2027 (ELT L, 2024/765, 29.2.2024, ELI:</w:t>
      </w:r>
      <w:r w:rsidRPr="00236B0C">
        <w:rPr>
          <w:color w:val="333333"/>
          <w:sz w:val="24"/>
          <w:shd w:val="clear" w:color="auto" w:fill="FFFFFF"/>
          <w:lang w:val="et-EE"/>
        </w:rPr>
        <w:t xml:space="preserve"> </w:t>
      </w:r>
      <w:hyperlink r:id="rId3" w:history="1">
        <w:r w:rsidRPr="00236B0C">
          <w:rPr>
            <w:rStyle w:val="Hyperlink"/>
            <w:sz w:val="24"/>
            <w:shd w:val="clear" w:color="auto" w:fill="FFFFFF"/>
            <w:lang w:val="et-EE"/>
          </w:rPr>
          <w:t>http://data.europa.eu/eli/reg/2024/765/oj</w:t>
        </w:r>
      </w:hyperlink>
      <w:r w:rsidRPr="00236B0C">
        <w:rPr>
          <w:sz w:val="24"/>
          <w:lang w:val="et-EE"/>
        </w:rPr>
        <w:t>).</w:t>
      </w:r>
    </w:p>
  </w:footnote>
  <w:footnote w:id="4">
    <w:p w14:paraId="769A468F" w14:textId="7A7CC83F"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r w:rsidRPr="00236B0C">
        <w:rPr>
          <w:sz w:val="24"/>
          <w:lang w:val="et-EE"/>
        </w:rPr>
        <w:t>ELT L 433</w:t>
      </w:r>
      <w:r w:rsidR="00567317">
        <w:rPr>
          <w:sz w:val="24"/>
          <w:lang w:val="et-EE"/>
        </w:rPr>
        <w:t> </w:t>
      </w:r>
      <w:r w:rsidRPr="00236B0C">
        <w:rPr>
          <w:sz w:val="24"/>
          <w:lang w:val="et-EE"/>
        </w:rPr>
        <w:t xml:space="preserve">I, 22.12.2020, lk 28, ELI: </w:t>
      </w:r>
      <w:hyperlink r:id="rId4" w:history="1">
        <w:r w:rsidRPr="00236B0C">
          <w:rPr>
            <w:rStyle w:val="Hyperlink"/>
            <w:sz w:val="24"/>
            <w:lang w:val="et-EE"/>
          </w:rPr>
          <w:t>http://data.europa.eu/eli/agree_interinstit/2020/1222/oj</w:t>
        </w:r>
      </w:hyperlink>
      <w:r w:rsidRPr="00236B0C">
        <w:rPr>
          <w:sz w:val="24"/>
          <w:lang w:val="et-EE"/>
        </w:rPr>
        <w:t>.</w:t>
      </w:r>
    </w:p>
  </w:footnote>
  <w:footnote w:id="5">
    <w:p w14:paraId="1791C0A8" w14:textId="73DD3BB7"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r w:rsidRPr="00236B0C">
        <w:rPr>
          <w:sz w:val="24"/>
          <w:lang w:val="et-EE"/>
        </w:rPr>
        <w:t>EGFi määruse artikli 3 tähenduses.</w:t>
      </w:r>
    </w:p>
  </w:footnote>
  <w:footnote w:id="6">
    <w:p w14:paraId="4D98A54D" w14:textId="0948C608"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r w:rsidRPr="00236B0C">
        <w:rPr>
          <w:sz w:val="24"/>
          <w:lang w:val="et-EE"/>
        </w:rPr>
        <w:t>Mitmeaastase finantsraamistiku määruse artikkel 8.</w:t>
      </w:r>
    </w:p>
  </w:footnote>
  <w:footnote w:id="7">
    <w:p w14:paraId="740A649E" w14:textId="3F52719E" w:rsidR="002C6EEC" w:rsidRPr="00236B0C" w:rsidRDefault="002C6EEC" w:rsidP="00236B0C">
      <w:pPr>
        <w:pStyle w:val="FootnoteText"/>
        <w:ind w:left="567" w:hanging="567"/>
        <w:rPr>
          <w:sz w:val="24"/>
          <w:lang w:val="et-EE"/>
        </w:rPr>
      </w:pPr>
      <w:r w:rsidRPr="00236B0C">
        <w:rPr>
          <w:rStyle w:val="FootnoteReference"/>
          <w:sz w:val="24"/>
          <w:lang w:val="et-EE"/>
        </w:rPr>
        <w:footnoteRef/>
      </w:r>
      <w:r w:rsidR="00236B0C" w:rsidRPr="00236B0C">
        <w:rPr>
          <w:sz w:val="24"/>
          <w:lang w:val="et-EE"/>
        </w:rPr>
        <w:tab/>
      </w:r>
      <w:hyperlink r:id="rId5" w:history="1">
        <w:r w:rsidRPr="00236B0C">
          <w:rPr>
            <w:rStyle w:val="Hyperlink"/>
            <w:sz w:val="24"/>
            <w:lang w:val="et-EE"/>
          </w:rPr>
          <w:t xml:space="preserve">Belgia riigipanga </w:t>
        </w:r>
      </w:hyperlink>
      <w:hyperlink r:id="rId6" w:history="1">
        <w:r w:rsidRPr="00236B0C">
          <w:rPr>
            <w:rStyle w:val="Hyperlink"/>
            <w:sz w:val="24"/>
            <w:lang w:val="et-EE"/>
          </w:rPr>
          <w:t>2024. aasta majandusülevaade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759A1" w14:textId="77777777" w:rsidR="00064002" w:rsidRPr="00236B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9BB4" w14:textId="77777777" w:rsidR="00064002" w:rsidRPr="00236B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E79B" w14:textId="77777777" w:rsidR="00064002" w:rsidRPr="00236B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1317695">
    <w:abstractNumId w:val="9"/>
  </w:num>
  <w:num w:numId="2" w16cid:durableId="1330524696">
    <w:abstractNumId w:val="9"/>
  </w:num>
  <w:num w:numId="3" w16cid:durableId="1614165554">
    <w:abstractNumId w:val="7"/>
  </w:num>
  <w:num w:numId="4" w16cid:durableId="1514952175">
    <w:abstractNumId w:val="7"/>
  </w:num>
  <w:num w:numId="5" w16cid:durableId="686446664">
    <w:abstractNumId w:val="6"/>
  </w:num>
  <w:num w:numId="6" w16cid:durableId="1632398116">
    <w:abstractNumId w:val="6"/>
  </w:num>
  <w:num w:numId="7" w16cid:durableId="1923565708">
    <w:abstractNumId w:val="5"/>
  </w:num>
  <w:num w:numId="8" w16cid:durableId="2124960530">
    <w:abstractNumId w:val="5"/>
  </w:num>
  <w:num w:numId="9" w16cid:durableId="1441337771">
    <w:abstractNumId w:val="4"/>
  </w:num>
  <w:num w:numId="10" w16cid:durableId="1957784634">
    <w:abstractNumId w:val="4"/>
  </w:num>
  <w:num w:numId="11" w16cid:durableId="1815366138">
    <w:abstractNumId w:val="8"/>
  </w:num>
  <w:num w:numId="12" w16cid:durableId="1718820066">
    <w:abstractNumId w:val="8"/>
  </w:num>
  <w:num w:numId="13" w16cid:durableId="1501963034">
    <w:abstractNumId w:val="3"/>
  </w:num>
  <w:num w:numId="14" w16cid:durableId="91516850">
    <w:abstractNumId w:val="3"/>
  </w:num>
  <w:num w:numId="15" w16cid:durableId="618798978">
    <w:abstractNumId w:val="2"/>
  </w:num>
  <w:num w:numId="16" w16cid:durableId="675040206">
    <w:abstractNumId w:val="2"/>
  </w:num>
  <w:num w:numId="17" w16cid:durableId="1529026538">
    <w:abstractNumId w:val="1"/>
  </w:num>
  <w:num w:numId="18" w16cid:durableId="1961109978">
    <w:abstractNumId w:val="1"/>
  </w:num>
  <w:num w:numId="19" w16cid:durableId="1928729501">
    <w:abstractNumId w:val="0"/>
  </w:num>
  <w:num w:numId="20" w16cid:durableId="1566181809">
    <w:abstractNumId w:val="0"/>
  </w:num>
  <w:num w:numId="21" w16cid:durableId="1801219713">
    <w:abstractNumId w:val="9"/>
  </w:num>
  <w:num w:numId="22" w16cid:durableId="1187673907">
    <w:abstractNumId w:val="7"/>
  </w:num>
  <w:num w:numId="23" w16cid:durableId="786393404">
    <w:abstractNumId w:val="6"/>
  </w:num>
  <w:num w:numId="24" w16cid:durableId="1953635200">
    <w:abstractNumId w:val="5"/>
  </w:num>
  <w:num w:numId="25" w16cid:durableId="1988851372">
    <w:abstractNumId w:val="4"/>
  </w:num>
  <w:num w:numId="26" w16cid:durableId="59405979">
    <w:abstractNumId w:val="8"/>
  </w:num>
  <w:num w:numId="27" w16cid:durableId="834145930">
    <w:abstractNumId w:val="3"/>
  </w:num>
  <w:num w:numId="28" w16cid:durableId="918909220">
    <w:abstractNumId w:val="2"/>
  </w:num>
  <w:num w:numId="29" w16cid:durableId="611713350">
    <w:abstractNumId w:val="1"/>
  </w:num>
  <w:num w:numId="30" w16cid:durableId="2140611017">
    <w:abstractNumId w:val="0"/>
  </w:num>
  <w:num w:numId="31" w16cid:durableId="1167016589">
    <w:abstractNumId w:val="9"/>
  </w:num>
  <w:num w:numId="32" w16cid:durableId="1739980829">
    <w:abstractNumId w:val="7"/>
  </w:num>
  <w:num w:numId="33" w16cid:durableId="1918325709">
    <w:abstractNumId w:val="6"/>
  </w:num>
  <w:num w:numId="34" w16cid:durableId="877084251">
    <w:abstractNumId w:val="5"/>
  </w:num>
  <w:num w:numId="35" w16cid:durableId="500976143">
    <w:abstractNumId w:val="4"/>
  </w:num>
  <w:num w:numId="36" w16cid:durableId="914096831">
    <w:abstractNumId w:val="8"/>
  </w:num>
  <w:num w:numId="37" w16cid:durableId="494884240">
    <w:abstractNumId w:val="3"/>
  </w:num>
  <w:num w:numId="38" w16cid:durableId="64039265">
    <w:abstractNumId w:val="2"/>
  </w:num>
  <w:num w:numId="39" w16cid:durableId="279998584">
    <w:abstractNumId w:val="1"/>
  </w:num>
  <w:num w:numId="40" w16cid:durableId="100272469">
    <w:abstractNumId w:val="0"/>
  </w:num>
  <w:num w:numId="41" w16cid:durableId="1905794517">
    <w:abstractNumId w:val="10"/>
  </w:num>
  <w:num w:numId="42" w16cid:durableId="1252786231">
    <w:abstractNumId w:val="10"/>
  </w:num>
  <w:num w:numId="43" w16cid:durableId="1429426351">
    <w:abstractNumId w:val="10"/>
  </w:num>
  <w:num w:numId="44" w16cid:durableId="2019311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ET"/>
    <w:docVar w:name="dvnumam" w:val="0"/>
    <w:docVar w:name="dvpe" w:val="785.333"/>
    <w:docVar w:name="dvrapporteur" w:val="Raportöör: "/>
    <w:docVar w:name="dvtitre" w:val="Euroopa Parlamendi .... 2026. aasta seadusandlik resolutsioon mis käsitleb ettepanekut võtta vastu Euroopa Parlamendi ja nõukogu otsus koondatud töötajate toetuseks loodud Globaliseerumisega Kohanemise Euroopa Fondi kasutuselevõtmise kohta (Belgia taotlus – EGF/2025/008 BE/Liberty)(COM(2026)0004 – C10-0062/2026 – 2026/0066(BUD))"/>
  </w:docVars>
  <w:rsids>
    <w:rsidRoot w:val="004B3F41"/>
    <w:rsid w:val="00002272"/>
    <w:rsid w:val="00064002"/>
    <w:rsid w:val="000677B9"/>
    <w:rsid w:val="000831BA"/>
    <w:rsid w:val="000A42CC"/>
    <w:rsid w:val="000A66E5"/>
    <w:rsid w:val="000E3FF4"/>
    <w:rsid w:val="000E7DD9"/>
    <w:rsid w:val="0010095E"/>
    <w:rsid w:val="00123C7F"/>
    <w:rsid w:val="00125B37"/>
    <w:rsid w:val="00187494"/>
    <w:rsid w:val="001D76E5"/>
    <w:rsid w:val="001F32AE"/>
    <w:rsid w:val="00236B0C"/>
    <w:rsid w:val="00245AA4"/>
    <w:rsid w:val="002767FF"/>
    <w:rsid w:val="002B18FE"/>
    <w:rsid w:val="002B5493"/>
    <w:rsid w:val="002C6EEC"/>
    <w:rsid w:val="00343214"/>
    <w:rsid w:val="00361C00"/>
    <w:rsid w:val="00395FA1"/>
    <w:rsid w:val="003E15D4"/>
    <w:rsid w:val="00411CCE"/>
    <w:rsid w:val="0041666E"/>
    <w:rsid w:val="00421060"/>
    <w:rsid w:val="00471C19"/>
    <w:rsid w:val="004867E3"/>
    <w:rsid w:val="00494A28"/>
    <w:rsid w:val="004B3F41"/>
    <w:rsid w:val="004C0004"/>
    <w:rsid w:val="004C2D1A"/>
    <w:rsid w:val="004C5D52"/>
    <w:rsid w:val="0050519A"/>
    <w:rsid w:val="005072A1"/>
    <w:rsid w:val="00514517"/>
    <w:rsid w:val="00545827"/>
    <w:rsid w:val="00560270"/>
    <w:rsid w:val="00567317"/>
    <w:rsid w:val="005C2568"/>
    <w:rsid w:val="005F1B17"/>
    <w:rsid w:val="006037C0"/>
    <w:rsid w:val="006631B6"/>
    <w:rsid w:val="00680577"/>
    <w:rsid w:val="00687E97"/>
    <w:rsid w:val="006B100C"/>
    <w:rsid w:val="006F74FA"/>
    <w:rsid w:val="00731ADD"/>
    <w:rsid w:val="00734777"/>
    <w:rsid w:val="00747932"/>
    <w:rsid w:val="00751A4A"/>
    <w:rsid w:val="00752BE1"/>
    <w:rsid w:val="00756632"/>
    <w:rsid w:val="00762C74"/>
    <w:rsid w:val="00786EC0"/>
    <w:rsid w:val="007D1690"/>
    <w:rsid w:val="007E22AD"/>
    <w:rsid w:val="008034D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6588"/>
    <w:rsid w:val="00CF071A"/>
    <w:rsid w:val="00D058B8"/>
    <w:rsid w:val="00D56C11"/>
    <w:rsid w:val="00D834A0"/>
    <w:rsid w:val="00D872DF"/>
    <w:rsid w:val="00D91E21"/>
    <w:rsid w:val="00D92414"/>
    <w:rsid w:val="00DA7FCD"/>
    <w:rsid w:val="00DD2E14"/>
    <w:rsid w:val="00E365E1"/>
    <w:rsid w:val="00E820A4"/>
    <w:rsid w:val="00EB006A"/>
    <w:rsid w:val="00EB4772"/>
    <w:rsid w:val="00EB67E7"/>
    <w:rsid w:val="00ED169E"/>
    <w:rsid w:val="00ED4235"/>
    <w:rsid w:val="00F04346"/>
    <w:rsid w:val="00F075DC"/>
    <w:rsid w:val="00F1465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4B5EA"/>
  <w15:chartTrackingRefBased/>
  <w15:docId w15:val="{A4E9EA0B-1BD4-4674-8B26-1A01FCE5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6EE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C6EEC"/>
    <w:pPr>
      <w:keepNext/>
      <w:spacing w:after="480"/>
      <w:jc w:val="center"/>
    </w:pPr>
    <w:rPr>
      <w:rFonts w:ascii="Arial" w:hAnsi="Arial" w:cs="Arial"/>
      <w:b/>
    </w:rPr>
  </w:style>
  <w:style w:type="paragraph" w:customStyle="1" w:styleId="NormalHanging12a">
    <w:name w:val="NormalHanging12a"/>
    <w:basedOn w:val="Normal"/>
    <w:link w:val="NormalHanging12aChar"/>
    <w:rsid w:val="002C6EEC"/>
    <w:pPr>
      <w:spacing w:after="240"/>
      <w:ind w:left="567" w:hanging="567"/>
    </w:pPr>
  </w:style>
  <w:style w:type="paragraph" w:styleId="Header">
    <w:name w:val="header"/>
    <w:basedOn w:val="Normal"/>
    <w:link w:val="HeaderChar"/>
    <w:rsid w:val="002C6EEC"/>
    <w:pPr>
      <w:tabs>
        <w:tab w:val="center" w:pos="4513"/>
        <w:tab w:val="right" w:pos="9026"/>
      </w:tabs>
    </w:pPr>
  </w:style>
  <w:style w:type="character" w:customStyle="1" w:styleId="HeaderChar">
    <w:name w:val="Header Char"/>
    <w:basedOn w:val="DefaultParagraphFont"/>
    <w:link w:val="Header"/>
    <w:rsid w:val="002C6EEC"/>
    <w:rPr>
      <w:sz w:val="24"/>
      <w:lang w:val="et-EE"/>
    </w:rPr>
  </w:style>
  <w:style w:type="paragraph" w:customStyle="1" w:styleId="EPFooter">
    <w:name w:val="EPFooter"/>
    <w:basedOn w:val="Normal"/>
    <w:rsid w:val="002C6EEC"/>
    <w:pPr>
      <w:tabs>
        <w:tab w:val="center" w:pos="4535"/>
        <w:tab w:val="right" w:pos="9071"/>
      </w:tabs>
      <w:spacing w:before="240" w:after="240"/>
    </w:pPr>
    <w:rPr>
      <w:color w:val="010000"/>
      <w:sz w:val="22"/>
    </w:rPr>
  </w:style>
  <w:style w:type="paragraph" w:customStyle="1" w:styleId="EPComma">
    <w:name w:val="EPComma"/>
    <w:basedOn w:val="Normal"/>
    <w:rsid w:val="002C6EEC"/>
    <w:pPr>
      <w:spacing w:before="480" w:after="240"/>
    </w:pPr>
  </w:style>
  <w:style w:type="character" w:styleId="Hyperlink">
    <w:name w:val="Hyperlink"/>
    <w:basedOn w:val="DefaultParagraphFont"/>
    <w:uiPriority w:val="99"/>
    <w:rsid w:val="002C6EEC"/>
    <w:rPr>
      <w:color w:val="0563C1" w:themeColor="hyperlink"/>
      <w:u w:val="single"/>
    </w:rPr>
  </w:style>
  <w:style w:type="character" w:customStyle="1" w:styleId="NormalHanging12aChar">
    <w:name w:val="NormalHanging12a Char"/>
    <w:basedOn w:val="DefaultParagraphFont"/>
    <w:link w:val="NormalHanging12a"/>
    <w:locked/>
    <w:rsid w:val="002C6EEC"/>
    <w:rPr>
      <w:sz w:val="24"/>
      <w:lang w:val="et-EE"/>
    </w:rPr>
  </w:style>
  <w:style w:type="paragraph" w:customStyle="1" w:styleId="Institutionquisigne">
    <w:name w:val="Institution qui signe"/>
    <w:basedOn w:val="Normal"/>
    <w:next w:val="Personnequisigne"/>
    <w:rsid w:val="002C6EE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2C6EE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C6EE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C6EE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C6EEC"/>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2C6EEC"/>
    <w:pPr>
      <w:widowControl/>
      <w:tabs>
        <w:tab w:val="left" w:pos="4252"/>
      </w:tabs>
    </w:pPr>
    <w:rPr>
      <w:rFonts w:eastAsiaTheme="minorHAnsi"/>
      <w:i/>
      <w:szCs w:val="22"/>
      <w:lang w:eastAsia="en-US"/>
    </w:rPr>
  </w:style>
  <w:style w:type="paragraph" w:customStyle="1" w:styleId="ManualConsidrant">
    <w:name w:val="Manual Considérant"/>
    <w:basedOn w:val="Normal"/>
    <w:rsid w:val="002C6EEC"/>
    <w:pPr>
      <w:widowControl/>
      <w:spacing w:before="120" w:after="120"/>
      <w:ind w:left="709" w:hanging="709"/>
      <w:jc w:val="both"/>
    </w:pPr>
    <w:rPr>
      <w:rFonts w:eastAsiaTheme="minorHAnsi"/>
      <w:szCs w:val="22"/>
      <w:lang w:eastAsia="en-US"/>
    </w:rPr>
  </w:style>
  <w:style w:type="character" w:styleId="CommentReference">
    <w:name w:val="annotation reference"/>
    <w:uiPriority w:val="99"/>
    <w:unhideWhenUsed/>
    <w:rsid w:val="002C6EEC"/>
    <w:rPr>
      <w:rFonts w:ascii="Times New Roman" w:hAnsi="Times New Roman" w:cs="Times New Roman" w:hint="default"/>
      <w:sz w:val="16"/>
      <w:szCs w:val="16"/>
    </w:rPr>
  </w:style>
  <w:style w:type="character" w:customStyle="1" w:styleId="PageHeadingChar">
    <w:name w:val="PageHeading Char"/>
    <w:basedOn w:val="DefaultParagraphFont"/>
    <w:link w:val="PageHeading"/>
    <w:locked/>
    <w:rsid w:val="002C6EEC"/>
    <w:rPr>
      <w:rFonts w:ascii="Arial" w:hAnsi="Arial" w:cs="Arial"/>
      <w:b/>
      <w:sz w:val="24"/>
      <w:lang w:val="et-EE"/>
    </w:rPr>
  </w:style>
  <w:style w:type="paragraph" w:styleId="Revision">
    <w:name w:val="Revision"/>
    <w:hidden/>
    <w:uiPriority w:val="99"/>
    <w:semiHidden/>
    <w:rsid w:val="00752BE1"/>
    <w:rPr>
      <w:sz w:val="24"/>
      <w:lang w:val="et-EE"/>
    </w:rPr>
  </w:style>
  <w:style w:type="character" w:styleId="UnresolvedMention">
    <w:name w:val="Unresolved Mention"/>
    <w:basedOn w:val="DefaultParagraphFont"/>
    <w:uiPriority w:val="99"/>
    <w:semiHidden/>
    <w:unhideWhenUsed/>
    <w:rsid w:val="00752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10154</Characters>
  <Application>Microsoft Office Word</Application>
  <DocSecurity>0</DocSecurity>
  <Lines>84</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2026-07-06T11:40:00Z</dcterms:created>
  <dcterms:modified xsi:type="dcterms:W3CDTF">2026-07-06T11:40:00Z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P10_TA(2026)0145_</vt:lpwstr>
  </property>
  <property fmtid="{D5CDD505-2E9C-101B-9397-08002B2CF9AE}" pid="4" name="&lt;Type&gt;">
    <vt:lpwstr>RR</vt:lpwstr>
  </property>
</Properties>
</file>