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1E59" w14:paraId="7611D3D6" w14:textId="77777777" w:rsidTr="0010095E">
        <w:trPr>
          <w:trHeight w:hRule="exact" w:val="1418"/>
        </w:trPr>
        <w:tc>
          <w:tcPr>
            <w:tcW w:w="6804" w:type="dxa"/>
            <w:shd w:val="clear" w:color="auto" w:fill="auto"/>
            <w:vAlign w:val="center"/>
          </w:tcPr>
          <w:p w14:paraId="30EABFD3" w14:textId="77777777" w:rsidR="00751A4A" w:rsidRPr="00801E59" w:rsidRDefault="00402078" w:rsidP="0010095E">
            <w:pPr>
              <w:pStyle w:val="EPName"/>
            </w:pPr>
            <w:r w:rsidRPr="00801E59">
              <w:t>Euroopan parlamentti</w:t>
            </w:r>
          </w:p>
          <w:p w14:paraId="38CDE1A3" w14:textId="77777777" w:rsidR="00751A4A" w:rsidRPr="00801E59" w:rsidRDefault="005F1B17" w:rsidP="005F1B17">
            <w:pPr>
              <w:pStyle w:val="EPTerm"/>
              <w:rPr>
                <w:rStyle w:val="HideTWBExt"/>
                <w:noProof w:val="0"/>
                <w:vanish w:val="0"/>
                <w:color w:val="auto"/>
              </w:rPr>
            </w:pPr>
            <w:r w:rsidRPr="00801E59">
              <w:t>2024</w:t>
            </w:r>
            <w:r w:rsidR="00817416" w:rsidRPr="00801E59">
              <w:t>-202</w:t>
            </w:r>
            <w:r w:rsidRPr="00801E59">
              <w:t>9</w:t>
            </w:r>
          </w:p>
        </w:tc>
        <w:tc>
          <w:tcPr>
            <w:tcW w:w="2268" w:type="dxa"/>
            <w:shd w:val="clear" w:color="auto" w:fill="auto"/>
          </w:tcPr>
          <w:p w14:paraId="4D55F7D7" w14:textId="77777777" w:rsidR="00751A4A" w:rsidRPr="00801E59" w:rsidRDefault="00187494" w:rsidP="0010095E">
            <w:pPr>
              <w:pStyle w:val="EPLogo"/>
            </w:pPr>
            <w:r w:rsidRPr="00801E59">
              <w:rPr>
                <w:noProof/>
                <w:lang w:eastAsia="ja-JP"/>
              </w:rPr>
              <w:drawing>
                <wp:inline distT="0" distB="0" distL="0" distR="0" wp14:anchorId="6B67199D" wp14:editId="6D4E7E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F8A5B1" w14:textId="77777777" w:rsidR="00D058B8" w:rsidRPr="00801E59" w:rsidRDefault="00D058B8" w:rsidP="004C5D52">
      <w:pPr>
        <w:pStyle w:val="LineTop"/>
      </w:pPr>
    </w:p>
    <w:p w14:paraId="71F92EF8" w14:textId="77777777" w:rsidR="00680577" w:rsidRPr="00801E59" w:rsidRDefault="00402078" w:rsidP="00680577">
      <w:pPr>
        <w:pStyle w:val="EPBodyTA1"/>
      </w:pPr>
      <w:r w:rsidRPr="00801E59">
        <w:t>HYVÄKSYTYT TEKSTIT</w:t>
      </w:r>
    </w:p>
    <w:p w14:paraId="7F8BDEB8" w14:textId="77777777" w:rsidR="00D058B8" w:rsidRPr="00801E59" w:rsidRDefault="00D058B8" w:rsidP="00D058B8">
      <w:pPr>
        <w:pStyle w:val="LineBottom"/>
      </w:pPr>
    </w:p>
    <w:p w14:paraId="33EC3826" w14:textId="282B0005" w:rsidR="00402078" w:rsidRPr="00801E59" w:rsidRDefault="00402078" w:rsidP="00402078">
      <w:pPr>
        <w:pStyle w:val="ATHeading1"/>
      </w:pPr>
      <w:bookmarkStart w:id="0" w:name="TANumber"/>
      <w:r w:rsidRPr="00801E59">
        <w:t>P10_TA(2026)0</w:t>
      </w:r>
      <w:r w:rsidR="00801E59" w:rsidRPr="00801E59">
        <w:t>145</w:t>
      </w:r>
      <w:bookmarkEnd w:id="0"/>
    </w:p>
    <w:p w14:paraId="0832D4A9" w14:textId="45FD4C53" w:rsidR="00402078" w:rsidRPr="00801E59" w:rsidRDefault="00843C5B" w:rsidP="00843C5B">
      <w:pPr>
        <w:pStyle w:val="ATHeading2"/>
      </w:pPr>
      <w:bookmarkStart w:id="1" w:name="title"/>
      <w:r w:rsidRPr="00801E59">
        <w:rPr>
          <w:bCs/>
        </w:rPr>
        <w:t>Työttömiksi jääneitä työntekijöitä tukevan Euroopan globalisaatiorahaston varojen käyttöönotto: hakemus EGF/2025/008 BE/Liberty – Belgia</w:t>
      </w:r>
      <w:bookmarkEnd w:id="1"/>
    </w:p>
    <w:p w14:paraId="21151C7B" w14:textId="77777777" w:rsidR="00402078" w:rsidRPr="00801E59" w:rsidRDefault="00402078" w:rsidP="00402078">
      <w:pPr>
        <w:rPr>
          <w:i/>
          <w:vanish/>
        </w:rPr>
      </w:pPr>
      <w:r w:rsidRPr="00801E59">
        <w:rPr>
          <w:i/>
        </w:rPr>
        <w:fldChar w:fldCharType="begin"/>
      </w:r>
      <w:r w:rsidRPr="00801E59">
        <w:rPr>
          <w:i/>
        </w:rPr>
        <w:instrText xml:space="preserve"> TC"(</w:instrText>
      </w:r>
      <w:bookmarkStart w:id="2" w:name="DocNumber"/>
      <w:r w:rsidRPr="00801E59">
        <w:rPr>
          <w:i/>
        </w:rPr>
        <w:instrText>A10-0084/2026</w:instrText>
      </w:r>
      <w:bookmarkEnd w:id="2"/>
      <w:r w:rsidRPr="00801E59">
        <w:rPr>
          <w:i/>
        </w:rPr>
        <w:instrText xml:space="preserve"> - Esittelijä: Matthias Ecke)"\l3 \n&gt; \* MERGEFORMAT </w:instrText>
      </w:r>
      <w:r w:rsidRPr="00801E59">
        <w:rPr>
          <w:i/>
        </w:rPr>
        <w:fldChar w:fldCharType="end"/>
      </w:r>
    </w:p>
    <w:p w14:paraId="41F2604B" w14:textId="77777777" w:rsidR="00402078" w:rsidRPr="00801E59" w:rsidRDefault="00402078" w:rsidP="00402078">
      <w:pPr>
        <w:rPr>
          <w:vanish/>
        </w:rPr>
      </w:pPr>
      <w:bookmarkStart w:id="3" w:name="Commission"/>
      <w:r w:rsidRPr="00801E59">
        <w:rPr>
          <w:vanish/>
        </w:rPr>
        <w:t>Budjettivaliokunta</w:t>
      </w:r>
      <w:bookmarkEnd w:id="3"/>
    </w:p>
    <w:p w14:paraId="0A64ED46" w14:textId="77777777" w:rsidR="00402078" w:rsidRPr="00801E59" w:rsidRDefault="00402078" w:rsidP="00402078">
      <w:pPr>
        <w:rPr>
          <w:vanish/>
        </w:rPr>
      </w:pPr>
      <w:bookmarkStart w:id="4" w:name="PE"/>
      <w:r w:rsidRPr="00801E59">
        <w:rPr>
          <w:vanish/>
        </w:rPr>
        <w:t>PE785.333</w:t>
      </w:r>
      <w:bookmarkEnd w:id="4"/>
    </w:p>
    <w:p w14:paraId="5CEF499B" w14:textId="4AADC946" w:rsidR="00402078" w:rsidRPr="00801E59" w:rsidRDefault="00402078" w:rsidP="00402078">
      <w:pPr>
        <w:pStyle w:val="ATHeading3"/>
      </w:pPr>
      <w:bookmarkStart w:id="5" w:name="Sujet"/>
      <w:r w:rsidRPr="00801E59">
        <w:t xml:space="preserve">Euroopan parlamentin päätöslauselma </w:t>
      </w:r>
      <w:r w:rsidR="00EC4F28" w:rsidRPr="00801E59">
        <w:t>29</w:t>
      </w:r>
      <w:r w:rsidRPr="00801E59">
        <w:t xml:space="preserve">. </w:t>
      </w:r>
      <w:r w:rsidR="00EC4F28" w:rsidRPr="00801E59">
        <w:t>huhti</w:t>
      </w:r>
      <w:r w:rsidRPr="00801E59">
        <w:t xml:space="preserve">kuuta 2026 ehdotuksesta Euroopan parlamentin ja neuvoston päätökseksi työttömiksi jääneitä työntekijöitä tukevan Euroopan globalisaatiorahaston varojen käyttöönotosta Belgian hakemuksen </w:t>
      </w:r>
      <w:proofErr w:type="gramStart"/>
      <w:r w:rsidRPr="00801E59">
        <w:t>johdosta</w:t>
      </w:r>
      <w:proofErr w:type="gramEnd"/>
      <w:r w:rsidRPr="00801E59">
        <w:t xml:space="preserve"> – EGF/2025/008 BE/Liberty</w:t>
      </w:r>
      <w:bookmarkEnd w:id="5"/>
      <w:r w:rsidRPr="00801E59">
        <w:t xml:space="preserve"> </w:t>
      </w:r>
      <w:bookmarkStart w:id="6" w:name="References"/>
      <w:r w:rsidRPr="00801E59">
        <w:t>(COM(2026)0004 – C10-0062/2026 – 2026/0066(BUD))</w:t>
      </w:r>
      <w:bookmarkEnd w:id="6"/>
    </w:p>
    <w:p w14:paraId="4CC65FE7" w14:textId="77777777" w:rsidR="00A21090" w:rsidRPr="00801E59" w:rsidRDefault="00A21090" w:rsidP="00843C5B">
      <w:pPr>
        <w:pStyle w:val="EPComma"/>
        <w:widowControl/>
        <w:rPr>
          <w:noProof/>
        </w:rPr>
      </w:pPr>
      <w:r w:rsidRPr="00801E59">
        <w:rPr>
          <w:i/>
          <w:iCs/>
        </w:rPr>
        <w:t>Euroopan parlamentti</w:t>
      </w:r>
      <w:r w:rsidRPr="00801E59">
        <w:t>, joka</w:t>
      </w:r>
    </w:p>
    <w:p w14:paraId="715A0A90" w14:textId="77777777" w:rsidR="00A21090" w:rsidRPr="00801E59" w:rsidRDefault="00A21090" w:rsidP="00843C5B">
      <w:pPr>
        <w:pStyle w:val="NormalHanging12a"/>
        <w:widowControl/>
        <w:rPr>
          <w:noProof/>
        </w:rPr>
      </w:pPr>
      <w:r w:rsidRPr="00801E59">
        <w:t>–</w:t>
      </w:r>
      <w:r w:rsidRPr="00801E59">
        <w:tab/>
        <w:t>ottaa huomioon komission ehdotuksen Euroopan parlamentille ja neuvostolle (COM(2026)0004 – C10</w:t>
      </w:r>
      <w:r w:rsidRPr="00801E59">
        <w:noBreakHyphen/>
        <w:t>0062/2026),</w:t>
      </w:r>
    </w:p>
    <w:p w14:paraId="26543ADD" w14:textId="77777777" w:rsidR="00A21090" w:rsidRPr="00801E59" w:rsidRDefault="00A21090" w:rsidP="00843C5B">
      <w:pPr>
        <w:pStyle w:val="NormalHanging12a"/>
        <w:widowControl/>
      </w:pPr>
      <w:r w:rsidRPr="00801E59">
        <w:t>–</w:t>
      </w:r>
      <w:r w:rsidRPr="00801E59">
        <w:tab/>
        <w:t>ottaa huomioon Euroopan globalisaatiorahastosta (EGR) työttömiksi jääneille työntekijöille ja asetuksen (EU) N:o 1309/2013 kumoamisesta 28. huhtikuuta 2021 annetun Euroopan parlamentin ja neuvoston asetuksen (EU) 2021/691</w:t>
      </w:r>
      <w:r w:rsidRPr="00801E59">
        <w:rPr>
          <w:vertAlign w:val="superscript"/>
        </w:rPr>
        <w:footnoteReference w:id="1"/>
      </w:r>
      <w:r w:rsidRPr="00801E59">
        <w:t>, jäljempänä ’EGR-asetus’,</w:t>
      </w:r>
    </w:p>
    <w:p w14:paraId="0862F034" w14:textId="77777777" w:rsidR="00A21090" w:rsidRPr="00801E59" w:rsidRDefault="00A21090" w:rsidP="00843C5B">
      <w:pPr>
        <w:pStyle w:val="NormalHanging12a"/>
        <w:widowControl/>
        <w:rPr>
          <w:noProof/>
        </w:rPr>
      </w:pPr>
      <w:r w:rsidRPr="00801E59">
        <w:t>–</w:t>
      </w:r>
      <w:r w:rsidRPr="00801E59">
        <w:tab/>
        <w:t>ottaa huomioon vuosia 2021–2027 koskevan monivuotisen rahoituskehyksen vahvistamisesta 17. joulukuuta 2020 annetun neuvoston asetuksen (EU, Euratom) 2020/2093</w:t>
      </w:r>
      <w:r w:rsidRPr="00801E59">
        <w:rPr>
          <w:noProof/>
          <w:vertAlign w:val="superscript"/>
        </w:rPr>
        <w:footnoteReference w:id="2"/>
      </w:r>
      <w:r w:rsidRPr="00801E59">
        <w:t>, sellaisena kuin se on muutettuna asetuksella (EU, Euratom) 2024/765</w:t>
      </w:r>
      <w:r w:rsidRPr="00801E59">
        <w:rPr>
          <w:noProof/>
          <w:vertAlign w:val="superscript"/>
        </w:rPr>
        <w:footnoteReference w:id="3"/>
      </w:r>
      <w:r w:rsidRPr="00801E59">
        <w:t>, jäljempänä ’rahoituskehysasetus’, ja erityisesti sen 8 artiklan,</w:t>
      </w:r>
    </w:p>
    <w:p w14:paraId="56A5AC0B" w14:textId="2F4626E7" w:rsidR="00A21090" w:rsidRPr="00801E59" w:rsidRDefault="00A21090" w:rsidP="00843C5B">
      <w:pPr>
        <w:pStyle w:val="NormalHanging12a"/>
        <w:widowControl/>
        <w:rPr>
          <w:noProof/>
        </w:rPr>
      </w:pPr>
      <w:r w:rsidRPr="00801E59">
        <w:t>–</w:t>
      </w:r>
      <w:r w:rsidRPr="00801E59">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801E59">
        <w:rPr>
          <w:rStyle w:val="FootnoteReference"/>
          <w:noProof/>
        </w:rPr>
        <w:footnoteReference w:id="4"/>
      </w:r>
      <w:r w:rsidRPr="00801E59">
        <w:t xml:space="preserve"> ja erityisesti sen 9 kohdan,</w:t>
      </w:r>
    </w:p>
    <w:p w14:paraId="2CC601D5" w14:textId="77777777" w:rsidR="00A21090" w:rsidRPr="00801E59" w:rsidRDefault="00A21090" w:rsidP="00843C5B">
      <w:pPr>
        <w:pStyle w:val="NormalHanging12a"/>
        <w:widowControl/>
      </w:pPr>
      <w:r w:rsidRPr="00801E59">
        <w:t>–</w:t>
      </w:r>
      <w:r w:rsidRPr="00801E59">
        <w:tab/>
        <w:t>ottaa huomioon Euroopan sosiaalisten oikeuksien pilarin,</w:t>
      </w:r>
    </w:p>
    <w:p w14:paraId="43410811" w14:textId="77777777" w:rsidR="00A21090" w:rsidRPr="00801E59" w:rsidRDefault="00A21090" w:rsidP="00843C5B">
      <w:pPr>
        <w:pStyle w:val="NormalHanging12a"/>
        <w:widowControl/>
      </w:pPr>
      <w:r w:rsidRPr="00801E59">
        <w:lastRenderedPageBreak/>
        <w:t>–</w:t>
      </w:r>
      <w:r w:rsidRPr="00801E59">
        <w:tab/>
        <w:t>ottaa huomioon työllisyyden ja sosiaaliasioiden valiokunnan kirjeen,</w:t>
      </w:r>
    </w:p>
    <w:p w14:paraId="30DF5D27" w14:textId="77777777" w:rsidR="00A21090" w:rsidRPr="00801E59" w:rsidRDefault="00A21090" w:rsidP="00843C5B">
      <w:pPr>
        <w:pStyle w:val="NormalHanging12a"/>
        <w:widowControl/>
      </w:pPr>
      <w:r w:rsidRPr="00801E59">
        <w:t>–</w:t>
      </w:r>
      <w:r w:rsidRPr="00801E59">
        <w:tab/>
        <w:t>ottaa huomioon budjettivaliokunnan mietinnön (A10-0084/2026),</w:t>
      </w:r>
    </w:p>
    <w:p w14:paraId="04056701" w14:textId="77777777" w:rsidR="00A21090" w:rsidRPr="00801E59" w:rsidRDefault="00A21090" w:rsidP="00843C5B">
      <w:pPr>
        <w:pStyle w:val="NormalHanging12a"/>
        <w:widowControl/>
        <w:rPr>
          <w:noProof/>
        </w:rPr>
      </w:pPr>
      <w:r w:rsidRPr="00801E59">
        <w:t>A.</w:t>
      </w:r>
      <w:r w:rsidRPr="00801E59">
        <w:tab/>
        <w:t>ottaa huomioon, että EU on ottanut käyttöön lainsäädäntö- ja budjettivälineitä tarjotakseen lisätukea työntekijöille, jotka kärsivät maailmankaupan huomattavien rakenteellisten tapahtumien ja muutosten seurauksista, ja auttaakseen heitä palaamaan työmarkkinoille; toteaa, että tuki annetaan rahoitustukena työntekijöille;</w:t>
      </w:r>
    </w:p>
    <w:p w14:paraId="5E4D4FED" w14:textId="77777777" w:rsidR="00A21090" w:rsidRPr="00801E59" w:rsidRDefault="00A21090" w:rsidP="00843C5B">
      <w:pPr>
        <w:pStyle w:val="NormalHanging12a"/>
        <w:widowControl/>
        <w:rPr>
          <w:bCs/>
          <w:iCs/>
          <w:noProof/>
        </w:rPr>
      </w:pPr>
      <w:r w:rsidRPr="00801E59">
        <w:t>B.</w:t>
      </w:r>
      <w:r w:rsidRPr="00801E59">
        <w:tab/>
        <w:t>katsoo, että tuki olisi suunnattava työntekijöiden nopeaan paluuseen työmarkkinoille ja sen varmistamiseen, että koulutus, uudelleenkoulutus ja ammatillinen koulutus antavat työntekijöille työmarkkinoiden tarpeita paremmin vastaavia taitoja;</w:t>
      </w:r>
    </w:p>
    <w:p w14:paraId="57002AA3" w14:textId="77777777" w:rsidR="00A21090" w:rsidRPr="00801E59" w:rsidRDefault="00A21090" w:rsidP="00843C5B">
      <w:pPr>
        <w:pStyle w:val="NormalHanging12a"/>
        <w:widowControl/>
      </w:pPr>
      <w:r w:rsidRPr="00801E59">
        <w:t>C.</w:t>
      </w:r>
      <w:r w:rsidRPr="00801E59">
        <w:tab/>
        <w:t xml:space="preserve">ottaa huomioon, että Belgia toimitti hakemuksen EGF/2025/008 BE/Liberty rahoitustuen saamiseksi </w:t>
      </w:r>
      <w:proofErr w:type="spellStart"/>
      <w:r w:rsidRPr="00801E59">
        <w:t>EGR:stä</w:t>
      </w:r>
      <w:proofErr w:type="spellEnd"/>
      <w:r w:rsidRPr="00801E59">
        <w:t xml:space="preserve"> yrityksen Liberty </w:t>
      </w:r>
      <w:proofErr w:type="spellStart"/>
      <w:r w:rsidRPr="00801E59">
        <w:t>Galați</w:t>
      </w:r>
      <w:proofErr w:type="spellEnd"/>
      <w:r w:rsidRPr="00801E59">
        <w:t xml:space="preserve"> Belgian </w:t>
      </w:r>
      <w:proofErr w:type="spellStart"/>
      <w:r w:rsidRPr="00801E59">
        <w:t>Branch</w:t>
      </w:r>
      <w:proofErr w:type="spellEnd"/>
      <w:r w:rsidRPr="00801E59">
        <w:t xml:space="preserve"> (Liberty) toteuttamien 507 työntekijävähennyksen</w:t>
      </w:r>
      <w:r w:rsidRPr="00801E59">
        <w:rPr>
          <w:vertAlign w:val="superscript"/>
        </w:rPr>
        <w:footnoteReference w:id="5"/>
      </w:r>
      <w:r w:rsidRPr="00801E59">
        <w:t xml:space="preserve"> vuoksi NACE </w:t>
      </w:r>
      <w:proofErr w:type="spellStart"/>
      <w:r w:rsidRPr="00801E59">
        <w:t>Rev</w:t>
      </w:r>
      <w:proofErr w:type="spellEnd"/>
      <w:r w:rsidRPr="00801E59">
        <w:t xml:space="preserve">. 2:n kaksinumerotasoon 24 (Metallien jalostus) luokitellulla toimialalla alueella </w:t>
      </w:r>
      <w:proofErr w:type="spellStart"/>
      <w:r w:rsidRPr="00801E59">
        <w:t>Province</w:t>
      </w:r>
      <w:proofErr w:type="spellEnd"/>
      <w:r w:rsidRPr="00801E59">
        <w:t xml:space="preserve"> </w:t>
      </w:r>
      <w:proofErr w:type="spellStart"/>
      <w:r w:rsidRPr="00801E59">
        <w:t>Liège</w:t>
      </w:r>
      <w:proofErr w:type="spellEnd"/>
      <w:r w:rsidRPr="00801E59">
        <w:t xml:space="preserve"> (BE33) Valloniassa viiteajanjaksolla 24. huhtikuuta 2025 – 24. elokuuta 2025;</w:t>
      </w:r>
    </w:p>
    <w:p w14:paraId="3C708C80" w14:textId="77777777" w:rsidR="00A21090" w:rsidRPr="00801E59" w:rsidRDefault="00A21090" w:rsidP="00843C5B">
      <w:pPr>
        <w:pStyle w:val="NormalHanging12a"/>
        <w:widowControl/>
      </w:pPr>
      <w:r w:rsidRPr="00801E59">
        <w:t>D.</w:t>
      </w:r>
      <w:r w:rsidRPr="00801E59">
        <w:tab/>
        <w:t>ottaa huomioon, että hakemus perustuu EGR-asetuksen 4 artiklan 2 kohdan a alakohdan mukaiseen toimintakriteeriin, jossa edellytyksenä on vähintään 200:n työttömäksi jääneen työntekijän tai itsenäisen ammatinharjoittajan työskentelyn loppuminen neljän kuukauden viiteajanjakson aikana jäsenvaltiossa sijaitsevassa yrityksessä;</w:t>
      </w:r>
    </w:p>
    <w:p w14:paraId="44CAE9CF" w14:textId="77777777" w:rsidR="00A21090" w:rsidRPr="00801E59" w:rsidRDefault="00A21090" w:rsidP="00843C5B">
      <w:pPr>
        <w:pStyle w:val="NormalHanging12a"/>
        <w:widowControl/>
        <w:rPr>
          <w:noProof/>
        </w:rPr>
      </w:pPr>
      <w:r w:rsidRPr="00801E59">
        <w:t>E.</w:t>
      </w:r>
      <w:r w:rsidRPr="00801E59">
        <w:tab/>
        <w:t xml:space="preserve">ottaa huomioon, että </w:t>
      </w:r>
      <w:proofErr w:type="spellStart"/>
      <w:r w:rsidRPr="00801E59">
        <w:t>Liègen</w:t>
      </w:r>
      <w:proofErr w:type="spellEnd"/>
      <w:r w:rsidRPr="00801E59">
        <w:t xml:space="preserve"> kauppatuomioistuin asetti Libertyn konkurssiin 22. huhtikuuta 2025; ottaa huomioon, että konkurssit ovat lisääntyneet Belgiassa vuodesta 2022 alkaen;</w:t>
      </w:r>
    </w:p>
    <w:p w14:paraId="377885D6" w14:textId="77777777" w:rsidR="00A21090" w:rsidRPr="00801E59" w:rsidRDefault="00A21090" w:rsidP="00843C5B">
      <w:pPr>
        <w:pStyle w:val="NormalHanging12a"/>
        <w:widowControl/>
      </w:pPr>
      <w:r w:rsidRPr="00801E59">
        <w:t>F.</w:t>
      </w:r>
      <w:r w:rsidRPr="00801E59">
        <w:tab/>
        <w:t xml:space="preserve">ottaa huomioon, että Vallonian alue ja työvoima- ja ammattikoulutuspalvelu </w:t>
      </w:r>
      <w:proofErr w:type="spellStart"/>
      <w:r w:rsidRPr="00801E59">
        <w:t>Le</w:t>
      </w:r>
      <w:proofErr w:type="spellEnd"/>
      <w:r w:rsidRPr="00801E59">
        <w:t xml:space="preserve"> </w:t>
      </w:r>
      <w:proofErr w:type="spellStart"/>
      <w:r w:rsidRPr="00801E59">
        <w:t>Forem</w:t>
      </w:r>
      <w:proofErr w:type="spellEnd"/>
      <w:r w:rsidRPr="00801E59">
        <w:t xml:space="preserve"> tarjoavat kansallista ennakko- ja yhteisrahoitusta kyseisiä toimenpiteitä varten;</w:t>
      </w:r>
    </w:p>
    <w:p w14:paraId="25B34234" w14:textId="77777777" w:rsidR="00A21090" w:rsidRPr="00801E59" w:rsidRDefault="00A21090" w:rsidP="00843C5B">
      <w:pPr>
        <w:pStyle w:val="NormalHanging12a"/>
        <w:widowControl/>
      </w:pPr>
      <w:r w:rsidRPr="00801E59">
        <w:t>G.</w:t>
      </w:r>
      <w:r w:rsidRPr="00801E59">
        <w:tab/>
        <w:t>ottaa huomioon, että kansallisessa ja EU:n lainsäädännössä säädettyjä joukkovähentämisiin liittyviä vaatimuksia on noudatettu;</w:t>
      </w:r>
    </w:p>
    <w:p w14:paraId="68FF8819" w14:textId="77777777" w:rsidR="00A21090" w:rsidRPr="00801E59" w:rsidRDefault="00A21090" w:rsidP="00843C5B">
      <w:pPr>
        <w:pStyle w:val="NormalHanging12a"/>
        <w:widowControl/>
      </w:pPr>
      <w:r w:rsidRPr="00801E59">
        <w:t>H.</w:t>
      </w:r>
      <w:r w:rsidRPr="00801E59">
        <w:tab/>
        <w:t xml:space="preserve">toteaa, että </w:t>
      </w:r>
      <w:proofErr w:type="spellStart"/>
      <w:r w:rsidRPr="00801E59">
        <w:t>EGR:n</w:t>
      </w:r>
      <w:proofErr w:type="spellEnd"/>
      <w:r w:rsidRPr="00801E59">
        <w:t xml:space="preserve"> rahoitustuki olisi keskitettävä ensisijaisesti aktiivisiin työvoimapoliittisiin toimenpiteisiin ja yksilöllisiin palveluihin, joilla pyritään auttamaan edunsaajia palaamaan nopeasti työmarkkinoille siten, että heille tarjotaan työmarkkinoille pääsyä helpottavien taitojen koulutusta;</w:t>
      </w:r>
    </w:p>
    <w:p w14:paraId="2E1524AA" w14:textId="77777777" w:rsidR="00A21090" w:rsidRPr="00801E59" w:rsidRDefault="00A21090" w:rsidP="00843C5B">
      <w:pPr>
        <w:pStyle w:val="NormalHanging12a"/>
        <w:widowControl/>
      </w:pPr>
      <w:r w:rsidRPr="00801E59">
        <w:t>I.</w:t>
      </w:r>
      <w:r w:rsidRPr="00801E59">
        <w:tab/>
        <w:t>ottaa huomioon, että EGR ei saa ylittää 30 miljoonan euron vuotuista enimmäismäärää (vuoden 2018 hintoina)</w:t>
      </w:r>
      <w:r w:rsidRPr="00801E59">
        <w:rPr>
          <w:rStyle w:val="FootnoteReference"/>
        </w:rPr>
        <w:footnoteReference w:id="6"/>
      </w:r>
      <w:r w:rsidRPr="00801E59">
        <w:t>;</w:t>
      </w:r>
    </w:p>
    <w:p w14:paraId="7C2C51B7" w14:textId="77777777" w:rsidR="00A21090" w:rsidRPr="00801E59" w:rsidRDefault="00A21090" w:rsidP="00843C5B">
      <w:pPr>
        <w:pStyle w:val="NormalHanging12a"/>
        <w:widowControl/>
      </w:pPr>
      <w:r w:rsidRPr="00801E59">
        <w:t>1.</w:t>
      </w:r>
      <w:r w:rsidRPr="00801E59">
        <w:tab/>
        <w:t>on yhtä mieltä komission kanssa siitä, että EGR-asetuksessa ja erityisesti sen 4 artiklan 2 kohdan a alakohdassa säädetyt edellytykset täyttyvät ja että Belgia on oikeutettu saamaan kyseisen asetuksen mukaista rahoitustukea 2 033 869 euroa eli 85 prosenttia 2 392 788 euron kokonaiskustannuksista, joista yksilöllisten palvelujen osuus on 2 358 922 euroa ja valmistelu-, hallinnointi-, tiedotus-, mainonta-, valvonta- ja raportointitoimien osuus 33 866 euroa;</w:t>
      </w:r>
    </w:p>
    <w:p w14:paraId="4B47D004" w14:textId="77777777" w:rsidR="00A21090" w:rsidRPr="00801E59" w:rsidRDefault="00A21090" w:rsidP="00843C5B">
      <w:pPr>
        <w:pStyle w:val="NormalHanging12a"/>
        <w:widowControl/>
      </w:pPr>
      <w:r w:rsidRPr="00801E59">
        <w:lastRenderedPageBreak/>
        <w:t>2.</w:t>
      </w:r>
      <w:r w:rsidRPr="00801E59">
        <w:tab/>
        <w:t xml:space="preserve">toteaa, että Belgian viranomaiset jättivät hakemuksen 13. marraskuuta 2025 ja että Belgian toimitettua lisätietoja komissio sai hakemusta koskevan arvionsa valmiiksi ja ilmoitti asiasta parlamentille 2. maaliskuuta 2026; korostaa, että on tarpeen lyhentää EGR-hakemuksen jättämisen ja rahoituspäätöksen saamisen välistä aikaa, mutta on myös turvattava parlamentin talousarvio-oikeudet; </w:t>
      </w:r>
    </w:p>
    <w:p w14:paraId="1D041115" w14:textId="77777777" w:rsidR="00A21090" w:rsidRPr="00801E59" w:rsidRDefault="00A21090" w:rsidP="00843C5B">
      <w:pPr>
        <w:pStyle w:val="NormalHanging12a"/>
        <w:widowControl/>
      </w:pPr>
      <w:r w:rsidRPr="00801E59">
        <w:t>3.</w:t>
      </w:r>
      <w:r w:rsidRPr="00801E59">
        <w:tab/>
        <w:t>ottaa huomioon, että hakemus koskee 507:ää Liberty-yrityksestä työttömäksi jäänyttä edunsaajaa;</w:t>
      </w:r>
    </w:p>
    <w:p w14:paraId="40100E1F" w14:textId="77777777" w:rsidR="00A21090" w:rsidRPr="00801E59" w:rsidRDefault="00A21090" w:rsidP="00843C5B">
      <w:pPr>
        <w:pStyle w:val="NormalHanging12a"/>
        <w:widowControl/>
      </w:pPr>
      <w:r w:rsidRPr="00801E59">
        <w:t>4.</w:t>
      </w:r>
      <w:r w:rsidRPr="00801E59">
        <w:tab/>
        <w:t xml:space="preserve">panee merkille, että Liberty oli useiden vuosien ajan ennen konkurssiin asettamista talousvaikeuksissa, jotka johtuivat teräksen epäsuotuisista markkinaolosuhteista, covid-19-pandemiaan liittyneistä toimitusketjun häiriöistä ja korkeista energian hinnoista Venäjän Ukrainaa vastaan käymän hyökkäyssodan seurauksena sekä unionin riippuvuudesta fossiilisten polttoaineiden maahantuonnista ja siitä, että halvempia energialähteitä ei ole otettu riittävästi käyttöön; panee merkille, että Liberty Steel </w:t>
      </w:r>
      <w:proofErr w:type="spellStart"/>
      <w:r w:rsidRPr="00801E59">
        <w:t>Liègen</w:t>
      </w:r>
      <w:proofErr w:type="spellEnd"/>
      <w:r w:rsidRPr="00801E59">
        <w:t xml:space="preserve"> galvanointilinjat ovat olleet pois käytöstä joulukuusta 2021 lähtien pääasiassa raaka-ainepulan vuoksi, mikä johti rakenneuudistustoimeen, jonka seurauksena se luovutettiin yritykselle Liberty </w:t>
      </w:r>
      <w:proofErr w:type="spellStart"/>
      <w:r w:rsidRPr="00801E59">
        <w:t>Galați</w:t>
      </w:r>
      <w:proofErr w:type="spellEnd"/>
      <w:r w:rsidRPr="00801E59">
        <w:t xml:space="preserve"> vuonna 2023; pitää valitettavana, että tuotantotoiminta ei käynnistynyt uudelleen yritysostosta huolimatta ja että lopputuloksena oli konkurssi;</w:t>
      </w:r>
    </w:p>
    <w:p w14:paraId="42FA9DA5" w14:textId="77777777" w:rsidR="00A21090" w:rsidRPr="00801E59" w:rsidRDefault="00A21090" w:rsidP="00843C5B">
      <w:pPr>
        <w:pStyle w:val="NormalHanging12a"/>
        <w:widowControl/>
        <w:rPr>
          <w:noProof/>
        </w:rPr>
      </w:pPr>
      <w:r w:rsidRPr="00801E59">
        <w:t>5.</w:t>
      </w:r>
      <w:r w:rsidRPr="00801E59">
        <w:tab/>
        <w:t xml:space="preserve">panee merkille, että Liberty Steelin vaikeudet liittyivät myös yrityskohtaisiin tekijöihin, kun GFG Alliance oli ostanut sen </w:t>
      </w:r>
      <w:proofErr w:type="spellStart"/>
      <w:r w:rsidRPr="00801E59">
        <w:t>ArcelorMittalilta</w:t>
      </w:r>
      <w:proofErr w:type="spellEnd"/>
      <w:r w:rsidRPr="00801E59">
        <w:t>; korostaa olevansa erittäin huolissaan liiketoimintamallin rahoituksen kestävyydestä ja investointisitoumusten täyttämättä jättämisestä, jotka vaikuttivat tehtaan taloudellisen tilanteen heikkenemiseen ja siitä johtuneisiin työntekijävähennyksiin;</w:t>
      </w:r>
    </w:p>
    <w:p w14:paraId="237E8960" w14:textId="77777777" w:rsidR="00A21090" w:rsidRPr="00801E59" w:rsidRDefault="00A21090" w:rsidP="00843C5B">
      <w:pPr>
        <w:pStyle w:val="NormalHanging12a"/>
        <w:widowControl/>
        <w:rPr>
          <w:b/>
          <w:bCs/>
          <w:i/>
          <w:iCs/>
        </w:rPr>
      </w:pPr>
      <w:bookmarkStart w:id="7" w:name="_Hlk225497832"/>
      <w:r w:rsidRPr="00801E59">
        <w:t>6.</w:t>
      </w:r>
      <w:r w:rsidRPr="00801E59">
        <w:tab/>
        <w:t>toteaa, että Vallonian alueella on ollut käynnissä teollisuuden katoaminen ja talouden rakennemuutos</w:t>
      </w:r>
      <w:r w:rsidRPr="00801E59">
        <w:rPr>
          <w:rStyle w:val="FootnoteReference"/>
        </w:rPr>
        <w:footnoteReference w:id="7"/>
      </w:r>
      <w:r w:rsidRPr="00801E59">
        <w:t>; toteaa, että Libertyn konkurssi on vakava yhteiskunnallinen sokki Vallonialle, jonka</w:t>
      </w:r>
      <w:bookmarkEnd w:id="7"/>
      <w:r w:rsidRPr="00801E59">
        <w:t xml:space="preserve"> työmarkkinoita muut rakenneuudistukset ovat jo heikentäneet; korostaa, että teräsala on edelleen Belgiassa tärkeä talouden ala, koska alan työpaikkojen osuus asukasta kohti on edelleen korkea; kehottaa Belgian viranomaisia tarjoamaan tällaisten työttömiksi jääneiden työntekijöiden tarpeisiin räätälöityä erityistukea, jotta heitä voidaan auttaa kehittämään pidemmälle taitoja, joita tarvitaan uusien, laadukkaiden työpaikkojen löytämiseksi, ja samalla toteuttamaan toimenpiteitä konkurssien vähentämiseksi ja ratkaisujen löytämiseksi työvoiman syrjäytymiseen johtavaan sosiaaliseen eriarvoisuuteen; korostaa, että EU:ssa tarvitaan yritysystävällistä toimintaympäristöä, joka saa aikaan talouskasvua, edistää innovointia, tukee teknologista kehitystä, vahvistaa kilpailukykyä, vähentää tarpeetonta sääntelytaakkaa ja yksinkertaistaa byrokraattisia menettelyjä, ja korostaa, että tarvitaan politiikkoja, joilla edistetään teollisuuden kilpailukykyä, alueellista, taloudellista ja sosiaalista yhteenkuuluvuutta ja aluekehitystä; korostaa kilpailukykyisen ja häiriönsietokykyisen Euroopan terästeollisuuden merkitystä vahvan ja laadukkaan teollisuuden perustana ja unionin strategisen riippumattomuuden keskeisenä pilarina;</w:t>
      </w:r>
    </w:p>
    <w:p w14:paraId="4868F7D3" w14:textId="77777777" w:rsidR="00A21090" w:rsidRPr="00801E59" w:rsidRDefault="00A21090" w:rsidP="00843C5B">
      <w:pPr>
        <w:pStyle w:val="NormalHanging12a"/>
        <w:widowControl/>
      </w:pPr>
      <w:r w:rsidRPr="00801E59">
        <w:t>7.</w:t>
      </w:r>
      <w:r w:rsidRPr="00801E59">
        <w:tab/>
        <w:t>muistuttaa, että joka neljäs rekisteröity työnhakija Valloniassa on yli 50-vuotias ja kohtaa suurempia vaikeuksia työmarkkinoille palaamisessa; panee merkille, että vaikka Libertyn työntekijät ovat pitkälle erikoistuneita, heidän siirtymistään muihin työpaikkoihin vaikeuttaa heidän korkea ikänsä (52 prosenttia työntekijöistä on 55-</w:t>
      </w:r>
      <w:r w:rsidRPr="00801E59">
        <w:lastRenderedPageBreak/>
        <w:t>vuotiaita tai vanhempia); panee merkille, että 69 prosentilla työttömäksi jääneistä työntekijöistä on alhainen koulutustaso;</w:t>
      </w:r>
    </w:p>
    <w:p w14:paraId="7DF82C38" w14:textId="77777777" w:rsidR="00A21090" w:rsidRPr="00801E59" w:rsidRDefault="00A21090" w:rsidP="00843C5B">
      <w:pPr>
        <w:pStyle w:val="NormalHanging12a"/>
        <w:widowControl/>
      </w:pPr>
      <w:bookmarkStart w:id="8" w:name="_Hlk226546977"/>
      <w:r w:rsidRPr="00801E59">
        <w:t>8.</w:t>
      </w:r>
      <w:r w:rsidRPr="00801E59">
        <w:tab/>
        <w:t>muistuttaa, että työntekijöille on tarjottava ammattiliittojen ja paikallisviranomaisten kanssa sovitun mukaisesti yksilöllisiä palveluja, jotka koostuvat seuraavista toimenpiteistä: uudelleensijoitus ja uraohjaus; koulutus, uudelleenkoulutus ja ammatillinen koulutus, mukaan lukien tietotekniset taidot; yrityksen perustamista valmisteleva tuki; tuki yrityksen perustamiseen; kannustimet ja muut avustukset; korostaa innovointiin, taitoihin ja teollisuuden nykyaikaistamiseen tehtävien investointien vahvistamisen merkitystä, jotta voidaan lisätä EU:n teollisuuden kilpailukykyä ja varmistaa, että työntekijöillä on muuttuvien työmarkkinoiden mukaiset valmiudet;</w:t>
      </w:r>
      <w:bookmarkEnd w:id="8"/>
    </w:p>
    <w:p w14:paraId="34C566FE" w14:textId="77777777" w:rsidR="00A21090" w:rsidRPr="00801E59" w:rsidRDefault="00A21090" w:rsidP="00843C5B">
      <w:pPr>
        <w:pStyle w:val="NormalHanging12a"/>
        <w:widowControl/>
      </w:pPr>
      <w:r w:rsidRPr="00801E59">
        <w:t>9.</w:t>
      </w:r>
      <w:r w:rsidRPr="00801E59">
        <w:tab/>
        <w:t xml:space="preserve">korostaa, että on tärkeää edistää laadukkaita ja tulevaisuuteen suuntautuvia työpaikkoja, joilla vahvistetaan kilpailukykyä, edistetään digitalisaatiota ja vastataan työmarkkinoiden tarpeisiin, jotta voidaan varmistaa pitkän aikavälin taloudellinen ja sosiaalinen häiriönsietokyky; katsoo siksi, että </w:t>
      </w:r>
      <w:proofErr w:type="spellStart"/>
      <w:r w:rsidRPr="00801E59">
        <w:t>EGR:n</w:t>
      </w:r>
      <w:proofErr w:type="spellEnd"/>
      <w:r w:rsidRPr="00801E59">
        <w:t xml:space="preserve"> varojen käyttöönotto on sisällytettävä osaksi laajempia toimintapoliittisia toimia kaikilla politiikan tasoilla sen varmistamiseksi, että asianomaiset työntekijät löytävät pätevyyksiään ja taitojaan vastaavia mahdollisuuksia; korostaa, että EGR on solidaarisuuden ja oikeudenmukaisen siirtymän väline ja että unionin ensisijaisena tehtävänä on oltava tällaisten sulkemisten estäminen alun pitäen;</w:t>
      </w:r>
    </w:p>
    <w:p w14:paraId="140CE17D" w14:textId="77777777" w:rsidR="00A21090" w:rsidRPr="00801E59" w:rsidRDefault="00A21090" w:rsidP="00843C5B">
      <w:pPr>
        <w:pStyle w:val="NormalHanging12a"/>
        <w:widowControl/>
      </w:pPr>
      <w:r w:rsidRPr="00801E59">
        <w:t>10.</w:t>
      </w:r>
      <w:r w:rsidRPr="00801E59">
        <w:tab/>
        <w:t>korostaa, että on tärkeää vahvistaa unionin teollisuuden kilpailukykyä ja edistää investointeja strategisiin teollisuus-toimialoihin, jotta voidaan ehkäistä teollisuuden katoamista entisestään ja työntekijöiden vähentämisiä ja tukea työpaikkojen luomista; korostaa tarvetta siirtyä uusiutuvaan energiaan ja toteuttaa myös muita toimenpiteitä, joilla varmistetaan kohtuulliset energian hinnat;</w:t>
      </w:r>
    </w:p>
    <w:p w14:paraId="4D332943" w14:textId="77777777" w:rsidR="00A21090" w:rsidRPr="00801E59" w:rsidRDefault="00A21090" w:rsidP="00843C5B">
      <w:pPr>
        <w:pStyle w:val="NormalHanging12a"/>
        <w:widowControl/>
        <w:rPr>
          <w:bCs/>
          <w:iCs/>
        </w:rPr>
      </w:pPr>
      <w:r w:rsidRPr="00801E59">
        <w:t>11.</w:t>
      </w:r>
      <w:r w:rsidRPr="00801E59">
        <w:tab/>
        <w:t>korostaa, että Belgian viranomaisten on varmistettava unionin rahoituksen näkyvyys ja pidettävä esillä sen tuomaa lisäarvoa tiedottamalla siitä tehokkaasti ja kohdennetusti edunsaajille, alue- ja paikallisviranomaisille, työmarkkinaosapuolille ja suurelle yleisölle;</w:t>
      </w:r>
    </w:p>
    <w:p w14:paraId="3EC2D9AA" w14:textId="77777777" w:rsidR="00A21090" w:rsidRPr="00801E59" w:rsidRDefault="00A21090" w:rsidP="00843C5B">
      <w:pPr>
        <w:pStyle w:val="NormalHanging12a"/>
        <w:widowControl/>
      </w:pPr>
      <w:r w:rsidRPr="00801E59">
        <w:t>12.</w:t>
      </w:r>
      <w:r w:rsidRPr="00801E59">
        <w:tab/>
        <w:t xml:space="preserve">kehottaa laatimaan yhteistyössä työmarkkinaosapuolten kanssa toteutetuista toimenpiteistä perusteelliset loppuarvioinnit, joissa annetaan selkeää ja avointa tietoa siitä, miten varat on käytetty, ovatko työntekijät päässeet palaamaan työmarkkinoille ja onko </w:t>
      </w:r>
      <w:proofErr w:type="spellStart"/>
      <w:r w:rsidRPr="00801E59">
        <w:t>EGR:n</w:t>
      </w:r>
      <w:proofErr w:type="spellEnd"/>
      <w:r w:rsidRPr="00801E59">
        <w:t xml:space="preserve"> tavoitteet saavutettu; korostaa tässä yhteydessä </w:t>
      </w:r>
      <w:proofErr w:type="spellStart"/>
      <w:r w:rsidRPr="00801E59">
        <w:t>EGR:stä</w:t>
      </w:r>
      <w:proofErr w:type="spellEnd"/>
      <w:r w:rsidRPr="00801E59">
        <w:t xml:space="preserve"> rahoitettujen toimenpiteiden säännöllisen seurannan merkitystä, jotta voidaan arvioida niiden tehokkuutta;</w:t>
      </w:r>
    </w:p>
    <w:p w14:paraId="54251EEE" w14:textId="77777777" w:rsidR="00A21090" w:rsidRPr="00801E59" w:rsidRDefault="00A21090" w:rsidP="00843C5B">
      <w:pPr>
        <w:pStyle w:val="NormalHanging12a"/>
        <w:widowControl/>
      </w:pPr>
      <w:r w:rsidRPr="00801E59">
        <w:t>13.</w:t>
      </w:r>
      <w:r w:rsidRPr="00801E59">
        <w:tab/>
        <w:t xml:space="preserve">panee merkille, että Belgia aloitti yksilöllisten palvelujen tarjoamisen kohteena oleville edunsaajille 1. kesäkuuta 2025 ja että toimenpiteisiin liittyviin menoihin voidaan myöntää </w:t>
      </w:r>
      <w:proofErr w:type="spellStart"/>
      <w:r w:rsidRPr="00801E59">
        <w:t>EGR:n</w:t>
      </w:r>
      <w:proofErr w:type="spellEnd"/>
      <w:r w:rsidRPr="00801E59">
        <w:t xml:space="preserve"> rahoitustukea kaudella, joka alkoi kyseisestä päivästä ja päättyy 24 kuukauden kuluttua rahoituspäätöksen voimaantulopäivästä;</w:t>
      </w:r>
    </w:p>
    <w:p w14:paraId="2F2077F0" w14:textId="77777777" w:rsidR="00A21090" w:rsidRPr="00801E59" w:rsidRDefault="00A21090" w:rsidP="00843C5B">
      <w:pPr>
        <w:pStyle w:val="NormalHanging12a"/>
        <w:widowControl/>
        <w:rPr>
          <w:sz w:val="23"/>
          <w:szCs w:val="23"/>
        </w:rPr>
      </w:pPr>
      <w:r w:rsidRPr="00801E59">
        <w:t>14.</w:t>
      </w:r>
      <w:r w:rsidRPr="00801E59">
        <w:tab/>
        <w:t xml:space="preserve">toteaa, että Belgialle on aiheutunut hallinnollisia kuluja </w:t>
      </w:r>
      <w:proofErr w:type="spellStart"/>
      <w:r w:rsidRPr="00801E59">
        <w:t>EGR:n</w:t>
      </w:r>
      <w:proofErr w:type="spellEnd"/>
      <w:r w:rsidRPr="00801E59">
        <w:t xml:space="preserve"> täytäntöönpanosta 22. huhtikuuta 2025 lähtien ja että näihin toimiin liittyviin menoihin voidaan näin ollen myöntää </w:t>
      </w:r>
      <w:proofErr w:type="spellStart"/>
      <w:r w:rsidRPr="00801E59">
        <w:t>EGR:n</w:t>
      </w:r>
      <w:proofErr w:type="spellEnd"/>
      <w:r w:rsidRPr="00801E59">
        <w:t xml:space="preserve"> rahoitustukea kaudella, joka alkoi kyseisestä päivästä ja päättyy 31 kuukauden kuluttua rahoituspäätöksen voimaantulopäivästä;</w:t>
      </w:r>
    </w:p>
    <w:p w14:paraId="0BA6061C" w14:textId="77777777" w:rsidR="00A21090" w:rsidRPr="00801E59" w:rsidRDefault="00A21090" w:rsidP="00843C5B">
      <w:pPr>
        <w:pStyle w:val="NormalHanging12a"/>
        <w:widowControl/>
      </w:pPr>
      <w:r w:rsidRPr="00801E59">
        <w:lastRenderedPageBreak/>
        <w:t>15.</w:t>
      </w:r>
      <w:r w:rsidRPr="00801E59">
        <w:tab/>
        <w:t>toteaa Belgian viranomaisten toimittaneen vakuutukset siitä, että suunniteltuihin toimiin osallistumisen ja niiden täytäntöönpanon osalta noudatetaan yhdenvertaisen kohtelun ja syrjimättömyyden periaatteita ja että kaksinkertainen rahoitus estetään;</w:t>
      </w:r>
    </w:p>
    <w:p w14:paraId="7B45246E" w14:textId="77777777" w:rsidR="00A21090" w:rsidRPr="00801E59" w:rsidRDefault="00A21090" w:rsidP="00843C5B">
      <w:pPr>
        <w:pStyle w:val="NormalHanging12a"/>
        <w:widowControl/>
      </w:pPr>
      <w:r w:rsidRPr="00801E59">
        <w:t>16.</w:t>
      </w:r>
      <w:r w:rsidRPr="00801E59">
        <w:tab/>
        <w:t xml:space="preserve">muistuttaa, että </w:t>
      </w:r>
      <w:proofErr w:type="spellStart"/>
      <w:r w:rsidRPr="00801E59">
        <w:t>EGR:n</w:t>
      </w:r>
      <w:proofErr w:type="spellEnd"/>
      <w:r w:rsidRPr="00801E59">
        <w:t xml:space="preserve"> tuki ei saa korvata toimenpiteitä, jotka kansallisen lainsäädännön tai työehtosopimusten nojalla kuuluvat viranomaisten tai yritysten vastuulle; muistuttaa, että EGR on osittainen, kohdennettu ja täydentävä tukiväline eikä sillä voida korvata talous- ja rakennepolitiikan toimia, jotka kuuluvat ensisijaisesti jäsenvaltioiden toimivaltaan;</w:t>
      </w:r>
    </w:p>
    <w:p w14:paraId="26937C02" w14:textId="77777777" w:rsidR="00A21090" w:rsidRPr="00801E59" w:rsidRDefault="00A21090" w:rsidP="00843C5B">
      <w:pPr>
        <w:pStyle w:val="NormalHanging12a"/>
        <w:widowControl/>
      </w:pPr>
      <w:r w:rsidRPr="00801E59">
        <w:t>17.</w:t>
      </w:r>
      <w:r w:rsidRPr="00801E59">
        <w:tab/>
        <w:t>hyväksyy tämän päätöslauselman liitteenä olevan päätöksen;</w:t>
      </w:r>
    </w:p>
    <w:p w14:paraId="03092FDF" w14:textId="77777777" w:rsidR="00A21090" w:rsidRPr="00801E59" w:rsidRDefault="00A21090" w:rsidP="00843C5B">
      <w:pPr>
        <w:pStyle w:val="NormalHanging12a"/>
        <w:widowControl/>
      </w:pPr>
      <w:r w:rsidRPr="00801E59">
        <w:t>18.</w:t>
      </w:r>
      <w:r w:rsidRPr="00801E59">
        <w:tab/>
        <w:t xml:space="preserve">kehottaa puhemiestä allekirjoittamaan päätöksen neuvoston puheenjohtajan kanssa ja huolehtimaan sen julkaisemisesta </w:t>
      </w:r>
      <w:r w:rsidRPr="00801E59">
        <w:rPr>
          <w:i/>
        </w:rPr>
        <w:t>Euroopan unionin virallisessa lehdessä</w:t>
      </w:r>
      <w:r w:rsidRPr="00801E59">
        <w:t>;</w:t>
      </w:r>
    </w:p>
    <w:p w14:paraId="127E3B02" w14:textId="77777777" w:rsidR="00A21090" w:rsidRPr="00801E59" w:rsidRDefault="00A21090" w:rsidP="00843C5B">
      <w:pPr>
        <w:pStyle w:val="NormalHanging12a"/>
        <w:widowControl/>
      </w:pPr>
      <w:r w:rsidRPr="00801E59">
        <w:t>19.</w:t>
      </w:r>
      <w:r w:rsidRPr="00801E59">
        <w:tab/>
        <w:t>kehottaa puhemiestä välittämään tämän päätöslauselman liitteineen neuvostolle ja komissiolle.</w:t>
      </w:r>
    </w:p>
    <w:p w14:paraId="0FAA69AA" w14:textId="77777777" w:rsidR="00A21090" w:rsidRPr="00801E59" w:rsidRDefault="00A21090" w:rsidP="00843C5B">
      <w:pPr>
        <w:widowControl/>
        <w:rPr>
          <w:noProof/>
        </w:rPr>
      </w:pPr>
    </w:p>
    <w:p w14:paraId="17A45023" w14:textId="77777777" w:rsidR="00A21090" w:rsidRPr="00801E59" w:rsidRDefault="00A21090" w:rsidP="00843C5B">
      <w:pPr>
        <w:pStyle w:val="PageHeading"/>
        <w:widowControl/>
        <w:rPr>
          <w:noProof/>
        </w:rPr>
        <w:sectPr w:rsidR="00A21090" w:rsidRPr="00801E59" w:rsidSect="008D688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5A31D18" w14:textId="77777777" w:rsidR="00A21090" w:rsidRPr="00801E59" w:rsidRDefault="00A21090" w:rsidP="00843C5B">
      <w:pPr>
        <w:pStyle w:val="PageHeading"/>
        <w:widowControl/>
        <w:rPr>
          <w:noProof/>
        </w:rPr>
      </w:pPr>
      <w:bookmarkStart w:id="9" w:name="_Toc227830805"/>
      <w:r w:rsidRPr="00801E59">
        <w:lastRenderedPageBreak/>
        <w:t>LIITE: EUROOPAN PARLAMENTIN JA NEUVOSTON PÄÄTÖS</w:t>
      </w:r>
      <w:bookmarkEnd w:id="9"/>
    </w:p>
    <w:p w14:paraId="2D9FD50C" w14:textId="77777777" w:rsidR="00A21090" w:rsidRDefault="00A21090" w:rsidP="00843C5B">
      <w:pPr>
        <w:widowControl/>
        <w:jc w:val="center"/>
        <w:rPr>
          <w:b/>
        </w:rPr>
      </w:pPr>
      <w:r w:rsidRPr="00801E59">
        <w:rPr>
          <w:b/>
        </w:rPr>
        <w:t xml:space="preserve">Euroopan parlamentin ja neuvoston päätös työttömiksi jääneitä työntekijöitä tukevan Euroopan globalisaatiorahaston varojen käyttöönotosta Belgian hakemuksen </w:t>
      </w:r>
      <w:proofErr w:type="gramStart"/>
      <w:r w:rsidRPr="00801E59">
        <w:rPr>
          <w:b/>
        </w:rPr>
        <w:t>johdosta</w:t>
      </w:r>
      <w:proofErr w:type="gramEnd"/>
      <w:r w:rsidRPr="00801E59">
        <w:rPr>
          <w:b/>
        </w:rPr>
        <w:t xml:space="preserve"> – EGF/2025/008 BE/Liberty</w:t>
      </w:r>
    </w:p>
    <w:p w14:paraId="6967B6E8" w14:textId="77777777" w:rsidR="004113C9" w:rsidRDefault="004113C9" w:rsidP="004113C9">
      <w:pPr>
        <w:widowControl/>
        <w:rPr>
          <w:b/>
          <w:bCs/>
          <w:noProof/>
        </w:rPr>
      </w:pPr>
    </w:p>
    <w:p w14:paraId="6E5C3BE2" w14:textId="61D5864A" w:rsidR="004113C9" w:rsidRPr="006E0791" w:rsidRDefault="004113C9" w:rsidP="004113C9">
      <w:pPr>
        <w:rPr>
          <w:i/>
          <w:szCs w:val="24"/>
        </w:rPr>
      </w:pPr>
      <w:r w:rsidRPr="006E0791">
        <w:rPr>
          <w:i/>
          <w:szCs w:val="24"/>
        </w:rPr>
        <w:t xml:space="preserve">(Tätä liitettä ei esitetä tässä, koska se vastaa lopullista säädöstä, päätöstä </w:t>
      </w:r>
      <w:r>
        <w:rPr>
          <w:i/>
          <w:szCs w:val="24"/>
        </w:rPr>
        <w:t xml:space="preserve">(EU) </w:t>
      </w:r>
      <w:r w:rsidRPr="006E0791">
        <w:rPr>
          <w:i/>
          <w:szCs w:val="24"/>
        </w:rPr>
        <w:t>20</w:t>
      </w:r>
      <w:r>
        <w:rPr>
          <w:i/>
          <w:szCs w:val="24"/>
        </w:rPr>
        <w:t>2</w:t>
      </w:r>
      <w:r>
        <w:rPr>
          <w:i/>
          <w:szCs w:val="24"/>
        </w:rPr>
        <w:t>6</w:t>
      </w:r>
      <w:r w:rsidRPr="006E0791">
        <w:rPr>
          <w:i/>
          <w:szCs w:val="24"/>
        </w:rPr>
        <w:t>/</w:t>
      </w:r>
      <w:r>
        <w:rPr>
          <w:i/>
          <w:szCs w:val="24"/>
        </w:rPr>
        <w:t>1134</w:t>
      </w:r>
      <w:r w:rsidRPr="006E0791">
        <w:rPr>
          <w:i/>
          <w:szCs w:val="24"/>
        </w:rPr>
        <w:t>.)</w:t>
      </w:r>
    </w:p>
    <w:p w14:paraId="1C61C8AC" w14:textId="77777777" w:rsidR="004113C9" w:rsidRPr="00801E59" w:rsidRDefault="004113C9" w:rsidP="004113C9">
      <w:pPr>
        <w:widowControl/>
        <w:rPr>
          <w:b/>
          <w:bCs/>
          <w:noProof/>
        </w:rPr>
      </w:pPr>
    </w:p>
    <w:sectPr w:rsidR="004113C9" w:rsidRPr="00801E59" w:rsidSect="008D6882">
      <w:headerReference w:type="even" r:id="rId11"/>
      <w:headerReference w:type="default" r:id="rId12"/>
      <w:footerReference w:type="even"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687D3" w14:textId="77777777" w:rsidR="00402078" w:rsidRPr="008D6882" w:rsidRDefault="00402078">
      <w:r w:rsidRPr="008D6882">
        <w:separator/>
      </w:r>
    </w:p>
  </w:endnote>
  <w:endnote w:type="continuationSeparator" w:id="0">
    <w:p w14:paraId="4414996E" w14:textId="77777777" w:rsidR="00402078" w:rsidRPr="008D6882" w:rsidRDefault="00402078">
      <w:r w:rsidRPr="008D68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D8E97" w14:textId="77777777" w:rsidR="00A21090" w:rsidRPr="008D6882" w:rsidRDefault="00A21090" w:rsidP="00053F9B">
    <w:pPr>
      <w:pStyle w:val="EPFooter"/>
    </w:pPr>
    <w:r w:rsidRPr="008D6882">
      <w:t>PE</w:t>
    </w:r>
    <w:r w:rsidRPr="008D6882">
      <w:rPr>
        <w:rStyle w:val="HideTWBExt"/>
      </w:rPr>
      <w:t>&lt;NoPE&gt;</w:t>
    </w:r>
    <w:r w:rsidRPr="008D6882">
      <w:t>785.333</w:t>
    </w:r>
    <w:r w:rsidRPr="008D6882">
      <w:rPr>
        <w:rStyle w:val="HideTWBExt"/>
      </w:rPr>
      <w:t>&lt;/NoPE&gt;&lt;Version&gt;</w:t>
    </w:r>
    <w:r w:rsidRPr="008D6882">
      <w:t>v03-00</w:t>
    </w:r>
    <w:r w:rsidRPr="008D6882">
      <w:rPr>
        <w:rStyle w:val="HideTWBExt"/>
      </w:rPr>
      <w:t>&lt;/Version&gt;</w:t>
    </w:r>
    <w:r w:rsidRPr="008D6882">
      <w:tab/>
    </w:r>
    <w:r w:rsidRPr="008D6882">
      <w:fldChar w:fldCharType="begin"/>
    </w:r>
    <w:r w:rsidRPr="008D6882">
      <w:instrText xml:space="preserve"> PAGE  \* MERGEFORMAT </w:instrText>
    </w:r>
    <w:r w:rsidRPr="008D6882">
      <w:fldChar w:fldCharType="separate"/>
    </w:r>
    <w:r w:rsidRPr="008D6882">
      <w:rPr>
        <w:noProof/>
      </w:rPr>
      <w:t>2</w:t>
    </w:r>
    <w:r w:rsidRPr="008D6882">
      <w:fldChar w:fldCharType="end"/>
    </w:r>
    <w:r w:rsidRPr="008D6882">
      <w:t>/</w:t>
    </w:r>
    <w:fldSimple w:instr=" NUMPAGES  \* MERGEFORMAT ">
      <w:r w:rsidRPr="008D6882">
        <w:rPr>
          <w:noProof/>
        </w:rPr>
        <w:t>19</w:t>
      </w:r>
    </w:fldSimple>
    <w:r w:rsidRPr="008D6882">
      <w:tab/>
    </w:r>
    <w:r w:rsidRPr="008D6882">
      <w:rPr>
        <w:rStyle w:val="HideTWBExt"/>
      </w:rPr>
      <w:t>&lt;PathFdR&gt;</w:t>
    </w:r>
    <w:r w:rsidRPr="008D6882">
      <w:t>RR\1341391FI.docx</w:t>
    </w:r>
    <w:r w:rsidRPr="008D6882">
      <w:rPr>
        <w:rStyle w:val="HideTWBExt"/>
      </w:rPr>
      <w:t>&lt;/PathFdR&gt;</w:t>
    </w:r>
  </w:p>
  <w:p w14:paraId="1D1420E2" w14:textId="77777777" w:rsidR="00A21090" w:rsidRPr="008D6882" w:rsidRDefault="00A21090" w:rsidP="00053F9B">
    <w:pPr>
      <w:pStyle w:val="EPFooter2"/>
    </w:pPr>
    <w:r w:rsidRPr="008D6882">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CCB4B" w14:textId="77777777" w:rsidR="00A21090" w:rsidRPr="008D6882" w:rsidRDefault="00A21090" w:rsidP="00053F9B">
    <w:pPr>
      <w:pStyle w:val="EPFooter"/>
    </w:pPr>
    <w:r w:rsidRPr="008D6882">
      <w:rPr>
        <w:rStyle w:val="HideTWBExt"/>
      </w:rPr>
      <w:t>&lt;PathFdR&gt;</w:t>
    </w:r>
    <w:r w:rsidRPr="008D6882">
      <w:t>RR\1341391FI.docx</w:t>
    </w:r>
    <w:r w:rsidRPr="008D6882">
      <w:rPr>
        <w:rStyle w:val="HideTWBExt"/>
      </w:rPr>
      <w:t>&lt;/PathFdR&gt;</w:t>
    </w:r>
    <w:r w:rsidRPr="008D6882">
      <w:tab/>
    </w:r>
    <w:r w:rsidRPr="008D6882">
      <w:tab/>
      <w:t>PE</w:t>
    </w:r>
    <w:r w:rsidRPr="008D6882">
      <w:rPr>
        <w:rStyle w:val="HideTWBExt"/>
      </w:rPr>
      <w:t>&lt;NoPE&gt;</w:t>
    </w:r>
    <w:r w:rsidRPr="008D6882">
      <w:t>785.333</w:t>
    </w:r>
    <w:r w:rsidRPr="008D6882">
      <w:rPr>
        <w:rStyle w:val="HideTWBExt"/>
      </w:rPr>
      <w:t>&lt;/NoPE&gt;&lt;Version&gt;</w:t>
    </w:r>
    <w:r w:rsidRPr="008D6882">
      <w:t>v03-00</w:t>
    </w:r>
    <w:r w:rsidRPr="008D6882">
      <w:rPr>
        <w:rStyle w:val="HideTWBExt"/>
      </w:rPr>
      <w:t>&lt;/Version&gt;</w:t>
    </w:r>
  </w:p>
  <w:p w14:paraId="134FA8E8" w14:textId="77777777" w:rsidR="00A21090" w:rsidRPr="008D6882" w:rsidRDefault="00A21090" w:rsidP="00053F9B">
    <w:pPr>
      <w:pStyle w:val="EPFooter2"/>
    </w:pPr>
    <w:r w:rsidRPr="008D6882">
      <w:t>FI</w:t>
    </w:r>
    <w:r w:rsidRPr="008D6882">
      <w:tab/>
    </w:r>
    <w:r w:rsidRPr="008D6882">
      <w:rPr>
        <w:b w:val="0"/>
        <w:i/>
        <w:color w:val="C0C0C0"/>
        <w:sz w:val="22"/>
      </w:rPr>
      <w:t>Moninaisuudessaan yhtenäinen</w:t>
    </w:r>
    <w:r w:rsidRPr="008D6882">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62965" w14:textId="77777777" w:rsidR="00064002" w:rsidRPr="008D688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AD7E5" w14:textId="77777777" w:rsidR="00064002" w:rsidRPr="008D68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D28CB" w14:textId="77777777" w:rsidR="00402078" w:rsidRPr="008D6882" w:rsidRDefault="00402078">
      <w:r w:rsidRPr="008D6882">
        <w:separator/>
      </w:r>
    </w:p>
  </w:footnote>
  <w:footnote w:type="continuationSeparator" w:id="0">
    <w:p w14:paraId="1A888A15" w14:textId="77777777" w:rsidR="00402078" w:rsidRPr="008D6882" w:rsidRDefault="00402078">
      <w:r w:rsidRPr="008D6882">
        <w:continuationSeparator/>
      </w:r>
    </w:p>
  </w:footnote>
  <w:footnote w:id="1">
    <w:p w14:paraId="07D60855" w14:textId="560F3D7F" w:rsidR="00A21090" w:rsidRPr="008D6882" w:rsidRDefault="00A21090" w:rsidP="00682BA2">
      <w:pPr>
        <w:pStyle w:val="FootnoteText"/>
        <w:keepLines w:val="0"/>
        <w:ind w:left="567" w:hanging="567"/>
        <w:rPr>
          <w:sz w:val="24"/>
          <w:lang w:val="fi-FI"/>
        </w:rPr>
      </w:pPr>
      <w:r w:rsidRPr="008D6882">
        <w:rPr>
          <w:rStyle w:val="FootnoteReference"/>
          <w:sz w:val="24"/>
          <w:lang w:val="fi-FI"/>
        </w:rPr>
        <w:footnoteRef/>
      </w:r>
      <w:r w:rsidR="008D6882" w:rsidRPr="008D6882">
        <w:rPr>
          <w:sz w:val="24"/>
          <w:lang w:val="fi-FI"/>
        </w:rPr>
        <w:t xml:space="preserve"> </w:t>
      </w:r>
      <w:r w:rsidR="008D6882" w:rsidRPr="008D6882">
        <w:rPr>
          <w:sz w:val="24"/>
          <w:lang w:val="fi-FI"/>
        </w:rPr>
        <w:tab/>
      </w:r>
      <w:r w:rsidRPr="008D6882">
        <w:rPr>
          <w:sz w:val="24"/>
          <w:lang w:val="fi-FI"/>
        </w:rPr>
        <w:t xml:space="preserve">EUVL L 153, 3.5.2021, s. 48, ELI: </w:t>
      </w:r>
      <w:hyperlink r:id="rId1" w:history="1">
        <w:r w:rsidRPr="008D6882">
          <w:rPr>
            <w:rStyle w:val="Hyperlink"/>
            <w:sz w:val="24"/>
            <w:lang w:val="fi-FI"/>
          </w:rPr>
          <w:t>http://data.europa.eu/eli/reg/2021/691/oj</w:t>
        </w:r>
      </w:hyperlink>
      <w:r w:rsidRPr="008D6882">
        <w:rPr>
          <w:sz w:val="24"/>
          <w:lang w:val="fi-FI"/>
        </w:rPr>
        <w:t>.</w:t>
      </w:r>
    </w:p>
  </w:footnote>
  <w:footnote w:id="2">
    <w:p w14:paraId="390A544F" w14:textId="068EA619" w:rsidR="00A21090" w:rsidRPr="008D6882" w:rsidRDefault="00A21090" w:rsidP="00682BA2">
      <w:pPr>
        <w:pStyle w:val="FootnoteText"/>
        <w:keepLines w:val="0"/>
        <w:ind w:left="567" w:hanging="567"/>
        <w:rPr>
          <w:sz w:val="24"/>
          <w:lang w:val="fi-FI"/>
        </w:rPr>
      </w:pPr>
      <w:r w:rsidRPr="008D6882">
        <w:rPr>
          <w:rStyle w:val="FootnoteReference"/>
          <w:sz w:val="24"/>
          <w:lang w:val="fi-FI"/>
        </w:rPr>
        <w:footnoteRef/>
      </w:r>
      <w:r w:rsidR="008D6882" w:rsidRPr="008D6882">
        <w:rPr>
          <w:sz w:val="24"/>
          <w:lang w:val="fi-FI"/>
        </w:rPr>
        <w:t xml:space="preserve"> </w:t>
      </w:r>
      <w:r w:rsidR="008D6882" w:rsidRPr="008D6882">
        <w:rPr>
          <w:sz w:val="24"/>
          <w:lang w:val="fi-FI"/>
        </w:rPr>
        <w:tab/>
      </w:r>
      <w:r w:rsidRPr="008D6882">
        <w:rPr>
          <w:sz w:val="24"/>
          <w:lang w:val="fi-FI"/>
        </w:rPr>
        <w:t xml:space="preserve">EUVL L 433 I, 22.12.2020, s. 11, ELI: </w:t>
      </w:r>
      <w:r>
        <w:fldChar w:fldCharType="begin"/>
      </w:r>
      <w:r w:rsidRPr="004113C9">
        <w:rPr>
          <w:lang w:val="fi-FI"/>
        </w:rPr>
        <w:instrText>HYPERLINK "http://data.europa.eu/eli/reg/2020/2093/oj"</w:instrText>
      </w:r>
      <w:r>
        <w:fldChar w:fldCharType="separate"/>
      </w:r>
      <w:r w:rsidRPr="008D6882">
        <w:rPr>
          <w:rStyle w:val="Hyperlink"/>
          <w:sz w:val="24"/>
          <w:lang w:val="fi-FI"/>
        </w:rPr>
        <w:t>http://data.europa.eu/eli/reg/2020/2093/oj</w:t>
      </w:r>
      <w:r>
        <w:fldChar w:fldCharType="end"/>
      </w:r>
      <w:r w:rsidRPr="008D6882">
        <w:rPr>
          <w:sz w:val="24"/>
          <w:lang w:val="fi-FI"/>
        </w:rPr>
        <w:t>.</w:t>
      </w:r>
    </w:p>
  </w:footnote>
  <w:footnote w:id="3">
    <w:p w14:paraId="5C5133B6" w14:textId="33846961" w:rsidR="00A21090" w:rsidRPr="008D6882" w:rsidRDefault="00A21090" w:rsidP="00682BA2">
      <w:pPr>
        <w:pStyle w:val="FootnoteText"/>
        <w:keepLines w:val="0"/>
        <w:ind w:left="567" w:hanging="567"/>
        <w:rPr>
          <w:sz w:val="24"/>
          <w:lang w:val="fi-FI"/>
        </w:rPr>
      </w:pPr>
      <w:r w:rsidRPr="008D6882">
        <w:rPr>
          <w:rStyle w:val="FootnoteReference"/>
          <w:sz w:val="24"/>
          <w:lang w:val="fi-FI"/>
        </w:rPr>
        <w:footnoteRef/>
      </w:r>
      <w:r w:rsidR="008D6882" w:rsidRPr="008D6882">
        <w:rPr>
          <w:sz w:val="24"/>
          <w:shd w:val="clear" w:color="auto" w:fill="FFFFFF"/>
          <w:lang w:val="fi-FI"/>
        </w:rPr>
        <w:t xml:space="preserve"> </w:t>
      </w:r>
      <w:r w:rsidR="008D6882" w:rsidRPr="008D6882">
        <w:rPr>
          <w:sz w:val="24"/>
          <w:shd w:val="clear" w:color="auto" w:fill="FFFFFF"/>
          <w:lang w:val="fi-FI"/>
        </w:rPr>
        <w:tab/>
      </w:r>
      <w:r w:rsidRPr="008D6882">
        <w:rPr>
          <w:sz w:val="24"/>
          <w:shd w:val="clear" w:color="auto" w:fill="FFFFFF"/>
          <w:lang w:val="fi-FI"/>
        </w:rPr>
        <w:t>Neuvoston asetus (EU, Euratom) 2024/765, annettu 29. helmikuuta 2024, vuosia 2021–2027 koskevan monivuotisen rahoituskehyksen vahvistamisesta annetun asetuksen (EU, Euratom) 2020/2093 muuttamisesta (EUVL L, 2024/765, 29.2.2024, ELI:</w:t>
      </w:r>
      <w:r w:rsidRPr="008D6882">
        <w:rPr>
          <w:color w:val="333333"/>
          <w:sz w:val="24"/>
          <w:shd w:val="clear" w:color="auto" w:fill="FFFFFF"/>
          <w:lang w:val="fi-FI"/>
        </w:rPr>
        <w:t xml:space="preserve"> </w:t>
      </w:r>
      <w:r>
        <w:fldChar w:fldCharType="begin"/>
      </w:r>
      <w:r w:rsidRPr="004113C9">
        <w:rPr>
          <w:lang w:val="fi-FI"/>
        </w:rPr>
        <w:instrText>HYPERLINK "http://data.europa.eu/eli/reg/2024/765/oj"</w:instrText>
      </w:r>
      <w:r>
        <w:fldChar w:fldCharType="separate"/>
      </w:r>
      <w:r w:rsidRPr="008D6882">
        <w:rPr>
          <w:rStyle w:val="Hyperlink"/>
          <w:sz w:val="24"/>
          <w:shd w:val="clear" w:color="auto" w:fill="FFFFFF"/>
          <w:lang w:val="fi-FI"/>
        </w:rPr>
        <w:t>http://data.europa.eu/eli/reg/2024/765/oj</w:t>
      </w:r>
      <w:r>
        <w:fldChar w:fldCharType="end"/>
      </w:r>
      <w:r w:rsidRPr="008D6882">
        <w:rPr>
          <w:i/>
          <w:color w:val="333333"/>
          <w:sz w:val="24"/>
          <w:shd w:val="clear" w:color="auto" w:fill="FFFFFF"/>
          <w:lang w:val="fi-FI"/>
        </w:rPr>
        <w:t>).</w:t>
      </w:r>
    </w:p>
  </w:footnote>
  <w:footnote w:id="4">
    <w:p w14:paraId="3239C53A" w14:textId="0D619946" w:rsidR="00A21090" w:rsidRPr="008D6882" w:rsidRDefault="00A21090" w:rsidP="00682BA2">
      <w:pPr>
        <w:pStyle w:val="FootnoteText"/>
        <w:keepLines w:val="0"/>
        <w:ind w:left="567" w:hanging="567"/>
        <w:rPr>
          <w:sz w:val="24"/>
          <w:lang w:val="fi-FI"/>
        </w:rPr>
      </w:pPr>
      <w:r w:rsidRPr="008D6882">
        <w:rPr>
          <w:rStyle w:val="FootnoteReference"/>
          <w:sz w:val="24"/>
          <w:lang w:val="fi-FI"/>
        </w:rPr>
        <w:footnoteRef/>
      </w:r>
      <w:r w:rsidR="008D6882" w:rsidRPr="008D6882">
        <w:rPr>
          <w:sz w:val="24"/>
          <w:lang w:val="fi-FI"/>
        </w:rPr>
        <w:t xml:space="preserve"> </w:t>
      </w:r>
      <w:r w:rsidR="008D6882" w:rsidRPr="008D6882">
        <w:rPr>
          <w:sz w:val="24"/>
          <w:lang w:val="fi-FI"/>
        </w:rPr>
        <w:tab/>
      </w:r>
      <w:r w:rsidRPr="008D6882">
        <w:rPr>
          <w:sz w:val="24"/>
          <w:lang w:val="fi-FI"/>
        </w:rPr>
        <w:t xml:space="preserve">EUVL L 433 I, 22.12.2020, s. 28, ELI: </w:t>
      </w:r>
      <w:r>
        <w:fldChar w:fldCharType="begin"/>
      </w:r>
      <w:r w:rsidRPr="004113C9">
        <w:rPr>
          <w:lang w:val="fi-FI"/>
        </w:rPr>
        <w:instrText>HYPERLINK "http://data.europa.eu/eli/agree_interinstit/2020/1222/oj"</w:instrText>
      </w:r>
      <w:r>
        <w:fldChar w:fldCharType="separate"/>
      </w:r>
      <w:r w:rsidRPr="008D6882">
        <w:rPr>
          <w:rStyle w:val="Hyperlink"/>
          <w:sz w:val="24"/>
          <w:lang w:val="fi-FI"/>
        </w:rPr>
        <w:t>http://data.europa.eu/eli/agree_interinstit/2020/1222/oj</w:t>
      </w:r>
      <w:r>
        <w:fldChar w:fldCharType="end"/>
      </w:r>
      <w:r w:rsidRPr="008D6882">
        <w:rPr>
          <w:sz w:val="24"/>
          <w:lang w:val="fi-FI"/>
        </w:rPr>
        <w:t>.</w:t>
      </w:r>
    </w:p>
  </w:footnote>
  <w:footnote w:id="5">
    <w:p w14:paraId="6D50226D" w14:textId="196C314D" w:rsidR="00A21090" w:rsidRPr="008D6882" w:rsidRDefault="00A21090" w:rsidP="00682BA2">
      <w:pPr>
        <w:pStyle w:val="FootnoteText"/>
        <w:keepLines w:val="0"/>
        <w:ind w:left="567" w:hanging="567"/>
        <w:rPr>
          <w:sz w:val="24"/>
          <w:lang w:val="fi-FI"/>
        </w:rPr>
      </w:pPr>
      <w:r w:rsidRPr="008D6882">
        <w:rPr>
          <w:rStyle w:val="FootnoteReference"/>
          <w:sz w:val="24"/>
          <w:lang w:val="fi-FI"/>
        </w:rPr>
        <w:footnoteRef/>
      </w:r>
      <w:r w:rsidR="008D6882" w:rsidRPr="008D6882">
        <w:rPr>
          <w:sz w:val="24"/>
          <w:lang w:val="fi-FI"/>
        </w:rPr>
        <w:t xml:space="preserve"> </w:t>
      </w:r>
      <w:r w:rsidR="008D6882" w:rsidRPr="008D6882">
        <w:rPr>
          <w:sz w:val="24"/>
          <w:lang w:val="fi-FI"/>
        </w:rPr>
        <w:tab/>
      </w:r>
      <w:r w:rsidRPr="008D6882">
        <w:rPr>
          <w:sz w:val="24"/>
          <w:lang w:val="fi-FI"/>
        </w:rPr>
        <w:t>EGR-asetuksen 3 artiklan mukaisessa merkityksessä.</w:t>
      </w:r>
    </w:p>
  </w:footnote>
  <w:footnote w:id="6">
    <w:p w14:paraId="3645A011" w14:textId="747808A6" w:rsidR="00A21090" w:rsidRPr="008D6882" w:rsidRDefault="00A21090" w:rsidP="00682BA2">
      <w:pPr>
        <w:pStyle w:val="FootnoteText"/>
        <w:keepLines w:val="0"/>
        <w:ind w:left="567" w:hanging="567"/>
        <w:rPr>
          <w:sz w:val="24"/>
          <w:lang w:val="fi-FI"/>
        </w:rPr>
      </w:pPr>
      <w:r w:rsidRPr="008D6882">
        <w:rPr>
          <w:rStyle w:val="FootnoteReference"/>
          <w:sz w:val="24"/>
          <w:lang w:val="fi-FI"/>
        </w:rPr>
        <w:footnoteRef/>
      </w:r>
      <w:r w:rsidR="008D6882" w:rsidRPr="008D6882">
        <w:rPr>
          <w:sz w:val="24"/>
          <w:lang w:val="fi-FI"/>
        </w:rPr>
        <w:t xml:space="preserve"> </w:t>
      </w:r>
      <w:r w:rsidR="008D6882" w:rsidRPr="008D6882">
        <w:rPr>
          <w:sz w:val="24"/>
          <w:lang w:val="fi-FI"/>
        </w:rPr>
        <w:tab/>
      </w:r>
      <w:r w:rsidRPr="008D6882">
        <w:rPr>
          <w:sz w:val="24"/>
          <w:lang w:val="fi-FI"/>
        </w:rPr>
        <w:t>Rahoituskehysasetuksen 8 artikla.</w:t>
      </w:r>
    </w:p>
  </w:footnote>
  <w:footnote w:id="7">
    <w:p w14:paraId="281A7861" w14:textId="1DEA44C1" w:rsidR="00A21090" w:rsidRPr="008D6882" w:rsidRDefault="00A21090" w:rsidP="00682BA2">
      <w:pPr>
        <w:pStyle w:val="FootnoteText"/>
        <w:keepLines w:val="0"/>
        <w:ind w:left="567" w:hanging="567"/>
        <w:rPr>
          <w:sz w:val="24"/>
          <w:lang w:val="fi-FI"/>
        </w:rPr>
      </w:pPr>
      <w:r w:rsidRPr="008D6882">
        <w:rPr>
          <w:rStyle w:val="FootnoteReference"/>
          <w:sz w:val="24"/>
          <w:lang w:val="fi-FI"/>
        </w:rPr>
        <w:footnoteRef/>
      </w:r>
      <w:r w:rsidR="008D6882" w:rsidRPr="008D6882">
        <w:rPr>
          <w:sz w:val="24"/>
          <w:lang w:val="fi-FI"/>
        </w:rPr>
        <w:t xml:space="preserve"> </w:t>
      </w:r>
      <w:r w:rsidR="008D6882" w:rsidRPr="008D6882">
        <w:rPr>
          <w:sz w:val="24"/>
          <w:lang w:val="fi-FI"/>
        </w:rPr>
        <w:tab/>
      </w:r>
      <w:r>
        <w:fldChar w:fldCharType="begin"/>
      </w:r>
      <w:r w:rsidRPr="004113C9">
        <w:rPr>
          <w:lang w:val="fi-FI"/>
        </w:rPr>
        <w:instrText>HYPERLINK "ttps://www.nbb.be/doc/ts/publications/economicreview/2024/ecorevi2024_h02.pdf"</w:instrText>
      </w:r>
      <w:r>
        <w:fldChar w:fldCharType="separate"/>
      </w:r>
      <w:r w:rsidRPr="008D6882">
        <w:rPr>
          <w:rStyle w:val="Hyperlink"/>
          <w:sz w:val="24"/>
          <w:lang w:val="fi-FI"/>
        </w:rPr>
        <w:t>Belgian keskuspankki.</w:t>
      </w:r>
      <w:r>
        <w:fldChar w:fldCharType="end"/>
      </w:r>
      <w:hyperlink r:id="rId2" w:history="1">
        <w:r w:rsidRPr="008D6882">
          <w:rPr>
            <w:rStyle w:val="Hyperlink"/>
            <w:sz w:val="24"/>
            <w:lang w:val="fi-FI"/>
          </w:rPr>
          <w:t xml:space="preserve"> Talouskatsaus 2024 (EN).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9A612" w14:textId="77777777" w:rsidR="00064002" w:rsidRPr="008D68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B323" w14:textId="77777777" w:rsidR="00064002" w:rsidRPr="008D68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A3D1E" w14:textId="77777777" w:rsidR="00064002" w:rsidRPr="008D68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228784">
    <w:abstractNumId w:val="9"/>
  </w:num>
  <w:num w:numId="2" w16cid:durableId="1529024766">
    <w:abstractNumId w:val="9"/>
  </w:num>
  <w:num w:numId="3" w16cid:durableId="1824812593">
    <w:abstractNumId w:val="7"/>
  </w:num>
  <w:num w:numId="4" w16cid:durableId="508494557">
    <w:abstractNumId w:val="7"/>
  </w:num>
  <w:num w:numId="5" w16cid:durableId="2104758107">
    <w:abstractNumId w:val="6"/>
  </w:num>
  <w:num w:numId="6" w16cid:durableId="392196204">
    <w:abstractNumId w:val="6"/>
  </w:num>
  <w:num w:numId="7" w16cid:durableId="386686105">
    <w:abstractNumId w:val="5"/>
  </w:num>
  <w:num w:numId="8" w16cid:durableId="754085139">
    <w:abstractNumId w:val="5"/>
  </w:num>
  <w:num w:numId="9" w16cid:durableId="950862301">
    <w:abstractNumId w:val="4"/>
  </w:num>
  <w:num w:numId="10" w16cid:durableId="1558202206">
    <w:abstractNumId w:val="4"/>
  </w:num>
  <w:num w:numId="11" w16cid:durableId="626398666">
    <w:abstractNumId w:val="8"/>
  </w:num>
  <w:num w:numId="12" w16cid:durableId="1036929565">
    <w:abstractNumId w:val="8"/>
  </w:num>
  <w:num w:numId="13" w16cid:durableId="1006901336">
    <w:abstractNumId w:val="3"/>
  </w:num>
  <w:num w:numId="14" w16cid:durableId="1540242397">
    <w:abstractNumId w:val="3"/>
  </w:num>
  <w:num w:numId="15" w16cid:durableId="633676135">
    <w:abstractNumId w:val="2"/>
  </w:num>
  <w:num w:numId="16" w16cid:durableId="1968199675">
    <w:abstractNumId w:val="2"/>
  </w:num>
  <w:num w:numId="17" w16cid:durableId="392313826">
    <w:abstractNumId w:val="1"/>
  </w:num>
  <w:num w:numId="18" w16cid:durableId="602879226">
    <w:abstractNumId w:val="1"/>
  </w:num>
  <w:num w:numId="19" w16cid:durableId="2107265177">
    <w:abstractNumId w:val="0"/>
  </w:num>
  <w:num w:numId="20" w16cid:durableId="979923023">
    <w:abstractNumId w:val="0"/>
  </w:num>
  <w:num w:numId="21" w16cid:durableId="1808468771">
    <w:abstractNumId w:val="9"/>
  </w:num>
  <w:num w:numId="22" w16cid:durableId="1516649052">
    <w:abstractNumId w:val="7"/>
  </w:num>
  <w:num w:numId="23" w16cid:durableId="1261453366">
    <w:abstractNumId w:val="6"/>
  </w:num>
  <w:num w:numId="24" w16cid:durableId="82260643">
    <w:abstractNumId w:val="5"/>
  </w:num>
  <w:num w:numId="25" w16cid:durableId="268318221">
    <w:abstractNumId w:val="4"/>
  </w:num>
  <w:num w:numId="26" w16cid:durableId="994996073">
    <w:abstractNumId w:val="8"/>
  </w:num>
  <w:num w:numId="27" w16cid:durableId="722945147">
    <w:abstractNumId w:val="3"/>
  </w:num>
  <w:num w:numId="28" w16cid:durableId="870187430">
    <w:abstractNumId w:val="2"/>
  </w:num>
  <w:num w:numId="29" w16cid:durableId="1874804700">
    <w:abstractNumId w:val="1"/>
  </w:num>
  <w:num w:numId="30" w16cid:durableId="616982947">
    <w:abstractNumId w:val="0"/>
  </w:num>
  <w:num w:numId="31" w16cid:durableId="796407867">
    <w:abstractNumId w:val="9"/>
  </w:num>
  <w:num w:numId="32" w16cid:durableId="1528831352">
    <w:abstractNumId w:val="7"/>
  </w:num>
  <w:num w:numId="33" w16cid:durableId="239291268">
    <w:abstractNumId w:val="6"/>
  </w:num>
  <w:num w:numId="34" w16cid:durableId="180511531">
    <w:abstractNumId w:val="5"/>
  </w:num>
  <w:num w:numId="35" w16cid:durableId="341972503">
    <w:abstractNumId w:val="4"/>
  </w:num>
  <w:num w:numId="36" w16cid:durableId="1209533922">
    <w:abstractNumId w:val="8"/>
  </w:num>
  <w:num w:numId="37" w16cid:durableId="345596668">
    <w:abstractNumId w:val="3"/>
  </w:num>
  <w:num w:numId="38" w16cid:durableId="2126120724">
    <w:abstractNumId w:val="2"/>
  </w:num>
  <w:num w:numId="39" w16cid:durableId="1226795253">
    <w:abstractNumId w:val="1"/>
  </w:num>
  <w:num w:numId="40" w16cid:durableId="843126524">
    <w:abstractNumId w:val="0"/>
  </w:num>
  <w:num w:numId="41" w16cid:durableId="1557661163">
    <w:abstractNumId w:val="10"/>
  </w:num>
  <w:num w:numId="42" w16cid:durableId="1425153420">
    <w:abstractNumId w:val="10"/>
  </w:num>
  <w:num w:numId="43" w16cid:durableId="1756825046">
    <w:abstractNumId w:val="10"/>
  </w:num>
  <w:num w:numId="44" w16cid:durableId="20128275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6"/>
    <w:docVar w:name="dvlangue" w:val="FI"/>
    <w:docVar w:name="dvnumam" w:val="0"/>
    <w:docVar w:name="dvpe" w:val="785.333"/>
    <w:docVar w:name="dvrapporteur" w:val="Esittelijä: "/>
    <w:docVar w:name="dvtitre" w:val="Euroopan parlamentin päätöslauselma xx. xxxkuuta 2026 ehdotuksesta Euroopan parlamentin ja neuvoston päätökseksi työttömiksi jääneitä työntekijöitä tukevan Euroopan globalisaatiorahaston varojen käyttöönotosta Belgian hakemuksen johdosta – EGF/2025/008 BE/Liberty(COM(2026)0004 – C10-0062/2026 – 2026/0066(BUD))"/>
  </w:docVars>
  <w:rsids>
    <w:rsidRoot w:val="00402078"/>
    <w:rsid w:val="00002272"/>
    <w:rsid w:val="00064002"/>
    <w:rsid w:val="000677B9"/>
    <w:rsid w:val="000831BA"/>
    <w:rsid w:val="000A42CC"/>
    <w:rsid w:val="000E7DD9"/>
    <w:rsid w:val="0010095E"/>
    <w:rsid w:val="0012081B"/>
    <w:rsid w:val="00125B37"/>
    <w:rsid w:val="00187494"/>
    <w:rsid w:val="001F32AE"/>
    <w:rsid w:val="002767FF"/>
    <w:rsid w:val="002B18FE"/>
    <w:rsid w:val="002B5493"/>
    <w:rsid w:val="00343214"/>
    <w:rsid w:val="00361C00"/>
    <w:rsid w:val="00395FA1"/>
    <w:rsid w:val="003E15D4"/>
    <w:rsid w:val="00402078"/>
    <w:rsid w:val="004113C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2BA2"/>
    <w:rsid w:val="006F74FA"/>
    <w:rsid w:val="00731ADD"/>
    <w:rsid w:val="00734777"/>
    <w:rsid w:val="00747932"/>
    <w:rsid w:val="00751A4A"/>
    <w:rsid w:val="00756632"/>
    <w:rsid w:val="00762C74"/>
    <w:rsid w:val="00786EC0"/>
    <w:rsid w:val="007D1690"/>
    <w:rsid w:val="007E22AD"/>
    <w:rsid w:val="00801E59"/>
    <w:rsid w:val="00817416"/>
    <w:rsid w:val="00842779"/>
    <w:rsid w:val="00843C5B"/>
    <w:rsid w:val="00865F67"/>
    <w:rsid w:val="00881A7B"/>
    <w:rsid w:val="008840E5"/>
    <w:rsid w:val="00887B3E"/>
    <w:rsid w:val="008C2AC6"/>
    <w:rsid w:val="008D6882"/>
    <w:rsid w:val="00930C23"/>
    <w:rsid w:val="0093193B"/>
    <w:rsid w:val="009509D8"/>
    <w:rsid w:val="00950B64"/>
    <w:rsid w:val="00981893"/>
    <w:rsid w:val="00A1687D"/>
    <w:rsid w:val="00A21090"/>
    <w:rsid w:val="00A43E52"/>
    <w:rsid w:val="00A4678D"/>
    <w:rsid w:val="00A778C7"/>
    <w:rsid w:val="00AB441E"/>
    <w:rsid w:val="00AB6293"/>
    <w:rsid w:val="00AE0928"/>
    <w:rsid w:val="00AF3B82"/>
    <w:rsid w:val="00B12E95"/>
    <w:rsid w:val="00B22876"/>
    <w:rsid w:val="00B242AA"/>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259D"/>
    <w:rsid w:val="00E820A4"/>
    <w:rsid w:val="00EB006A"/>
    <w:rsid w:val="00EB4772"/>
    <w:rsid w:val="00EB6911"/>
    <w:rsid w:val="00EC4F28"/>
    <w:rsid w:val="00ED169E"/>
    <w:rsid w:val="00ED4235"/>
    <w:rsid w:val="00F04346"/>
    <w:rsid w:val="00F075DC"/>
    <w:rsid w:val="00F145C7"/>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B4E659"/>
  <w15:chartTrackingRefBased/>
  <w15:docId w15:val="{4A73ABE5-E3D7-406F-B469-CCAA51488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2109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A21090"/>
    <w:pPr>
      <w:keepNext/>
      <w:spacing w:after="480"/>
      <w:jc w:val="center"/>
    </w:pPr>
    <w:rPr>
      <w:rFonts w:ascii="Arial" w:hAnsi="Arial" w:cs="Arial"/>
      <w:b/>
    </w:rPr>
  </w:style>
  <w:style w:type="paragraph" w:customStyle="1" w:styleId="NormalHanging12a">
    <w:name w:val="NormalHanging12a"/>
    <w:basedOn w:val="Normal"/>
    <w:link w:val="NormalHanging12aChar"/>
    <w:rsid w:val="00A21090"/>
    <w:pPr>
      <w:spacing w:after="240"/>
      <w:ind w:left="567" w:hanging="567"/>
    </w:pPr>
  </w:style>
  <w:style w:type="paragraph" w:styleId="Header">
    <w:name w:val="header"/>
    <w:basedOn w:val="Normal"/>
    <w:link w:val="HeaderChar"/>
    <w:rsid w:val="00A21090"/>
    <w:pPr>
      <w:tabs>
        <w:tab w:val="center" w:pos="4513"/>
        <w:tab w:val="right" w:pos="9026"/>
      </w:tabs>
    </w:pPr>
  </w:style>
  <w:style w:type="character" w:customStyle="1" w:styleId="HeaderChar">
    <w:name w:val="Header Char"/>
    <w:basedOn w:val="DefaultParagraphFont"/>
    <w:link w:val="Header"/>
    <w:rsid w:val="00A21090"/>
    <w:rPr>
      <w:sz w:val="24"/>
      <w:lang w:val="fi-FI"/>
    </w:rPr>
  </w:style>
  <w:style w:type="paragraph" w:customStyle="1" w:styleId="EPFooter">
    <w:name w:val="EPFooter"/>
    <w:basedOn w:val="Normal"/>
    <w:rsid w:val="00A21090"/>
    <w:pPr>
      <w:tabs>
        <w:tab w:val="center" w:pos="4535"/>
        <w:tab w:val="right" w:pos="9071"/>
      </w:tabs>
      <w:spacing w:before="240" w:after="240"/>
    </w:pPr>
    <w:rPr>
      <w:color w:val="010000"/>
      <w:sz w:val="22"/>
    </w:rPr>
  </w:style>
  <w:style w:type="paragraph" w:customStyle="1" w:styleId="EPComma">
    <w:name w:val="EPComma"/>
    <w:basedOn w:val="Normal"/>
    <w:rsid w:val="00A21090"/>
    <w:pPr>
      <w:spacing w:before="480" w:after="240"/>
    </w:pPr>
  </w:style>
  <w:style w:type="character" w:styleId="Hyperlink">
    <w:name w:val="Hyperlink"/>
    <w:basedOn w:val="DefaultParagraphFont"/>
    <w:uiPriority w:val="99"/>
    <w:rsid w:val="00A21090"/>
    <w:rPr>
      <w:color w:val="0563C1" w:themeColor="hyperlink"/>
      <w:u w:val="single"/>
    </w:rPr>
  </w:style>
  <w:style w:type="character" w:customStyle="1" w:styleId="NormalHanging12aChar">
    <w:name w:val="NormalHanging12a Char"/>
    <w:basedOn w:val="DefaultParagraphFont"/>
    <w:link w:val="NormalHanging12a"/>
    <w:locked/>
    <w:rsid w:val="00A21090"/>
    <w:rPr>
      <w:sz w:val="24"/>
      <w:lang w:val="fi-FI"/>
    </w:rPr>
  </w:style>
  <w:style w:type="paragraph" w:customStyle="1" w:styleId="Institutionquisigne">
    <w:name w:val="Institution qui signe"/>
    <w:basedOn w:val="Normal"/>
    <w:next w:val="Personnequisigne"/>
    <w:rsid w:val="00A21090"/>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A21090"/>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2109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2109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21090"/>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A21090"/>
    <w:pPr>
      <w:widowControl/>
      <w:tabs>
        <w:tab w:val="left" w:pos="4252"/>
      </w:tabs>
    </w:pPr>
    <w:rPr>
      <w:rFonts w:eastAsiaTheme="minorHAnsi"/>
      <w:i/>
      <w:szCs w:val="22"/>
      <w:lang w:eastAsia="en-US"/>
    </w:rPr>
  </w:style>
  <w:style w:type="paragraph" w:customStyle="1" w:styleId="ManualConsidrant">
    <w:name w:val="Manual Considérant"/>
    <w:basedOn w:val="Normal"/>
    <w:rsid w:val="00A21090"/>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A21090"/>
    <w:rPr>
      <w:rFonts w:ascii="Arial" w:hAnsi="Arial" w:cs="Arial"/>
      <w:b/>
      <w:sz w:val="24"/>
      <w:lang w:val="fi-FI"/>
    </w:rPr>
  </w:style>
  <w:style w:type="paragraph" w:customStyle="1" w:styleId="Lignefinal">
    <w:name w:val="Ligne final"/>
    <w:basedOn w:val="Normal"/>
    <w:next w:val="Normal"/>
    <w:rsid w:val="00A21090"/>
    <w:pPr>
      <w:widowControl/>
      <w:pBdr>
        <w:bottom w:val="single" w:sz="4" w:space="0" w:color="000000"/>
      </w:pBdr>
      <w:spacing w:before="360" w:after="120" w:line="360" w:lineRule="auto"/>
      <w:ind w:left="3400" w:right="3400"/>
      <w:jc w:val="center"/>
    </w:pPr>
    <w:rPr>
      <w:rFonts w:eastAsiaTheme="minorHAnsi"/>
      <w:b/>
      <w:szCs w:val="22"/>
      <w:lang w:eastAsia="fi-FI" w:bidi="fi-FI"/>
    </w:rPr>
  </w:style>
  <w:style w:type="paragraph" w:styleId="Footer">
    <w:name w:val="footer"/>
    <w:basedOn w:val="Normal"/>
    <w:link w:val="FooterChar"/>
    <w:rsid w:val="00843C5B"/>
    <w:pPr>
      <w:tabs>
        <w:tab w:val="center" w:pos="4513"/>
        <w:tab w:val="right" w:pos="9026"/>
      </w:tabs>
    </w:pPr>
  </w:style>
  <w:style w:type="character" w:customStyle="1" w:styleId="FooterChar">
    <w:name w:val="Footer Char"/>
    <w:basedOn w:val="DefaultParagraphFont"/>
    <w:link w:val="Footer"/>
    <w:rsid w:val="00843C5B"/>
    <w:rPr>
      <w:sz w:val="24"/>
      <w:lang w:val="fi-FI"/>
    </w:rPr>
  </w:style>
  <w:style w:type="character" w:styleId="CommentReference">
    <w:name w:val="annotation reference"/>
    <w:basedOn w:val="DefaultParagraphFont"/>
    <w:rsid w:val="00EC4F28"/>
    <w:rPr>
      <w:sz w:val="16"/>
      <w:szCs w:val="16"/>
    </w:rPr>
  </w:style>
  <w:style w:type="paragraph" w:styleId="CommentText">
    <w:name w:val="annotation text"/>
    <w:basedOn w:val="Normal"/>
    <w:link w:val="CommentTextChar"/>
    <w:rsid w:val="00EC4F28"/>
    <w:rPr>
      <w:sz w:val="20"/>
    </w:rPr>
  </w:style>
  <w:style w:type="character" w:customStyle="1" w:styleId="CommentTextChar">
    <w:name w:val="Comment Text Char"/>
    <w:basedOn w:val="DefaultParagraphFont"/>
    <w:link w:val="CommentText"/>
    <w:rsid w:val="00EC4F28"/>
    <w:rPr>
      <w:lang w:val="fi-FI"/>
    </w:rPr>
  </w:style>
  <w:style w:type="paragraph" w:styleId="CommentSubject">
    <w:name w:val="annotation subject"/>
    <w:basedOn w:val="CommentText"/>
    <w:next w:val="CommentText"/>
    <w:link w:val="CommentSubjectChar"/>
    <w:rsid w:val="00EC4F28"/>
    <w:rPr>
      <w:b/>
      <w:bCs/>
    </w:rPr>
  </w:style>
  <w:style w:type="character" w:customStyle="1" w:styleId="CommentSubjectChar">
    <w:name w:val="Comment Subject Char"/>
    <w:basedOn w:val="CommentTextChar"/>
    <w:link w:val="CommentSubject"/>
    <w:rsid w:val="00EC4F28"/>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ttps://www.nbb.be/doc/ts/publications/economicreview/2024/ecorevi2024_h02.pdf" TargetMode="External"/><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1339</Words>
  <Characters>11203</Characters>
  <Application>Microsoft Office Word</Application>
  <DocSecurity>0</DocSecurity>
  <Lines>169</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2026-07-08T15:04:00Z</dcterms:created>
  <dcterms:modified xsi:type="dcterms:W3CDTF">2026-07-08T15:04:00Z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P10_TA(2026)0145_</vt:lpwstr>
  </property>
  <property fmtid="{D5CDD505-2E9C-101B-9397-08002B2CF9AE}" pid="4" name="&lt;Type&gt;">
    <vt:lpwstr>RR</vt:lpwstr>
  </property>
</Properties>
</file>