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270BA" w14:paraId="6D476BA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2B5EF7" w14:textId="77777777" w:rsidR="00751A4A" w:rsidRPr="002270BA" w:rsidRDefault="007F1182" w:rsidP="0010095E">
            <w:pPr>
              <w:pStyle w:val="EPName"/>
            </w:pPr>
            <w:r w:rsidRPr="002270BA">
              <w:t>Europski parlament</w:t>
            </w:r>
          </w:p>
          <w:p w14:paraId="6AE6E1ED" w14:textId="77777777" w:rsidR="00751A4A" w:rsidRPr="002270B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70BA">
              <w:t>2024</w:t>
            </w:r>
            <w:r w:rsidR="00817416" w:rsidRPr="002270BA">
              <w:t>-202</w:t>
            </w:r>
            <w:r w:rsidRPr="002270BA">
              <w:t>9</w:t>
            </w:r>
          </w:p>
        </w:tc>
        <w:tc>
          <w:tcPr>
            <w:tcW w:w="2268" w:type="dxa"/>
            <w:shd w:val="clear" w:color="auto" w:fill="auto"/>
          </w:tcPr>
          <w:p w14:paraId="367623C7" w14:textId="77777777" w:rsidR="00751A4A" w:rsidRPr="002270BA" w:rsidRDefault="00187494" w:rsidP="0010095E">
            <w:pPr>
              <w:pStyle w:val="EPLogo"/>
            </w:pPr>
            <w:r w:rsidRPr="002270BA">
              <w:rPr>
                <w:noProof/>
                <w:lang w:eastAsia="ja-JP"/>
              </w:rPr>
              <w:drawing>
                <wp:inline distT="0" distB="0" distL="0" distR="0" wp14:anchorId="38741D3E" wp14:editId="59929F4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FA9247" w14:textId="77777777" w:rsidR="00D058B8" w:rsidRPr="002270BA" w:rsidRDefault="00D058B8" w:rsidP="004C5D52">
      <w:pPr>
        <w:pStyle w:val="LineTop"/>
      </w:pPr>
    </w:p>
    <w:p w14:paraId="12CAA41C" w14:textId="77777777" w:rsidR="00680577" w:rsidRPr="002270BA" w:rsidRDefault="007F1182" w:rsidP="00680577">
      <w:pPr>
        <w:pStyle w:val="EPBodyTA1"/>
      </w:pPr>
      <w:r w:rsidRPr="002270BA">
        <w:t>USVOJENI TEKSTOVI</w:t>
      </w:r>
    </w:p>
    <w:p w14:paraId="03067262" w14:textId="77777777" w:rsidR="00D058B8" w:rsidRPr="002270BA" w:rsidRDefault="00D058B8" w:rsidP="00D058B8">
      <w:pPr>
        <w:pStyle w:val="LineBottom"/>
      </w:pPr>
    </w:p>
    <w:p w14:paraId="295ED386" w14:textId="2AAB256F" w:rsidR="007F1182" w:rsidRPr="002270BA" w:rsidRDefault="007F1182" w:rsidP="007F1182">
      <w:pPr>
        <w:pStyle w:val="ATHeading1"/>
      </w:pPr>
      <w:bookmarkStart w:id="0" w:name="TANumber"/>
      <w:r w:rsidRPr="002270BA">
        <w:t>P10_TA(2026)0</w:t>
      </w:r>
      <w:r w:rsidR="00C64573">
        <w:t>145</w:t>
      </w:r>
      <w:bookmarkEnd w:id="0"/>
    </w:p>
    <w:p w14:paraId="35E57ED2" w14:textId="77777777" w:rsidR="007F1182" w:rsidRPr="002270BA" w:rsidRDefault="007F1182" w:rsidP="007F1182">
      <w:pPr>
        <w:pStyle w:val="ATHeading2"/>
      </w:pPr>
      <w:bookmarkStart w:id="1" w:name="title"/>
      <w:r w:rsidRPr="002270BA">
        <w:t>Mobilizacija Europskog fonda za prilagodbu globalizaciji za radnike koji su proglašeni viškom: zahtjev EGF/2025/008 BE/</w:t>
      </w:r>
      <w:proofErr w:type="spellStart"/>
      <w:r w:rsidRPr="002270BA">
        <w:t>Liberty</w:t>
      </w:r>
      <w:proofErr w:type="spellEnd"/>
      <w:r w:rsidRPr="002270BA">
        <w:t xml:space="preserve"> – Belgija</w:t>
      </w:r>
      <w:bookmarkEnd w:id="1"/>
    </w:p>
    <w:p w14:paraId="403EFF2D" w14:textId="77777777" w:rsidR="007F1182" w:rsidRPr="002270BA" w:rsidRDefault="007F1182" w:rsidP="007F1182">
      <w:pPr>
        <w:rPr>
          <w:i/>
          <w:vanish/>
        </w:rPr>
      </w:pPr>
      <w:r w:rsidRPr="002270BA">
        <w:rPr>
          <w:i/>
        </w:rPr>
        <w:fldChar w:fldCharType="begin"/>
      </w:r>
      <w:r w:rsidRPr="002270BA">
        <w:rPr>
          <w:i/>
        </w:rPr>
        <w:instrText xml:space="preserve"> TC"(</w:instrText>
      </w:r>
      <w:bookmarkStart w:id="2" w:name="DocNumber"/>
      <w:r w:rsidRPr="002270BA">
        <w:rPr>
          <w:i/>
        </w:rPr>
        <w:instrText>A10-0084/2026</w:instrText>
      </w:r>
      <w:bookmarkEnd w:id="2"/>
      <w:r w:rsidRPr="002270BA">
        <w:rPr>
          <w:i/>
        </w:rPr>
        <w:instrText xml:space="preserve"> - Izvjestitelj: Matthias </w:instrText>
      </w:r>
      <w:proofErr w:type="spellStart"/>
      <w:r w:rsidRPr="002270BA">
        <w:rPr>
          <w:i/>
        </w:rPr>
        <w:instrText>Ecke</w:instrText>
      </w:r>
      <w:proofErr w:type="spellEnd"/>
      <w:r w:rsidRPr="002270BA">
        <w:rPr>
          <w:i/>
        </w:rPr>
        <w:instrText xml:space="preserve">)"\l3 \n&gt; \* MERGEFORMAT </w:instrText>
      </w:r>
      <w:r w:rsidRPr="002270BA">
        <w:rPr>
          <w:i/>
        </w:rPr>
        <w:fldChar w:fldCharType="end"/>
      </w:r>
    </w:p>
    <w:p w14:paraId="4BD046BA" w14:textId="77777777" w:rsidR="007F1182" w:rsidRPr="002270BA" w:rsidRDefault="007F1182" w:rsidP="007F1182">
      <w:pPr>
        <w:rPr>
          <w:vanish/>
        </w:rPr>
      </w:pPr>
      <w:bookmarkStart w:id="3" w:name="Commission"/>
      <w:r w:rsidRPr="002270BA">
        <w:rPr>
          <w:vanish/>
        </w:rPr>
        <w:t>Odbor za proračune</w:t>
      </w:r>
      <w:bookmarkEnd w:id="3"/>
    </w:p>
    <w:p w14:paraId="10361E32" w14:textId="77777777" w:rsidR="007F1182" w:rsidRPr="002270BA" w:rsidRDefault="007F1182" w:rsidP="007F1182">
      <w:pPr>
        <w:rPr>
          <w:vanish/>
        </w:rPr>
      </w:pPr>
      <w:bookmarkStart w:id="4" w:name="PE"/>
      <w:r w:rsidRPr="002270BA">
        <w:rPr>
          <w:vanish/>
        </w:rPr>
        <w:t>PE785.333</w:t>
      </w:r>
      <w:bookmarkEnd w:id="4"/>
    </w:p>
    <w:p w14:paraId="073128BA" w14:textId="252E8A93" w:rsidR="007F1182" w:rsidRPr="002270BA" w:rsidRDefault="007F1182" w:rsidP="007F1182">
      <w:pPr>
        <w:pStyle w:val="ATHeading3"/>
      </w:pPr>
      <w:bookmarkStart w:id="5" w:name="Sujet"/>
      <w:r w:rsidRPr="002270BA">
        <w:t xml:space="preserve">Rezolucija Europskog parlamenta od </w:t>
      </w:r>
      <w:r w:rsidR="00031D39">
        <w:t>29. travnja</w:t>
      </w:r>
      <w:r w:rsidRPr="002270BA">
        <w:t xml:space="preserve"> 2026. o Prijedlogu odluke Europskog parlamenta i Vijeća o mobilizaciji Europskog fonda za prilagodbu globalizaciji za radnike koji su proglašeni viškom na temelju zahtjeva iz Belgije – EGF/2025/008 BE/</w:t>
      </w:r>
      <w:proofErr w:type="spellStart"/>
      <w:r w:rsidRPr="002270BA">
        <w:t>Liberty</w:t>
      </w:r>
      <w:bookmarkEnd w:id="5"/>
      <w:proofErr w:type="spellEnd"/>
      <w:r w:rsidRPr="002270BA">
        <w:t xml:space="preserve"> </w:t>
      </w:r>
      <w:bookmarkStart w:id="6" w:name="References"/>
      <w:r w:rsidRPr="002270BA">
        <w:t>(COM(2026)0004 – C10-0062/2026 – 2026/0066(BUD))</w:t>
      </w:r>
      <w:bookmarkEnd w:id="6"/>
    </w:p>
    <w:p w14:paraId="299D9D50" w14:textId="77777777" w:rsidR="00B17A61" w:rsidRPr="002270BA" w:rsidRDefault="00B17A61" w:rsidP="00B17A61">
      <w:pPr>
        <w:pStyle w:val="EPComma"/>
        <w:rPr>
          <w:noProof/>
        </w:rPr>
      </w:pPr>
      <w:r w:rsidRPr="002270BA">
        <w:rPr>
          <w:i/>
        </w:rPr>
        <w:t>Europski parlament</w:t>
      </w:r>
      <w:r w:rsidRPr="002270BA">
        <w:t>,</w:t>
      </w:r>
    </w:p>
    <w:p w14:paraId="1EA8D258" w14:textId="77777777" w:rsidR="00B17A61" w:rsidRPr="002270BA" w:rsidRDefault="00B17A61" w:rsidP="00B17A61">
      <w:pPr>
        <w:pStyle w:val="NormalHanging12a"/>
        <w:rPr>
          <w:noProof/>
        </w:rPr>
      </w:pPr>
      <w:r w:rsidRPr="002270BA">
        <w:t>–</w:t>
      </w:r>
      <w:r w:rsidRPr="002270BA">
        <w:tab/>
        <w:t>uzimajući u obzir prijedlog Komisije upućen Europskom parlamentu i Vijeću (COM(2026)0004 – C10</w:t>
      </w:r>
      <w:r w:rsidRPr="002270BA">
        <w:noBreakHyphen/>
        <w:t>0062/2026),</w:t>
      </w:r>
    </w:p>
    <w:p w14:paraId="4D9A29FF" w14:textId="77777777" w:rsidR="00B17A61" w:rsidRPr="002270BA" w:rsidRDefault="00B17A61" w:rsidP="00B17A61">
      <w:pPr>
        <w:pStyle w:val="NormalHanging12a"/>
      </w:pPr>
      <w:r w:rsidRPr="002270BA">
        <w:t>–</w:t>
      </w:r>
      <w:r w:rsidRPr="002270BA">
        <w:tab/>
        <w:t>uzimajući u obzir Uredbu (EU) 2021/691 Europskog parlamenta i Vijeća od 28. travnja 2021. o Europskom fondu za prilagodbu globalizaciji za radnike koji su proglašeni viškom (EGF) i stavljanju izvan snage Uredbe (EU) br. 1309/2013</w:t>
      </w:r>
      <w:r w:rsidRPr="002270BA">
        <w:rPr>
          <w:vertAlign w:val="superscript"/>
        </w:rPr>
        <w:footnoteReference w:id="1"/>
      </w:r>
      <w:r w:rsidRPr="002270BA">
        <w:t xml:space="preserve"> („Uredba o EGF-u”), </w:t>
      </w:r>
    </w:p>
    <w:p w14:paraId="2E4A0609" w14:textId="77777777" w:rsidR="00B17A61" w:rsidRPr="002270BA" w:rsidRDefault="00B17A61" w:rsidP="00B17A61">
      <w:pPr>
        <w:pStyle w:val="NormalHanging12a"/>
        <w:rPr>
          <w:noProof/>
        </w:rPr>
      </w:pPr>
      <w:r w:rsidRPr="002270BA">
        <w:t>–</w:t>
      </w:r>
      <w:r w:rsidRPr="002270BA">
        <w:tab/>
        <w:t>uzimajući u obzir Uredbu Vijeća (EU, Euratom) 2020/2093 od 17. prosinca 2020. kojom se utvrđuje višegodišnji financijski okvir za razdoblje 2021. – 2027. („Uredba o VFO-u”)</w:t>
      </w:r>
      <w:r w:rsidRPr="002270BA">
        <w:rPr>
          <w:noProof/>
          <w:vertAlign w:val="superscript"/>
        </w:rPr>
        <w:footnoteReference w:id="2"/>
      </w:r>
      <w:r w:rsidRPr="002270BA">
        <w:t>, kako je izmijenjena Uredbom (EU, Euratom) 2024/765</w:t>
      </w:r>
      <w:r w:rsidRPr="002270BA">
        <w:rPr>
          <w:noProof/>
          <w:vertAlign w:val="superscript"/>
        </w:rPr>
        <w:footnoteReference w:id="3"/>
      </w:r>
      <w:r w:rsidRPr="002270BA">
        <w:t xml:space="preserve">, a posebno njezin članak 8., </w:t>
      </w:r>
    </w:p>
    <w:p w14:paraId="68D65E69" w14:textId="77777777" w:rsidR="00B17A61" w:rsidRPr="002270BA" w:rsidRDefault="00B17A61" w:rsidP="00B17A61">
      <w:pPr>
        <w:pStyle w:val="NormalHanging12a"/>
        <w:rPr>
          <w:noProof/>
        </w:rPr>
      </w:pPr>
      <w:r w:rsidRPr="002270BA">
        <w:t>–</w:t>
      </w:r>
      <w:r w:rsidRPr="002270BA">
        <w:tab/>
        <w:t xml:space="preserve">uzimajući u obzir </w:t>
      </w:r>
      <w:proofErr w:type="spellStart"/>
      <w:r w:rsidRPr="002270BA">
        <w:t>Međuinstitucijski</w:t>
      </w:r>
      <w:proofErr w:type="spellEnd"/>
      <w:r w:rsidRPr="002270BA">
        <w:t xml:space="preserve"> sporazum od 16. prosinca 2020. između Europskog parlamenta, Vijeća Europske unije i Europske komisije o proračunskoj disciplini, suradnji u proračunskim pitanjima i dobrom financijskom upravljanju te novim vlastitim sredstvima, uključujući plan za uvođenje novih vlastitih sredstava</w:t>
      </w:r>
      <w:r w:rsidRPr="002270BA">
        <w:rPr>
          <w:rStyle w:val="FootnoteReference"/>
          <w:noProof/>
        </w:rPr>
        <w:footnoteReference w:id="4"/>
      </w:r>
      <w:r w:rsidRPr="002270BA">
        <w:t xml:space="preserve">, a posebno </w:t>
      </w:r>
      <w:r w:rsidRPr="002270BA">
        <w:lastRenderedPageBreak/>
        <w:t>njegovu točku 9.,</w:t>
      </w:r>
    </w:p>
    <w:p w14:paraId="02F0C581" w14:textId="77777777" w:rsidR="00B17A61" w:rsidRPr="002270BA" w:rsidRDefault="00B17A61" w:rsidP="00B17A61">
      <w:pPr>
        <w:pStyle w:val="NormalHanging12a"/>
      </w:pPr>
      <w:r w:rsidRPr="002270BA">
        <w:t>–</w:t>
      </w:r>
      <w:r w:rsidRPr="002270BA">
        <w:tab/>
        <w:t>uzimajući u obzir europski stup socijalnih prava,</w:t>
      </w:r>
    </w:p>
    <w:p w14:paraId="69D593CB" w14:textId="77777777" w:rsidR="00B17A61" w:rsidRPr="002270BA" w:rsidRDefault="00B17A61" w:rsidP="00B17A61">
      <w:pPr>
        <w:pStyle w:val="NormalHanging12a"/>
      </w:pPr>
      <w:r w:rsidRPr="002270BA">
        <w:t>–</w:t>
      </w:r>
      <w:r w:rsidRPr="002270BA">
        <w:tab/>
        <w:t>uzimajući u obzir pismo Odbora za zapošljavanje i socijalna pitanja,</w:t>
      </w:r>
    </w:p>
    <w:p w14:paraId="4193B9DA" w14:textId="77777777" w:rsidR="00B17A61" w:rsidRPr="002270BA" w:rsidRDefault="00B17A61" w:rsidP="00B17A61">
      <w:pPr>
        <w:pStyle w:val="NormalHanging12a"/>
      </w:pPr>
      <w:r w:rsidRPr="002270BA">
        <w:t>–</w:t>
      </w:r>
      <w:r w:rsidRPr="002270BA">
        <w:tab/>
        <w:t>uzimajući u obzir izvješće Odbora za proračune (A10</w:t>
      </w:r>
      <w:r w:rsidRPr="002270BA">
        <w:noBreakHyphen/>
        <w:t>0084/2026),</w:t>
      </w:r>
    </w:p>
    <w:p w14:paraId="5B4DA846" w14:textId="77777777" w:rsidR="00B17A61" w:rsidRPr="002270BA" w:rsidRDefault="00B17A61" w:rsidP="00B17A61">
      <w:pPr>
        <w:pStyle w:val="NormalHanging12a"/>
        <w:rPr>
          <w:noProof/>
        </w:rPr>
      </w:pPr>
      <w:r w:rsidRPr="002270BA">
        <w:t>A.</w:t>
      </w:r>
      <w:r w:rsidRPr="002270BA">
        <w:tab/>
        <w:t>budući da je Unija uspostavila zakonodavne i proračunske instrumente kako bi pružila dodatnu potporu radnicima koji su pogođeni posljedicama velikih strukturnih događaja i promjena u svjetskim trgovinskim tokovima te kako bi im se pružila pomoć prilikom njihova ponovnog uključivanja na tržište rada; budući da se ta pomoć ostvaruje u obliku financijske potpore radnicima;</w:t>
      </w:r>
    </w:p>
    <w:p w14:paraId="4D3D7B97" w14:textId="77777777" w:rsidR="00B17A61" w:rsidRPr="002270BA" w:rsidRDefault="00B17A61" w:rsidP="00B17A61">
      <w:pPr>
        <w:pStyle w:val="NormalHanging12a"/>
        <w:rPr>
          <w:bCs/>
          <w:iCs/>
          <w:noProof/>
        </w:rPr>
      </w:pPr>
      <w:r w:rsidRPr="002270BA">
        <w:t>B.</w:t>
      </w:r>
      <w:r w:rsidRPr="002270BA">
        <w:tab/>
        <w:t>budući da bi potporu trebalo usmjeriti na brzo ponovno uključivanje radnika na tržište rada i osigurati da se osposobljavanjem, prekvalifikacijom i strukovnim osposobljavanjem radnicima na bolji način pruže vještine usklađene s potrebama tržišta rada;</w:t>
      </w:r>
    </w:p>
    <w:p w14:paraId="4ABB3ADA" w14:textId="77777777" w:rsidR="00B17A61" w:rsidRPr="002270BA" w:rsidRDefault="00B17A61" w:rsidP="00B17A61">
      <w:pPr>
        <w:pStyle w:val="NormalHanging12a"/>
      </w:pPr>
      <w:r w:rsidRPr="002270BA">
        <w:t>C.</w:t>
      </w:r>
      <w:r w:rsidRPr="002270BA">
        <w:tab/>
        <w:t>budući da je Belgija podnijela zahtjev EGF/2025/008 BE/</w:t>
      </w:r>
      <w:proofErr w:type="spellStart"/>
      <w:r w:rsidRPr="002270BA">
        <w:t>Liberty</w:t>
      </w:r>
      <w:proofErr w:type="spellEnd"/>
      <w:r w:rsidRPr="002270BA">
        <w:t xml:space="preserve"> za financijski doprinos iz EGF-a nakon otpuštanja 507 radnika</w:t>
      </w:r>
      <w:r w:rsidRPr="002270BA">
        <w:rPr>
          <w:vertAlign w:val="superscript"/>
        </w:rPr>
        <w:footnoteReference w:id="5"/>
      </w:r>
      <w:r w:rsidRPr="002270BA">
        <w:t xml:space="preserve"> u poduzeću </w:t>
      </w:r>
      <w:proofErr w:type="spellStart"/>
      <w:r w:rsidRPr="002270BA">
        <w:t>Liberty</w:t>
      </w:r>
      <w:proofErr w:type="spellEnd"/>
      <w:r w:rsidRPr="002270BA">
        <w:t xml:space="preserve"> </w:t>
      </w:r>
      <w:proofErr w:type="spellStart"/>
      <w:r w:rsidRPr="002270BA">
        <w:t>Galați</w:t>
      </w:r>
      <w:proofErr w:type="spellEnd"/>
      <w:r w:rsidRPr="002270BA">
        <w:t xml:space="preserve"> </w:t>
      </w:r>
      <w:proofErr w:type="spellStart"/>
      <w:r w:rsidRPr="002270BA">
        <w:t>Belgian</w:t>
      </w:r>
      <w:proofErr w:type="spellEnd"/>
      <w:r w:rsidRPr="002270BA">
        <w:t xml:space="preserve"> </w:t>
      </w:r>
      <w:proofErr w:type="spellStart"/>
      <w:r w:rsidRPr="002270BA">
        <w:t>Branch</w:t>
      </w:r>
      <w:proofErr w:type="spellEnd"/>
      <w:r w:rsidRPr="002270BA">
        <w:t xml:space="preserve"> (</w:t>
      </w:r>
      <w:proofErr w:type="spellStart"/>
      <w:r w:rsidRPr="002270BA">
        <w:t>Liberty</w:t>
      </w:r>
      <w:proofErr w:type="spellEnd"/>
      <w:r w:rsidRPr="002270BA">
        <w:t>) u sektoru gospodarstva svrstanom u odjeljak 24. NACE-a </w:t>
      </w:r>
      <w:proofErr w:type="spellStart"/>
      <w:r w:rsidRPr="002270BA">
        <w:t>Rev</w:t>
      </w:r>
      <w:proofErr w:type="spellEnd"/>
      <w:r w:rsidRPr="002270BA">
        <w:t xml:space="preserve">. 2 (Proizvodnja osnovnih metala) u pokrajini </w:t>
      </w:r>
      <w:proofErr w:type="spellStart"/>
      <w:r w:rsidRPr="002270BA">
        <w:t>Liège</w:t>
      </w:r>
      <w:proofErr w:type="spellEnd"/>
      <w:r w:rsidRPr="002270BA">
        <w:t xml:space="preserve"> (BE33), u Valoniji, u referentnom razdoblju od 24. travnja 2025. do 24. kolovoza 2025.;</w:t>
      </w:r>
    </w:p>
    <w:p w14:paraId="0BCDA5B9" w14:textId="77777777" w:rsidR="00B17A61" w:rsidRPr="002270BA" w:rsidRDefault="00B17A61" w:rsidP="00B17A61">
      <w:pPr>
        <w:pStyle w:val="NormalHanging12a"/>
      </w:pPr>
      <w:r w:rsidRPr="002270BA">
        <w:t>D.</w:t>
      </w:r>
      <w:r w:rsidRPr="002270BA">
        <w:tab/>
        <w:t>budući da se zahtjev temelji na intervencijskim kriterijima iz članka 4. stavka 2. točke (a) Uredbe o EGF-u, kojima se propisuje da je potrebno da u referentnom razdoblju od četiri mjeseca najmanje 200 radnika ili samozaposlenih osoba koji su proglašeni viškom u nekom poduzeću u državi članici prestane obavljati svoju djelatnost;</w:t>
      </w:r>
    </w:p>
    <w:p w14:paraId="6B5B6C97" w14:textId="77777777" w:rsidR="00B17A61" w:rsidRPr="002270BA" w:rsidRDefault="00B17A61" w:rsidP="00B17A61">
      <w:pPr>
        <w:pStyle w:val="NormalHanging12a"/>
        <w:rPr>
          <w:noProof/>
        </w:rPr>
      </w:pPr>
      <w:r w:rsidRPr="002270BA">
        <w:t>E.</w:t>
      </w:r>
      <w:r w:rsidRPr="002270BA">
        <w:tab/>
        <w:t xml:space="preserve">budući da je Trgovački sud u </w:t>
      </w:r>
      <w:proofErr w:type="spellStart"/>
      <w:r w:rsidRPr="002270BA">
        <w:t>Liègeu</w:t>
      </w:r>
      <w:proofErr w:type="spellEnd"/>
      <w:r w:rsidRPr="002270BA">
        <w:t xml:space="preserve"> 22. travnja 2025. proglasio stečaj </w:t>
      </w:r>
      <w:proofErr w:type="spellStart"/>
      <w:r w:rsidRPr="002270BA">
        <w:t>Libertyja</w:t>
      </w:r>
      <w:proofErr w:type="spellEnd"/>
      <w:r w:rsidRPr="002270BA">
        <w:t>; budući da Belgija od 2022. bilježi rast broja stečajeva;</w:t>
      </w:r>
    </w:p>
    <w:p w14:paraId="2D61DA83" w14:textId="77777777" w:rsidR="00B17A61" w:rsidRPr="002270BA" w:rsidRDefault="00B17A61" w:rsidP="00B17A61">
      <w:pPr>
        <w:pStyle w:val="NormalHanging12a"/>
      </w:pPr>
      <w:r w:rsidRPr="002270BA">
        <w:t>F.</w:t>
      </w:r>
      <w:r w:rsidRPr="002270BA">
        <w:tab/>
        <w:t xml:space="preserve">budući da Regija Valonija i </w:t>
      </w:r>
      <w:proofErr w:type="spellStart"/>
      <w:r w:rsidRPr="002270BA">
        <w:t>Le</w:t>
      </w:r>
      <w:proofErr w:type="spellEnd"/>
      <w:r w:rsidRPr="002270BA">
        <w:t xml:space="preserve"> </w:t>
      </w:r>
      <w:proofErr w:type="spellStart"/>
      <w:r w:rsidRPr="002270BA">
        <w:t>Forem</w:t>
      </w:r>
      <w:proofErr w:type="spellEnd"/>
      <w:r w:rsidRPr="002270BA">
        <w:t xml:space="preserve"> osiguravaju nacionalno </w:t>
      </w:r>
      <w:proofErr w:type="spellStart"/>
      <w:r w:rsidRPr="002270BA">
        <w:t>pretfinanciranje</w:t>
      </w:r>
      <w:proofErr w:type="spellEnd"/>
      <w:r w:rsidRPr="002270BA">
        <w:t xml:space="preserve"> i sufinanciranje mjera;</w:t>
      </w:r>
    </w:p>
    <w:p w14:paraId="1E089E98" w14:textId="77777777" w:rsidR="00B17A61" w:rsidRPr="002270BA" w:rsidRDefault="00B17A61" w:rsidP="00B17A61">
      <w:pPr>
        <w:pStyle w:val="NormalHanging12a"/>
      </w:pPr>
      <w:r w:rsidRPr="002270BA">
        <w:t>G.</w:t>
      </w:r>
      <w:r w:rsidRPr="002270BA">
        <w:tab/>
        <w:t>budući da su ispunjeni zahtjevi utvrđeni zakonodavstvom Unije i nacionalnim zakonodavstvom o kolektivnom otpuštanju;</w:t>
      </w:r>
    </w:p>
    <w:p w14:paraId="4BB9003D" w14:textId="77777777" w:rsidR="00B17A61" w:rsidRPr="002270BA" w:rsidRDefault="00B17A61" w:rsidP="00B17A61">
      <w:pPr>
        <w:pStyle w:val="NormalHanging12a"/>
      </w:pPr>
      <w:r w:rsidRPr="002270BA">
        <w:t>H.</w:t>
      </w:r>
      <w:r w:rsidRPr="002270BA">
        <w:tab/>
        <w:t>budući da bi financijski doprinos iz EGF-a ponajprije trebao biti usmjeren na aktivne mjere politike tržišta rada i personalizirane usluge čiji je cilj brza reintegracija korisnika na tržište rada i ponuditi im osposobljavanje radi stjecanja vještina kako bi im se olakšalo pristupanje tržištu rada;</w:t>
      </w:r>
    </w:p>
    <w:p w14:paraId="134B07E5" w14:textId="77777777" w:rsidR="00B17A61" w:rsidRPr="002270BA" w:rsidRDefault="00B17A61" w:rsidP="00B17A61">
      <w:pPr>
        <w:pStyle w:val="NormalHanging12a"/>
      </w:pPr>
      <w:r w:rsidRPr="002270BA">
        <w:t>I.</w:t>
      </w:r>
      <w:r w:rsidRPr="002270BA">
        <w:tab/>
        <w:t>budući da EGF ne smije premašiti najviši dopušteni godišnji iznos od 30 milijuna EUR (u cijenama iz 2018.)</w:t>
      </w:r>
      <w:r w:rsidRPr="002270BA">
        <w:rPr>
          <w:rStyle w:val="FootnoteReference"/>
        </w:rPr>
        <w:footnoteReference w:id="6"/>
      </w:r>
      <w:r w:rsidRPr="002270BA">
        <w:t>;</w:t>
      </w:r>
    </w:p>
    <w:p w14:paraId="407A869A" w14:textId="77777777" w:rsidR="00B17A61" w:rsidRPr="002270BA" w:rsidRDefault="00B17A61" w:rsidP="00B17A61">
      <w:pPr>
        <w:pStyle w:val="NormalHanging12a"/>
      </w:pPr>
      <w:r w:rsidRPr="002270BA">
        <w:t>1.</w:t>
      </w:r>
      <w:r w:rsidRPr="002270BA">
        <w:tab/>
        <w:t xml:space="preserve">slaže se s Komisijom da su uvjeti iz Uredbe o EGF-u, a posebno oni iz njezina članka 4. stavka 2. točke (a), ispunjeni i da Belgija u skladu s tom Uredbom ima pravo na </w:t>
      </w:r>
      <w:r w:rsidRPr="002270BA">
        <w:lastRenderedPageBreak/>
        <w:t>financijski doprinos u iznosu od 2 033 869 EUR, odnosno 85 % ukupnog troška od 2 392 788 EUR, što obuhvaća troškove za personalizirane usluge u iznosu od 2 358 922 EUR i troškove za aktivnosti pripreme, upravljanja, informiranja i promidžbe te kontrole i izvješćivanja u iznosu od 33 866 EUR;</w:t>
      </w:r>
    </w:p>
    <w:p w14:paraId="378A9471" w14:textId="26D36E2A" w:rsidR="00B17A61" w:rsidRPr="002270BA" w:rsidRDefault="00B17A61" w:rsidP="00B17A61">
      <w:pPr>
        <w:pStyle w:val="NormalHanging12a"/>
      </w:pPr>
      <w:r w:rsidRPr="002270BA">
        <w:t>2.</w:t>
      </w:r>
      <w:r w:rsidRPr="002270BA">
        <w:tab/>
      </w:r>
      <w:r w:rsidR="0029515B">
        <w:t>prima na znanje</w:t>
      </w:r>
      <w:r w:rsidR="002F255C" w:rsidRPr="002270BA">
        <w:t xml:space="preserve"> </w:t>
      </w:r>
      <w:r w:rsidRPr="002270BA">
        <w:t xml:space="preserve">da su belgijske vlasti podnijele zahtjev 13. studenog 2025. i da je Komisija, na temelju dodatnih informacija koje je primila od Belgije, dovršila ocjenu zahtjeva i o tome 2. ožujka 2026. obavijestila Parlament; naglašava da je potrebno skratiti vrijeme između zahtjeva za mobilizaciju EGF-a i odluke o financiranju, uz istodobnu zaštitu proračunskih prava Parlamenta; </w:t>
      </w:r>
    </w:p>
    <w:p w14:paraId="5A6D8C5D" w14:textId="77777777" w:rsidR="00B17A61" w:rsidRPr="002270BA" w:rsidRDefault="00B17A61" w:rsidP="00B17A61">
      <w:pPr>
        <w:pStyle w:val="NormalHanging12a"/>
      </w:pPr>
      <w:r w:rsidRPr="002270BA">
        <w:t>3.</w:t>
      </w:r>
      <w:r w:rsidRPr="002270BA">
        <w:tab/>
        <w:t xml:space="preserve">prima na znanje da se zahtjev odnosi na 507 ciljanih korisnika koji su proglašeni viškom u poduzeću </w:t>
      </w:r>
      <w:proofErr w:type="spellStart"/>
      <w:r w:rsidRPr="002270BA">
        <w:t>Liberty</w:t>
      </w:r>
      <w:proofErr w:type="spellEnd"/>
      <w:r w:rsidRPr="002270BA">
        <w:t>;</w:t>
      </w:r>
    </w:p>
    <w:p w14:paraId="37AEB968" w14:textId="77777777" w:rsidR="00B17A61" w:rsidRPr="002270BA" w:rsidRDefault="00B17A61" w:rsidP="00B17A61">
      <w:pPr>
        <w:pStyle w:val="NormalHanging12a"/>
      </w:pPr>
      <w:r w:rsidRPr="002270BA">
        <w:t>4.</w:t>
      </w:r>
      <w:r w:rsidRPr="002270BA">
        <w:tab/>
        <w:t xml:space="preserve">prima na znanje da se </w:t>
      </w:r>
      <w:proofErr w:type="spellStart"/>
      <w:r w:rsidRPr="002270BA">
        <w:t>Liberty</w:t>
      </w:r>
      <w:proofErr w:type="spellEnd"/>
      <w:r w:rsidRPr="002270BA">
        <w:t xml:space="preserve"> prije proglašenja stečaja godinama suočavao s financijskim poteškoćama zbog nepovoljnih uvjeta na tržištu čelika, poremećaja u lancu opskrbe povezanih s pandemijom bolesti COVID-19 i visokih cijena energije nakon agresivnog rata Rusije protiv Ukrajine zajedno s ovisnošću Unije o uvezenim fosilnim gorivima i nedovoljnom upotrebom jeftinijih izvora energije; konstatira da su galvanizacijske linije poduzeća </w:t>
      </w:r>
      <w:proofErr w:type="spellStart"/>
      <w:r w:rsidRPr="002270BA">
        <w:t>Liberty</w:t>
      </w:r>
      <w:proofErr w:type="spellEnd"/>
      <w:r w:rsidRPr="002270BA">
        <w:t xml:space="preserve"> Steel </w:t>
      </w:r>
      <w:proofErr w:type="spellStart"/>
      <w:r w:rsidRPr="002270BA">
        <w:t>Liège</w:t>
      </w:r>
      <w:proofErr w:type="spellEnd"/>
      <w:r w:rsidRPr="002270BA">
        <w:t xml:space="preserve"> u mirovanju od prosinca 2021., uglavnom zbog nedostatka sirovina, što je pokrenulo operaciju restrukturiranja koja je 2023. dovela do njegova pravnog prijenosa na poduzeće </w:t>
      </w:r>
      <w:proofErr w:type="spellStart"/>
      <w:r w:rsidRPr="002270BA">
        <w:t>Liberty</w:t>
      </w:r>
      <w:proofErr w:type="spellEnd"/>
      <w:r w:rsidRPr="002270BA">
        <w:t xml:space="preserve"> </w:t>
      </w:r>
      <w:proofErr w:type="spellStart"/>
      <w:r w:rsidRPr="002270BA">
        <w:t>Galați</w:t>
      </w:r>
      <w:proofErr w:type="spellEnd"/>
      <w:r w:rsidRPr="002270BA">
        <w:t>; izražava žaljenje zbog toga što se proizvodna aktivnost nije nastavila unatoč preuzimanju i što je kulminirala stečajem;</w:t>
      </w:r>
    </w:p>
    <w:p w14:paraId="450B9AA8" w14:textId="1835FACE" w:rsidR="00B17A61" w:rsidRPr="002270BA" w:rsidRDefault="00B17A61" w:rsidP="00B17A61">
      <w:pPr>
        <w:pStyle w:val="NormalHanging12a"/>
        <w:rPr>
          <w:noProof/>
        </w:rPr>
      </w:pPr>
      <w:r w:rsidRPr="002270BA">
        <w:t>5.</w:t>
      </w:r>
      <w:r w:rsidRPr="002270BA">
        <w:tab/>
      </w:r>
      <w:r w:rsidR="0029515B">
        <w:t>primjećuje</w:t>
      </w:r>
      <w:r w:rsidR="0029515B" w:rsidRPr="002270BA">
        <w:t xml:space="preserve"> </w:t>
      </w:r>
      <w:r w:rsidRPr="002270BA">
        <w:t xml:space="preserve">da su poteškoće s kojima se suočilo poduzeće </w:t>
      </w:r>
      <w:proofErr w:type="spellStart"/>
      <w:r w:rsidRPr="002270BA">
        <w:t>Liberty</w:t>
      </w:r>
      <w:proofErr w:type="spellEnd"/>
      <w:r w:rsidRPr="002270BA">
        <w:t xml:space="preserve"> Steel također povezane s čimbenicima specifičnima za to poduzeće nakon što ga je GFG </w:t>
      </w:r>
      <w:proofErr w:type="spellStart"/>
      <w:r w:rsidRPr="002270BA">
        <w:t>Alliance</w:t>
      </w:r>
      <w:proofErr w:type="spellEnd"/>
      <w:r w:rsidRPr="002270BA">
        <w:t xml:space="preserve"> preuzeo od korporacije </w:t>
      </w:r>
      <w:proofErr w:type="spellStart"/>
      <w:r w:rsidRPr="002270BA">
        <w:t>ArcelorMittal</w:t>
      </w:r>
      <w:proofErr w:type="spellEnd"/>
      <w:r w:rsidRPr="002270BA">
        <w:t>; ističe ozbiljnu zabrinutost u pogledu financijske održivosti poslovnog modela i neispunjavanja obveza ulaganja, što je doprinijelo pogoršanju ekonomske situacije postrojenja i posljedičnom otpuštanju radnika;</w:t>
      </w:r>
    </w:p>
    <w:p w14:paraId="6938EAA2" w14:textId="69E3777E" w:rsidR="00B17A61" w:rsidRPr="002270BA" w:rsidRDefault="00B17A61" w:rsidP="00B17A61">
      <w:pPr>
        <w:pStyle w:val="NormalHanging12a"/>
        <w:rPr>
          <w:b/>
          <w:bCs/>
          <w:i/>
          <w:iCs/>
        </w:rPr>
      </w:pPr>
      <w:bookmarkStart w:id="7" w:name="_Hlk225497832"/>
      <w:r w:rsidRPr="002270BA">
        <w:t>6.</w:t>
      </w:r>
      <w:r w:rsidRPr="002270BA">
        <w:tab/>
      </w:r>
      <w:r w:rsidR="0029515B">
        <w:t>primjećuje</w:t>
      </w:r>
      <w:r w:rsidR="0029515B" w:rsidRPr="002270BA">
        <w:t xml:space="preserve"> </w:t>
      </w:r>
      <w:r w:rsidRPr="002270BA">
        <w:t>da je regija Valonija prošla proces deindustrijalizacije i gospodarske preobrazbe</w:t>
      </w:r>
      <w:r w:rsidRPr="002270BA">
        <w:rPr>
          <w:rStyle w:val="FootnoteReference"/>
        </w:rPr>
        <w:footnoteReference w:id="7"/>
      </w:r>
      <w:r w:rsidRPr="002270BA">
        <w:t xml:space="preserve">; napominje da stečaj </w:t>
      </w:r>
      <w:proofErr w:type="spellStart"/>
      <w:r w:rsidRPr="002270BA">
        <w:t>Libertyja</w:t>
      </w:r>
      <w:proofErr w:type="spellEnd"/>
      <w:r w:rsidRPr="002270BA">
        <w:t xml:space="preserve"> predstavlja velik društveni šok za Valoniju, regiju </w:t>
      </w:r>
      <w:bookmarkEnd w:id="7"/>
      <w:r w:rsidRPr="002270BA">
        <w:t>čije je tržište rada već oslabljeno drugim restrukturiranjima; naglašava da je sektor čelika i dalje važan gospodarski sektor za Belgiju, pri čemu je broj radnih mjesta u sektoru čelika po stanovniku i dalje visok; poziva belgijske vlasti da pruže posebnu potporu prilagođenu tim profilima kako bi se radnicima pomoglo da dodatno razviju vještine potrebne za pronalazak novih kvalitetnih radnih mjesta, kao i da poduzmu mjere za smanjenje stečajeva i ispravljanje socijalnih razlika koje dovode do isključenosti radne snage; naglašava da Unija održava okruženje pogodno za poslovanje kojim se potiče gospodarski rast, promiču inovacije, podupire tehnološki razvoj, jača konkurentnost i smanjuje nepotrebno regulatorno opterećenje te pojednostavnjuju birokratski postupci; naglašava potrebu za politikama kojima se potiču industrijska konkurentnost, teritorijalna, gospodarska i socijalna kohezija i regionalni razvoj; ističe važnost konkurentnog i otpornog europskog sektora čelika kao temelja za snažnu i visokokvalitetnu industriju i kao središnjeg stupa strateške autonomije Unije;</w:t>
      </w:r>
    </w:p>
    <w:p w14:paraId="478E2D41" w14:textId="77777777" w:rsidR="00B17A61" w:rsidRPr="002270BA" w:rsidRDefault="00B17A61" w:rsidP="00B17A61">
      <w:pPr>
        <w:pStyle w:val="NormalHanging12a"/>
      </w:pPr>
      <w:r w:rsidRPr="002270BA">
        <w:t>7.</w:t>
      </w:r>
      <w:r w:rsidRPr="002270BA">
        <w:tab/>
        <w:t xml:space="preserve">podsjeća da je svaki četvrti registrirani tražitelj zaposlenja u Valoniji stariji od 50 godina i da se suočava s većim preprekama pri ponovnom ulasku na tržište rada; napominje da se, unatoč tome što su visokospecijalizirani, radnici </w:t>
      </w:r>
      <w:proofErr w:type="spellStart"/>
      <w:r w:rsidRPr="002270BA">
        <w:t>Libertyja</w:t>
      </w:r>
      <w:proofErr w:type="spellEnd"/>
      <w:r w:rsidRPr="002270BA">
        <w:t xml:space="preserve"> zbog starije </w:t>
      </w:r>
      <w:r w:rsidRPr="002270BA">
        <w:lastRenderedPageBreak/>
        <w:t xml:space="preserve">dobi (52 % radnika u dobi od 55 godina ili starije) suočavaju s izazovima kod promjene radnog mjesta; konstatira da je 69 % otpuštenih radnika </w:t>
      </w:r>
      <w:proofErr w:type="spellStart"/>
      <w:r w:rsidRPr="002270BA">
        <w:t>niskoobrazovano</w:t>
      </w:r>
      <w:proofErr w:type="spellEnd"/>
      <w:r w:rsidRPr="002270BA">
        <w:t>;</w:t>
      </w:r>
    </w:p>
    <w:p w14:paraId="346AFFBD" w14:textId="77777777" w:rsidR="00B17A61" w:rsidRPr="002270BA" w:rsidRDefault="00B17A61" w:rsidP="00B17A61">
      <w:pPr>
        <w:pStyle w:val="NormalHanging12a"/>
      </w:pPr>
      <w:bookmarkStart w:id="8" w:name="_Hlk226546977"/>
      <w:r w:rsidRPr="002270BA">
        <w:t>8.</w:t>
      </w:r>
      <w:r w:rsidRPr="002270BA">
        <w:tab/>
        <w:t>podsjeća da se, u dogovoru sa sindikatima i regionalnim tijelima, personalizirane usluge koje će se pružati radnicima sastoje od sljedećih mjera: pomoć u pronalaženju novog radnog mjesta i profesionalno usmjeravanje, osposobljavanje, prekvalifikacija i strukovno osposobljavanje, uključujući informatičke vještine, potpora pri osnivanju poduzeća, doprinos za pokretanje poduzeća, poticaji i druge naknade; ističe važnost jačanja ulaganja u inovacije, vještine i modernizaciju industrije kako bi se ojačala konkurentnost europske industrije i osiguralo da su radnici spremni za promjenjive potrebe tržišta rada;</w:t>
      </w:r>
      <w:bookmarkEnd w:id="8"/>
    </w:p>
    <w:p w14:paraId="07E1C96F" w14:textId="77777777" w:rsidR="00B17A61" w:rsidRPr="002270BA" w:rsidRDefault="00B17A61" w:rsidP="00B17A61">
      <w:pPr>
        <w:pStyle w:val="NormalHanging12a"/>
      </w:pPr>
      <w:r w:rsidRPr="002270BA">
        <w:t>9.</w:t>
      </w:r>
      <w:r w:rsidRPr="002270BA">
        <w:tab/>
        <w:t>ističe važnost poticanja visokokvalitetnih radnih mjesta usmjerenih na budućnost kojima se jača konkurentnost, potiče digitalna transformacija i ispunjavaju zahtjevi tržišta rada kako bi se osigurala dugoročna gospodarska i socijalna otpornost; stoga smatra da mobilizacija EGF-a treba biti ugrađena u širi politički odgovor na svim političkim razinama kako bi se osiguralo da pogođeni radnici pronađu odgovarajuće mogućnosti u skladu sa svojim kvalifikacijama i vještinama; naglašava da je EGF instrument solidarnosti i pravedne tranzicije te da primarna zadaća Unije prije svega mora biti sprečavanje takvih zatvaranja;</w:t>
      </w:r>
    </w:p>
    <w:p w14:paraId="7BF95DA5" w14:textId="77777777" w:rsidR="00B17A61" w:rsidRPr="002270BA" w:rsidRDefault="00B17A61" w:rsidP="00B17A61">
      <w:pPr>
        <w:pStyle w:val="NormalHanging12a"/>
      </w:pPr>
      <w:r w:rsidRPr="002270BA">
        <w:t>10.</w:t>
      </w:r>
      <w:r w:rsidRPr="002270BA">
        <w:tab/>
        <w:t>naglašava važnost jačanja industrijske konkurentnosti Unije i promicanja ulaganja u strateške industrijske sektore kako bi se spriječila daljnja deindustrijalizacija i otpuštanja te poduprlo otvaranje radnih mjesta; naglašava potrebu za prijelazom na obnovljivu energiju, zajedno s drugim mjerama za osiguravanje pristupačnih cijena energije;</w:t>
      </w:r>
    </w:p>
    <w:p w14:paraId="288A773B" w14:textId="77777777" w:rsidR="00B17A61" w:rsidRPr="002270BA" w:rsidRDefault="00B17A61" w:rsidP="00B17A61">
      <w:pPr>
        <w:pStyle w:val="NormalHanging12a"/>
        <w:rPr>
          <w:bCs/>
          <w:iCs/>
        </w:rPr>
      </w:pPr>
      <w:r w:rsidRPr="002270BA">
        <w:t>11.</w:t>
      </w:r>
      <w:r w:rsidRPr="002270BA">
        <w:tab/>
        <w:t>naglašava da belgijske vlasti moraju osigurati vidljivost financiranja Unije i istaknuti njegovu dodanu vrijednost tako što će korisnicima, regionalnim i lokalnim vlastima, socijalnim partnerima i široj javnosti pružiti učinkovite i ciljane informacije;</w:t>
      </w:r>
    </w:p>
    <w:p w14:paraId="630CE8AD" w14:textId="77777777" w:rsidR="00B17A61" w:rsidRPr="002270BA" w:rsidRDefault="00B17A61" w:rsidP="00B17A61">
      <w:pPr>
        <w:pStyle w:val="NormalHanging12a"/>
      </w:pPr>
      <w:r w:rsidRPr="002270BA">
        <w:t>12.</w:t>
      </w:r>
      <w:r w:rsidRPr="002270BA">
        <w:tab/>
        <w:t>poziva na provedbu temeljite završne evaluacije provedenih mjera zajedno sa socijalnim partnerima, koja će uključivati jasne i transparentne informacije o načinu na koji su sredstva iskorištena, ponovnom uključivanju radnika na tržište rada i o tome jesu li ostvareni ciljevi EGF-a; u tom kontekstu ističe važnost redovitog praćenja mjera koje se financiraju iz EGF-a kako bi se ocijenila njihova učinkovitost;</w:t>
      </w:r>
    </w:p>
    <w:p w14:paraId="01471150" w14:textId="77777777" w:rsidR="00B17A61" w:rsidRPr="002270BA" w:rsidRDefault="00B17A61" w:rsidP="00B17A61">
      <w:pPr>
        <w:pStyle w:val="NormalHanging12a"/>
      </w:pPr>
      <w:r w:rsidRPr="002270BA">
        <w:t>13.</w:t>
      </w:r>
      <w:r w:rsidRPr="002270BA">
        <w:tab/>
        <w:t>prima na znanje da je Belgija ciljanim korisnicima počela pružati personalizirane usluge 1. lipnja 2025. i da će razdoblje prihvatljivosti za financijski doprinos iz EGF-a teći od tog datuma do datuma koji nastupi 24 mjeseca od stupanja na snagu odluke o financiranju;</w:t>
      </w:r>
    </w:p>
    <w:p w14:paraId="1E6FE316" w14:textId="26D100EE" w:rsidR="00B17A61" w:rsidRPr="002270BA" w:rsidRDefault="00B17A61" w:rsidP="00B17A61">
      <w:pPr>
        <w:pStyle w:val="NormalHanging12a"/>
        <w:rPr>
          <w:sz w:val="23"/>
          <w:szCs w:val="23"/>
        </w:rPr>
      </w:pPr>
      <w:r w:rsidRPr="002270BA">
        <w:t>14.</w:t>
      </w:r>
      <w:r w:rsidRPr="002270BA">
        <w:tab/>
      </w:r>
      <w:r w:rsidR="0029515B">
        <w:t>prima na znanje</w:t>
      </w:r>
      <w:r w:rsidR="002F255C" w:rsidRPr="002270BA">
        <w:t xml:space="preserve"> </w:t>
      </w:r>
      <w:r w:rsidRPr="002270BA">
        <w:t>da Belgija od 22. travnja 2025. snosi administrativne izdatke provedbe EGF-a te da ti izdaci stoga ispunjavaju uvjete za financijski doprinos iz EGF-a od tog datuma do datuma koji nastupi 31 mjesec od stupanja na snagu odluke o financiranju;</w:t>
      </w:r>
    </w:p>
    <w:p w14:paraId="45677F3C" w14:textId="3B1D6BB9" w:rsidR="00B17A61" w:rsidRPr="002270BA" w:rsidRDefault="00B17A61" w:rsidP="00B17A61">
      <w:pPr>
        <w:pStyle w:val="NormalHanging12a"/>
      </w:pPr>
      <w:r w:rsidRPr="002270BA">
        <w:t>15.</w:t>
      </w:r>
      <w:r w:rsidRPr="002270BA">
        <w:tab/>
      </w:r>
      <w:r w:rsidR="0029515B">
        <w:t>prima na znanje</w:t>
      </w:r>
      <w:r w:rsidR="0029515B" w:rsidRPr="002270BA">
        <w:t xml:space="preserve"> </w:t>
      </w:r>
      <w:r w:rsidRPr="002270BA">
        <w:t>da su belgijske vlasti pružile jamstvo da će se u pristupu predloženim mjerama i u njihovoj provedbi poštovati načela jednakog postupanja i nediskriminacije te da će se spriječiti bilo kakvo dvostruko financiranje;</w:t>
      </w:r>
    </w:p>
    <w:p w14:paraId="2E8907A3" w14:textId="77777777" w:rsidR="00B17A61" w:rsidRPr="002270BA" w:rsidRDefault="00B17A61" w:rsidP="00B17A61">
      <w:pPr>
        <w:pStyle w:val="NormalHanging12a"/>
      </w:pPr>
      <w:r w:rsidRPr="002270BA">
        <w:t>16.</w:t>
      </w:r>
      <w:r w:rsidRPr="002270BA">
        <w:tab/>
        <w:t xml:space="preserve">ponovno ističe da pomoć iz EGF-a ne smije zamijeniti mjere za koje su prema nacionalnom pravu ili kolektivnim ugovorima odgovorna javna tijela ili poduzeća; </w:t>
      </w:r>
      <w:r w:rsidRPr="002270BA">
        <w:lastRenderedPageBreak/>
        <w:t>podsjeća da je EGF ograničen, ciljan i dopunski mehanizam te da ne može zamijeniti strukturne gospodarske politike, koje su prvenstveno u nadležnosti država članica;</w:t>
      </w:r>
    </w:p>
    <w:p w14:paraId="59F6CA7C" w14:textId="77777777" w:rsidR="00B17A61" w:rsidRPr="002270BA" w:rsidRDefault="00B17A61" w:rsidP="00B17A61">
      <w:pPr>
        <w:pStyle w:val="NormalHanging12a"/>
      </w:pPr>
      <w:r w:rsidRPr="002270BA">
        <w:t>17.</w:t>
      </w:r>
      <w:r w:rsidRPr="002270BA">
        <w:tab/>
        <w:t>odobrava Odluku priloženu ovoj Rezoluciji;</w:t>
      </w:r>
    </w:p>
    <w:p w14:paraId="6BC2E1D1" w14:textId="77777777" w:rsidR="00B17A61" w:rsidRPr="002270BA" w:rsidRDefault="00B17A61" w:rsidP="00B17A61">
      <w:pPr>
        <w:pStyle w:val="NormalHanging12a"/>
      </w:pPr>
      <w:r w:rsidRPr="002270BA">
        <w:t>18.</w:t>
      </w:r>
      <w:r w:rsidRPr="002270BA">
        <w:tab/>
        <w:t xml:space="preserve">nalaže svojoj predsjednici da potpiše ovu Odluku zajedno s predsjednikom Vijeća te da je da na objavu u </w:t>
      </w:r>
      <w:r w:rsidRPr="002270BA">
        <w:rPr>
          <w:i/>
          <w:iCs/>
        </w:rPr>
        <w:t>Službenom listu Europske unije</w:t>
      </w:r>
      <w:r w:rsidRPr="002270BA">
        <w:t>;</w:t>
      </w:r>
    </w:p>
    <w:p w14:paraId="2E5E08E9" w14:textId="77777777" w:rsidR="00B17A61" w:rsidRPr="002270BA" w:rsidRDefault="00B17A61" w:rsidP="00B17A61">
      <w:pPr>
        <w:pStyle w:val="NormalHanging12a"/>
      </w:pPr>
      <w:r w:rsidRPr="002270BA">
        <w:t>19.</w:t>
      </w:r>
      <w:r w:rsidRPr="002270BA">
        <w:tab/>
        <w:t>nalaže svojoj predsjednici da ovu Rezoluciju, zajedno s njezinim Prilogom, proslijedi Vijeću i Komisiji.</w:t>
      </w:r>
    </w:p>
    <w:p w14:paraId="6888A164" w14:textId="77777777" w:rsidR="00B17A61" w:rsidRPr="002270BA" w:rsidRDefault="00B17A61" w:rsidP="00B17A61">
      <w:pPr>
        <w:rPr>
          <w:noProof/>
        </w:rPr>
      </w:pPr>
    </w:p>
    <w:p w14:paraId="5CA475DC" w14:textId="77777777" w:rsidR="00B17A61" w:rsidRPr="002270BA" w:rsidRDefault="00B17A61" w:rsidP="00B17A61">
      <w:pPr>
        <w:pStyle w:val="PageHeading"/>
        <w:rPr>
          <w:noProof/>
        </w:rPr>
        <w:sectPr w:rsidR="00B17A61" w:rsidRPr="002270BA" w:rsidSect="002270BA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C4A4E6B" w14:textId="77777777" w:rsidR="00B17A61" w:rsidRPr="002270BA" w:rsidRDefault="00B17A61" w:rsidP="00B17A61">
      <w:pPr>
        <w:pStyle w:val="PageHeading"/>
        <w:rPr>
          <w:noProof/>
        </w:rPr>
      </w:pPr>
      <w:bookmarkStart w:id="9" w:name="_Toc227919047"/>
      <w:r w:rsidRPr="002270BA">
        <w:lastRenderedPageBreak/>
        <w:t>PRILOG: ODLUKA EUROPSKOG PARLAMENTA I VIJEĆA</w:t>
      </w:r>
      <w:bookmarkEnd w:id="9"/>
    </w:p>
    <w:p w14:paraId="39AF1C03" w14:textId="77777777" w:rsidR="00B17A61" w:rsidRDefault="00B17A61" w:rsidP="00B17A61">
      <w:pPr>
        <w:pStyle w:val="NormalHanging12a"/>
        <w:rPr>
          <w:b/>
        </w:rPr>
      </w:pPr>
      <w:r w:rsidRPr="002270BA">
        <w:rPr>
          <w:b/>
        </w:rPr>
        <w:t>o mobilizaciji Europskog fonda za prilagodbu globalizaciji za radnike koji su proglašeni viškom na temelju zahtjeva iz Belgije – EGF/2025/008 BE/</w:t>
      </w:r>
      <w:proofErr w:type="spellStart"/>
      <w:r w:rsidRPr="002270BA">
        <w:rPr>
          <w:b/>
        </w:rPr>
        <w:t>Liberty</w:t>
      </w:r>
      <w:proofErr w:type="spellEnd"/>
    </w:p>
    <w:p w14:paraId="3C49262A" w14:textId="73B0EAA8" w:rsidR="005F562F" w:rsidRPr="005F562F" w:rsidRDefault="005F562F" w:rsidP="005F562F">
      <w:pPr>
        <w:widowControl/>
        <w:spacing w:before="480"/>
        <w:rPr>
          <w:rFonts w:eastAsia="Calibri"/>
          <w:i/>
          <w:szCs w:val="24"/>
          <w:lang w:val="fr-BE" w:eastAsia="en-US"/>
        </w:rPr>
      </w:pPr>
      <w:r w:rsidRPr="005F562F">
        <w:rPr>
          <w:rFonts w:eastAsia="Calibri"/>
          <w:i/>
          <w:szCs w:val="24"/>
          <w:lang w:eastAsia="en-US"/>
        </w:rPr>
        <w:t xml:space="preserve">(Tekst ovog priloga nije naveden ovdje budući da odgovara konačnom aktu, Odluci </w:t>
      </w:r>
      <w:r>
        <w:rPr>
          <w:rFonts w:eastAsia="Calibri"/>
          <w:i/>
          <w:szCs w:val="24"/>
          <w:lang w:eastAsia="en-US"/>
        </w:rPr>
        <w:t>(EU) 2026/1134.</w:t>
      </w:r>
      <w:r w:rsidRPr="005F562F">
        <w:rPr>
          <w:rFonts w:eastAsia="Calibri"/>
          <w:i/>
          <w:szCs w:val="24"/>
          <w:lang w:val="fr-BE" w:eastAsia="en-US"/>
        </w:rPr>
        <w:t>)</w:t>
      </w:r>
    </w:p>
    <w:sectPr w:rsidR="005F562F" w:rsidRPr="005F562F" w:rsidSect="002270B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574D4" w14:textId="77777777" w:rsidR="007F1182" w:rsidRPr="002270BA" w:rsidRDefault="007F1182">
      <w:r w:rsidRPr="002270BA">
        <w:separator/>
      </w:r>
    </w:p>
  </w:endnote>
  <w:endnote w:type="continuationSeparator" w:id="0">
    <w:p w14:paraId="00083516" w14:textId="77777777" w:rsidR="007F1182" w:rsidRPr="002270BA" w:rsidRDefault="007F1182">
      <w:r w:rsidRPr="002270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E50CF" w14:textId="77777777" w:rsidR="00B17A61" w:rsidRPr="002270BA" w:rsidRDefault="00B17A61" w:rsidP="00885BEB">
    <w:pPr>
      <w:pStyle w:val="EPFooter"/>
    </w:pPr>
    <w:r w:rsidRPr="002270BA">
      <w:t>PE</w:t>
    </w:r>
    <w:r w:rsidRPr="002270BA">
      <w:rPr>
        <w:rStyle w:val="HideTWBExt"/>
      </w:rPr>
      <w:t>&lt;</w:t>
    </w:r>
    <w:proofErr w:type="spellStart"/>
    <w:r w:rsidRPr="002270BA">
      <w:rPr>
        <w:rStyle w:val="HideTWBExt"/>
      </w:rPr>
      <w:t>NoPE</w:t>
    </w:r>
    <w:proofErr w:type="spellEnd"/>
    <w:r w:rsidRPr="002270BA">
      <w:rPr>
        <w:rStyle w:val="HideTWBExt"/>
      </w:rPr>
      <w:t>&gt;</w:t>
    </w:r>
    <w:r w:rsidRPr="002270BA">
      <w:t>785.333</w:t>
    </w:r>
    <w:r w:rsidRPr="002270BA">
      <w:rPr>
        <w:rStyle w:val="HideTWBExt"/>
      </w:rPr>
      <w:t>&lt;/</w:t>
    </w:r>
    <w:proofErr w:type="spellStart"/>
    <w:r w:rsidRPr="002270BA">
      <w:rPr>
        <w:rStyle w:val="HideTWBExt"/>
      </w:rPr>
      <w:t>NoPE</w:t>
    </w:r>
    <w:proofErr w:type="spellEnd"/>
    <w:r w:rsidRPr="002270BA">
      <w:rPr>
        <w:rStyle w:val="HideTWBExt"/>
      </w:rPr>
      <w:t>&gt;&lt;Version&gt;</w:t>
    </w:r>
    <w:r w:rsidRPr="002270BA">
      <w:t>v03-00</w:t>
    </w:r>
    <w:r w:rsidRPr="002270BA">
      <w:rPr>
        <w:rStyle w:val="HideTWBExt"/>
      </w:rPr>
      <w:t>&lt;/</w:t>
    </w:r>
    <w:proofErr w:type="spellStart"/>
    <w:r w:rsidRPr="002270BA">
      <w:rPr>
        <w:rStyle w:val="HideTWBExt"/>
      </w:rPr>
      <w:t>Version</w:t>
    </w:r>
    <w:proofErr w:type="spellEnd"/>
    <w:r w:rsidRPr="002270BA">
      <w:rPr>
        <w:rStyle w:val="HideTWBExt"/>
      </w:rPr>
      <w:t>&gt;</w:t>
    </w:r>
    <w:r w:rsidRPr="002270BA">
      <w:tab/>
    </w:r>
    <w:r w:rsidRPr="002270BA">
      <w:fldChar w:fldCharType="begin"/>
    </w:r>
    <w:r w:rsidRPr="002270BA">
      <w:instrText xml:space="preserve"> PAGE  \* MERGEFORMAT </w:instrText>
    </w:r>
    <w:r w:rsidRPr="002270BA">
      <w:fldChar w:fldCharType="separate"/>
    </w:r>
    <w:r w:rsidRPr="002270BA">
      <w:rPr>
        <w:noProof/>
      </w:rPr>
      <w:t>10</w:t>
    </w:r>
    <w:r w:rsidRPr="002270BA">
      <w:fldChar w:fldCharType="end"/>
    </w:r>
    <w:r w:rsidRPr="002270BA">
      <w:t>/</w:t>
    </w:r>
    <w:fldSimple w:instr=" NUMPAGES  \* MERGEFORMAT ">
      <w:r w:rsidRPr="002270BA">
        <w:rPr>
          <w:noProof/>
        </w:rPr>
        <w:t>19</w:t>
      </w:r>
    </w:fldSimple>
    <w:r w:rsidRPr="002270BA">
      <w:tab/>
    </w:r>
    <w:r w:rsidRPr="002270BA">
      <w:rPr>
        <w:rStyle w:val="HideTWBExt"/>
      </w:rPr>
      <w:t>&lt;PathFdR&gt;</w:t>
    </w:r>
    <w:r w:rsidRPr="002270BA">
      <w:t>RR\1341391HR.docx</w:t>
    </w:r>
    <w:r w:rsidRPr="002270BA">
      <w:rPr>
        <w:rStyle w:val="HideTWBExt"/>
      </w:rPr>
      <w:t>&lt;/</w:t>
    </w:r>
    <w:proofErr w:type="spellStart"/>
    <w:r w:rsidRPr="002270BA">
      <w:rPr>
        <w:rStyle w:val="HideTWBExt"/>
      </w:rPr>
      <w:t>PathFdR</w:t>
    </w:r>
    <w:proofErr w:type="spellEnd"/>
    <w:r w:rsidRPr="002270BA">
      <w:rPr>
        <w:rStyle w:val="HideTWBExt"/>
      </w:rPr>
      <w:t>&gt;</w:t>
    </w:r>
  </w:p>
  <w:p w14:paraId="602EE692" w14:textId="77777777" w:rsidR="00B17A61" w:rsidRPr="002270BA" w:rsidRDefault="00B17A61" w:rsidP="00885BEB">
    <w:pPr>
      <w:pStyle w:val="EPFooter2"/>
    </w:pPr>
    <w:r w:rsidRPr="002270BA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6B93E" w14:textId="77777777" w:rsidR="00B17A61" w:rsidRPr="002270BA" w:rsidRDefault="00B17A61" w:rsidP="00885BEB">
    <w:pPr>
      <w:pStyle w:val="EPFooter"/>
    </w:pPr>
    <w:r w:rsidRPr="002270BA">
      <w:rPr>
        <w:rStyle w:val="HideTWBExt"/>
      </w:rPr>
      <w:t>&lt;PathFdR&gt;</w:t>
    </w:r>
    <w:r w:rsidRPr="002270BA">
      <w:t>RR\1341391HR.docx</w:t>
    </w:r>
    <w:r w:rsidRPr="002270BA">
      <w:rPr>
        <w:rStyle w:val="HideTWBExt"/>
      </w:rPr>
      <w:t>&lt;/</w:t>
    </w:r>
    <w:proofErr w:type="spellStart"/>
    <w:r w:rsidRPr="002270BA">
      <w:rPr>
        <w:rStyle w:val="HideTWBExt"/>
      </w:rPr>
      <w:t>PathFdR</w:t>
    </w:r>
    <w:proofErr w:type="spellEnd"/>
    <w:r w:rsidRPr="002270BA">
      <w:rPr>
        <w:rStyle w:val="HideTWBExt"/>
      </w:rPr>
      <w:t>&gt;</w:t>
    </w:r>
    <w:r w:rsidRPr="002270BA">
      <w:tab/>
    </w:r>
    <w:r w:rsidRPr="002270BA">
      <w:tab/>
      <w:t>PE</w:t>
    </w:r>
    <w:r w:rsidRPr="002270BA">
      <w:rPr>
        <w:rStyle w:val="HideTWBExt"/>
      </w:rPr>
      <w:t>&lt;</w:t>
    </w:r>
    <w:proofErr w:type="spellStart"/>
    <w:r w:rsidRPr="002270BA">
      <w:rPr>
        <w:rStyle w:val="HideTWBExt"/>
      </w:rPr>
      <w:t>NoPE</w:t>
    </w:r>
    <w:proofErr w:type="spellEnd"/>
    <w:r w:rsidRPr="002270BA">
      <w:rPr>
        <w:rStyle w:val="HideTWBExt"/>
      </w:rPr>
      <w:t>&gt;</w:t>
    </w:r>
    <w:r w:rsidRPr="002270BA">
      <w:t>785.333</w:t>
    </w:r>
    <w:r w:rsidRPr="002270BA">
      <w:rPr>
        <w:rStyle w:val="HideTWBExt"/>
      </w:rPr>
      <w:t>&lt;/</w:t>
    </w:r>
    <w:proofErr w:type="spellStart"/>
    <w:r w:rsidRPr="002270BA">
      <w:rPr>
        <w:rStyle w:val="HideTWBExt"/>
      </w:rPr>
      <w:t>NoPE</w:t>
    </w:r>
    <w:proofErr w:type="spellEnd"/>
    <w:r w:rsidRPr="002270BA">
      <w:rPr>
        <w:rStyle w:val="HideTWBExt"/>
      </w:rPr>
      <w:t>&gt;&lt;Version&gt;</w:t>
    </w:r>
    <w:r w:rsidRPr="002270BA">
      <w:t>v03-00</w:t>
    </w:r>
    <w:r w:rsidRPr="002270BA">
      <w:rPr>
        <w:rStyle w:val="HideTWBExt"/>
      </w:rPr>
      <w:t>&lt;/</w:t>
    </w:r>
    <w:proofErr w:type="spellStart"/>
    <w:r w:rsidRPr="002270BA">
      <w:rPr>
        <w:rStyle w:val="HideTWBExt"/>
      </w:rPr>
      <w:t>Version</w:t>
    </w:r>
    <w:proofErr w:type="spellEnd"/>
    <w:r w:rsidRPr="002270BA">
      <w:rPr>
        <w:rStyle w:val="HideTWBExt"/>
      </w:rPr>
      <w:t>&gt;</w:t>
    </w:r>
  </w:p>
  <w:p w14:paraId="079D40B7" w14:textId="77777777" w:rsidR="00B17A61" w:rsidRPr="002270BA" w:rsidRDefault="00B17A61" w:rsidP="00885BEB">
    <w:pPr>
      <w:pStyle w:val="EPFooter2"/>
    </w:pPr>
    <w:r w:rsidRPr="002270BA">
      <w:t>HR</w:t>
    </w:r>
    <w:r w:rsidRPr="002270BA">
      <w:tab/>
    </w:r>
    <w:r w:rsidRPr="002270BA">
      <w:rPr>
        <w:b w:val="0"/>
        <w:i/>
        <w:color w:val="C0C0C0"/>
        <w:sz w:val="22"/>
      </w:rPr>
      <w:t>Ujedinjena u raznolikosti</w:t>
    </w:r>
    <w:r w:rsidRPr="002270BA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5FE39" w14:textId="77777777" w:rsidR="00064002" w:rsidRPr="002270BA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6F45D" w14:textId="77777777" w:rsidR="00064002" w:rsidRPr="002270B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F1603" w14:textId="77777777" w:rsidR="00064002" w:rsidRPr="002270B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99073" w14:textId="77777777" w:rsidR="007F1182" w:rsidRPr="002270BA" w:rsidRDefault="007F1182">
      <w:r w:rsidRPr="002270BA">
        <w:separator/>
      </w:r>
    </w:p>
  </w:footnote>
  <w:footnote w:type="continuationSeparator" w:id="0">
    <w:p w14:paraId="78D61940" w14:textId="77777777" w:rsidR="007F1182" w:rsidRPr="002270BA" w:rsidRDefault="007F1182">
      <w:r w:rsidRPr="002270BA">
        <w:continuationSeparator/>
      </w:r>
    </w:p>
  </w:footnote>
  <w:footnote w:id="1">
    <w:p w14:paraId="46705A5E" w14:textId="706220D4" w:rsidR="00B17A61" w:rsidRPr="002270BA" w:rsidRDefault="00B17A61" w:rsidP="002270BA">
      <w:pPr>
        <w:pStyle w:val="FootnoteText"/>
        <w:ind w:left="567" w:hanging="567"/>
        <w:rPr>
          <w:sz w:val="24"/>
          <w:lang w:val="hr-HR"/>
        </w:rPr>
      </w:pPr>
      <w:r w:rsidRPr="002270BA">
        <w:rPr>
          <w:rStyle w:val="FootnoteReference"/>
          <w:sz w:val="24"/>
          <w:lang w:val="hr-HR"/>
        </w:rPr>
        <w:footnoteRef/>
      </w:r>
      <w:r w:rsidR="002270BA" w:rsidRPr="002270BA">
        <w:rPr>
          <w:sz w:val="24"/>
          <w:lang w:val="hr-HR"/>
        </w:rPr>
        <w:t xml:space="preserve"> </w:t>
      </w:r>
      <w:r w:rsidR="002270BA" w:rsidRPr="002270BA">
        <w:rPr>
          <w:sz w:val="24"/>
          <w:lang w:val="hr-HR"/>
        </w:rPr>
        <w:tab/>
      </w:r>
      <w:r w:rsidRPr="002270BA">
        <w:rPr>
          <w:sz w:val="24"/>
          <w:lang w:val="hr-HR"/>
        </w:rPr>
        <w:t xml:space="preserve">SL L 153, 3.5.2021., str. 48., ELI: </w:t>
      </w:r>
      <w:hyperlink r:id="rId1" w:history="1">
        <w:r w:rsidRPr="002270BA">
          <w:rPr>
            <w:rStyle w:val="Hyperlink"/>
            <w:sz w:val="24"/>
            <w:lang w:val="hr-HR"/>
          </w:rPr>
          <w:t>http://data.europa.eu/eli/reg/2021/691/oj</w:t>
        </w:r>
      </w:hyperlink>
      <w:r w:rsidRPr="002270BA">
        <w:rPr>
          <w:sz w:val="24"/>
          <w:lang w:val="hr-HR"/>
        </w:rPr>
        <w:t>.</w:t>
      </w:r>
    </w:p>
  </w:footnote>
  <w:footnote w:id="2">
    <w:p w14:paraId="5F47ADAD" w14:textId="2BC0E3DB" w:rsidR="00B17A61" w:rsidRPr="002270BA" w:rsidRDefault="00B17A61" w:rsidP="002270BA">
      <w:pPr>
        <w:pStyle w:val="FootnoteText"/>
        <w:ind w:left="567" w:hanging="567"/>
        <w:rPr>
          <w:sz w:val="24"/>
          <w:lang w:val="hr-HR"/>
        </w:rPr>
      </w:pPr>
      <w:r w:rsidRPr="002270BA">
        <w:rPr>
          <w:rStyle w:val="FootnoteReference"/>
          <w:sz w:val="24"/>
          <w:lang w:val="hr-HR"/>
        </w:rPr>
        <w:footnoteRef/>
      </w:r>
      <w:r w:rsidR="002270BA" w:rsidRPr="002270BA">
        <w:rPr>
          <w:sz w:val="24"/>
          <w:lang w:val="hr-HR"/>
        </w:rPr>
        <w:t xml:space="preserve"> </w:t>
      </w:r>
      <w:r w:rsidR="002270BA" w:rsidRPr="002270BA">
        <w:rPr>
          <w:sz w:val="24"/>
          <w:lang w:val="hr-HR"/>
        </w:rPr>
        <w:tab/>
      </w:r>
      <w:r w:rsidRPr="002270BA">
        <w:rPr>
          <w:sz w:val="24"/>
          <w:lang w:val="hr-HR"/>
        </w:rPr>
        <w:t xml:space="preserve">SL L 433 I, 22.12.2020., str. </w:t>
      </w:r>
      <w:r w:rsidRPr="002270BA">
        <w:rPr>
          <w:sz w:val="24"/>
          <w:lang w:val="hr-HR"/>
        </w:rPr>
        <w:t xml:space="preserve">11., ELI: </w:t>
      </w:r>
      <w:hyperlink r:id="rId2" w:history="1">
        <w:r w:rsidRPr="002270BA">
          <w:rPr>
            <w:rStyle w:val="Hyperlink"/>
            <w:sz w:val="24"/>
            <w:lang w:val="hr-HR"/>
          </w:rPr>
          <w:t>http://data.europa.eu/eli/reg/2020/2093/oj</w:t>
        </w:r>
      </w:hyperlink>
      <w:r w:rsidRPr="002270BA">
        <w:rPr>
          <w:sz w:val="24"/>
          <w:lang w:val="hr-HR"/>
        </w:rPr>
        <w:t>.</w:t>
      </w:r>
    </w:p>
  </w:footnote>
  <w:footnote w:id="3">
    <w:p w14:paraId="5BDEA468" w14:textId="60CDF859" w:rsidR="00B17A61" w:rsidRPr="002270BA" w:rsidRDefault="00B17A61" w:rsidP="002270BA">
      <w:pPr>
        <w:pStyle w:val="FootnoteText"/>
        <w:ind w:left="567" w:hanging="567"/>
        <w:rPr>
          <w:sz w:val="24"/>
          <w:lang w:val="hr-HR"/>
        </w:rPr>
      </w:pPr>
      <w:r w:rsidRPr="002270BA">
        <w:rPr>
          <w:rStyle w:val="FootnoteReference"/>
          <w:sz w:val="24"/>
          <w:lang w:val="hr-HR"/>
        </w:rPr>
        <w:footnoteRef/>
      </w:r>
      <w:r w:rsidR="002270BA" w:rsidRPr="002270BA">
        <w:rPr>
          <w:sz w:val="24"/>
          <w:shd w:val="clear" w:color="auto" w:fill="FFFFFF"/>
          <w:lang w:val="hr-HR"/>
        </w:rPr>
        <w:t xml:space="preserve"> </w:t>
      </w:r>
      <w:r w:rsidR="002270BA" w:rsidRPr="002270BA">
        <w:rPr>
          <w:sz w:val="24"/>
          <w:shd w:val="clear" w:color="auto" w:fill="FFFFFF"/>
          <w:lang w:val="hr-HR"/>
        </w:rPr>
        <w:tab/>
      </w:r>
      <w:r w:rsidRPr="002270BA">
        <w:rPr>
          <w:sz w:val="24"/>
          <w:shd w:val="clear" w:color="auto" w:fill="FFFFFF"/>
          <w:lang w:val="hr-HR"/>
        </w:rPr>
        <w:t xml:space="preserve">Uredba Vijeća (EU, Euratom) 2024/765 od 29. veljače 2024. o izmjeni Uredbe (EU, Euratom) 2020/2093 kojom se utvrđuje višegodišnji financijski okvir za razdoblje 2021. – 2027. </w:t>
      </w:r>
      <w:r w:rsidRPr="002270BA">
        <w:rPr>
          <w:sz w:val="24"/>
          <w:shd w:val="clear" w:color="auto" w:fill="FFFFFF"/>
          <w:lang w:val="hr-HR"/>
        </w:rPr>
        <w:t>(SL L, 2024/765, 29.2.2024., ELI:</w:t>
      </w:r>
      <w:r w:rsidRPr="002270BA">
        <w:rPr>
          <w:color w:val="333333"/>
          <w:sz w:val="24"/>
          <w:shd w:val="clear" w:color="auto" w:fill="FFFFFF"/>
          <w:lang w:val="hr-HR"/>
        </w:rPr>
        <w:t xml:space="preserve"> </w:t>
      </w:r>
      <w:hyperlink r:id="rId3" w:history="1">
        <w:r w:rsidRPr="002270BA">
          <w:rPr>
            <w:rStyle w:val="Hyperlink"/>
            <w:sz w:val="24"/>
            <w:shd w:val="clear" w:color="auto" w:fill="FFFFFF"/>
            <w:lang w:val="hr-HR"/>
          </w:rPr>
          <w:t>http://data.europa.eu/eli/reg/2024/765/oj</w:t>
        </w:r>
      </w:hyperlink>
      <w:r w:rsidRPr="002270BA">
        <w:rPr>
          <w:i/>
          <w:color w:val="333333"/>
          <w:sz w:val="24"/>
          <w:shd w:val="clear" w:color="auto" w:fill="FFFFFF"/>
          <w:lang w:val="hr-HR"/>
        </w:rPr>
        <w:t>).</w:t>
      </w:r>
    </w:p>
  </w:footnote>
  <w:footnote w:id="4">
    <w:p w14:paraId="07560C77" w14:textId="0A6138EE" w:rsidR="00B17A61" w:rsidRPr="002270BA" w:rsidRDefault="00B17A61" w:rsidP="002270BA">
      <w:pPr>
        <w:pStyle w:val="FootnoteText"/>
        <w:ind w:left="567" w:hanging="567"/>
        <w:rPr>
          <w:sz w:val="24"/>
          <w:lang w:val="hr-HR"/>
        </w:rPr>
      </w:pPr>
      <w:r w:rsidRPr="002270BA">
        <w:rPr>
          <w:rStyle w:val="FootnoteReference"/>
          <w:sz w:val="24"/>
          <w:lang w:val="hr-HR"/>
        </w:rPr>
        <w:footnoteRef/>
      </w:r>
      <w:r w:rsidR="002270BA" w:rsidRPr="002270BA">
        <w:rPr>
          <w:sz w:val="24"/>
          <w:lang w:val="hr-HR"/>
        </w:rPr>
        <w:t xml:space="preserve"> </w:t>
      </w:r>
      <w:r w:rsidR="002270BA" w:rsidRPr="002270BA">
        <w:rPr>
          <w:sz w:val="24"/>
          <w:lang w:val="hr-HR"/>
        </w:rPr>
        <w:tab/>
      </w:r>
      <w:r w:rsidRPr="002270BA">
        <w:rPr>
          <w:sz w:val="24"/>
          <w:lang w:val="hr-HR"/>
        </w:rPr>
        <w:t xml:space="preserve">SL L 433 I, 22.12.2020., str. </w:t>
      </w:r>
      <w:r w:rsidRPr="002270BA">
        <w:rPr>
          <w:sz w:val="24"/>
          <w:lang w:val="hr-HR"/>
        </w:rPr>
        <w:t>28</w:t>
      </w:r>
      <w:r w:rsidR="005F562F">
        <w:rPr>
          <w:sz w:val="24"/>
          <w:lang w:val="hr-HR"/>
        </w:rPr>
        <w:t>.</w:t>
      </w:r>
      <w:r w:rsidRPr="002270BA">
        <w:rPr>
          <w:sz w:val="24"/>
          <w:lang w:val="hr-HR"/>
        </w:rPr>
        <w:t xml:space="preserve">, ELI: </w:t>
      </w:r>
      <w:hyperlink r:id="rId4" w:history="1">
        <w:r w:rsidRPr="002270BA">
          <w:rPr>
            <w:rStyle w:val="Hyperlink"/>
            <w:sz w:val="24"/>
            <w:lang w:val="hr-HR"/>
          </w:rPr>
          <w:t>http://data.europa.eu/eli/agree_interinstit/2020/1222/oj</w:t>
        </w:r>
      </w:hyperlink>
      <w:r w:rsidRPr="002270BA">
        <w:rPr>
          <w:sz w:val="24"/>
          <w:lang w:val="hr-HR"/>
        </w:rPr>
        <w:t>.</w:t>
      </w:r>
    </w:p>
  </w:footnote>
  <w:footnote w:id="5">
    <w:p w14:paraId="0B28ED2D" w14:textId="77ED6420" w:rsidR="00B17A61" w:rsidRPr="002270BA" w:rsidRDefault="00B17A61" w:rsidP="002270BA">
      <w:pPr>
        <w:pStyle w:val="FootnoteText"/>
        <w:ind w:left="567" w:hanging="567"/>
        <w:rPr>
          <w:sz w:val="24"/>
          <w:lang w:val="hr-HR"/>
        </w:rPr>
      </w:pPr>
      <w:r w:rsidRPr="002270BA">
        <w:rPr>
          <w:rStyle w:val="FootnoteReference"/>
          <w:sz w:val="24"/>
          <w:lang w:val="hr-HR"/>
        </w:rPr>
        <w:footnoteRef/>
      </w:r>
      <w:r w:rsidR="002270BA" w:rsidRPr="002270BA">
        <w:rPr>
          <w:sz w:val="24"/>
          <w:lang w:val="hr-HR"/>
        </w:rPr>
        <w:t xml:space="preserve"> </w:t>
      </w:r>
      <w:r w:rsidR="002270BA" w:rsidRPr="002270BA">
        <w:rPr>
          <w:sz w:val="24"/>
          <w:lang w:val="hr-HR"/>
        </w:rPr>
        <w:tab/>
      </w:r>
      <w:r w:rsidRPr="002270BA">
        <w:rPr>
          <w:sz w:val="24"/>
          <w:lang w:val="hr-HR"/>
        </w:rPr>
        <w:t>U smislu članka 3. Uredbe o EGF-u.</w:t>
      </w:r>
    </w:p>
  </w:footnote>
  <w:footnote w:id="6">
    <w:p w14:paraId="3C1F96D0" w14:textId="1CF9F9F8" w:rsidR="00B17A61" w:rsidRPr="002270BA" w:rsidRDefault="00B17A61" w:rsidP="002270BA">
      <w:pPr>
        <w:pStyle w:val="FootnoteText"/>
        <w:ind w:left="567" w:hanging="567"/>
        <w:rPr>
          <w:sz w:val="24"/>
          <w:lang w:val="hr-HR"/>
        </w:rPr>
      </w:pPr>
      <w:r w:rsidRPr="002270BA">
        <w:rPr>
          <w:rStyle w:val="FootnoteReference"/>
          <w:sz w:val="24"/>
          <w:lang w:val="hr-HR"/>
        </w:rPr>
        <w:footnoteRef/>
      </w:r>
      <w:r w:rsidR="002270BA" w:rsidRPr="002270BA">
        <w:rPr>
          <w:sz w:val="24"/>
          <w:lang w:val="hr-HR"/>
        </w:rPr>
        <w:t xml:space="preserve"> </w:t>
      </w:r>
      <w:r w:rsidR="002270BA" w:rsidRPr="002270BA">
        <w:rPr>
          <w:sz w:val="24"/>
          <w:lang w:val="hr-HR"/>
        </w:rPr>
        <w:tab/>
      </w:r>
      <w:r w:rsidRPr="002270BA">
        <w:rPr>
          <w:sz w:val="24"/>
          <w:lang w:val="hr-HR"/>
        </w:rPr>
        <w:t>Članak 8. Uredbe o VFO-u.</w:t>
      </w:r>
    </w:p>
  </w:footnote>
  <w:footnote w:id="7">
    <w:p w14:paraId="22E97DA2" w14:textId="06638E9C" w:rsidR="00B17A61" w:rsidRPr="002270BA" w:rsidRDefault="00B17A61" w:rsidP="002270BA">
      <w:pPr>
        <w:pStyle w:val="FootnoteText"/>
        <w:ind w:left="567" w:hanging="567"/>
        <w:rPr>
          <w:sz w:val="24"/>
          <w:lang w:val="hr-HR"/>
        </w:rPr>
      </w:pPr>
      <w:r w:rsidRPr="002270BA">
        <w:rPr>
          <w:rStyle w:val="FootnoteReference"/>
          <w:sz w:val="24"/>
          <w:lang w:val="hr-HR"/>
        </w:rPr>
        <w:footnoteRef/>
      </w:r>
      <w:r w:rsidR="002270BA" w:rsidRPr="002270BA">
        <w:rPr>
          <w:sz w:val="24"/>
          <w:lang w:val="hr-HR"/>
        </w:rPr>
        <w:t xml:space="preserve"> </w:t>
      </w:r>
      <w:r w:rsidR="002270BA" w:rsidRPr="002270BA">
        <w:rPr>
          <w:sz w:val="24"/>
          <w:lang w:val="hr-HR"/>
        </w:rPr>
        <w:tab/>
      </w:r>
      <w:hyperlink r:id="rId5" w:history="1">
        <w:r w:rsidRPr="002270BA">
          <w:rPr>
            <w:rStyle w:val="Hyperlink"/>
            <w:sz w:val="24"/>
            <w:lang w:val="hr-HR"/>
          </w:rPr>
          <w:t>Nacionalna banka Belgije.</w:t>
        </w:r>
      </w:hyperlink>
      <w:r w:rsidR="00031D39">
        <w:rPr>
          <w:sz w:val="24"/>
          <w:lang w:val="hr-HR"/>
        </w:rPr>
        <w:t xml:space="preserve"> </w:t>
      </w:r>
      <w:hyperlink r:id="rId6" w:history="1">
        <w:r w:rsidRPr="002270BA">
          <w:rPr>
            <w:rStyle w:val="Hyperlink"/>
            <w:sz w:val="24"/>
            <w:lang w:val="hr-HR"/>
          </w:rPr>
          <w:t>Gospodarski pregled za 2024.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2BE85" w14:textId="77777777" w:rsidR="00064002" w:rsidRPr="002270B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81D98" w14:textId="77777777" w:rsidR="00064002" w:rsidRPr="002270B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880CA" w14:textId="77777777" w:rsidR="00064002" w:rsidRPr="002270B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05408337">
    <w:abstractNumId w:val="9"/>
  </w:num>
  <w:num w:numId="2" w16cid:durableId="1287277244">
    <w:abstractNumId w:val="9"/>
  </w:num>
  <w:num w:numId="3" w16cid:durableId="402143439">
    <w:abstractNumId w:val="7"/>
  </w:num>
  <w:num w:numId="4" w16cid:durableId="574583120">
    <w:abstractNumId w:val="7"/>
  </w:num>
  <w:num w:numId="5" w16cid:durableId="355040621">
    <w:abstractNumId w:val="6"/>
  </w:num>
  <w:num w:numId="6" w16cid:durableId="1502744683">
    <w:abstractNumId w:val="6"/>
  </w:num>
  <w:num w:numId="7" w16cid:durableId="2022393856">
    <w:abstractNumId w:val="5"/>
  </w:num>
  <w:num w:numId="8" w16cid:durableId="975332438">
    <w:abstractNumId w:val="5"/>
  </w:num>
  <w:num w:numId="9" w16cid:durableId="1212840781">
    <w:abstractNumId w:val="4"/>
  </w:num>
  <w:num w:numId="10" w16cid:durableId="998508041">
    <w:abstractNumId w:val="4"/>
  </w:num>
  <w:num w:numId="11" w16cid:durableId="1975674628">
    <w:abstractNumId w:val="8"/>
  </w:num>
  <w:num w:numId="12" w16cid:durableId="1800493687">
    <w:abstractNumId w:val="8"/>
  </w:num>
  <w:num w:numId="13" w16cid:durableId="215240439">
    <w:abstractNumId w:val="3"/>
  </w:num>
  <w:num w:numId="14" w16cid:durableId="1283537721">
    <w:abstractNumId w:val="3"/>
  </w:num>
  <w:num w:numId="15" w16cid:durableId="972709492">
    <w:abstractNumId w:val="2"/>
  </w:num>
  <w:num w:numId="16" w16cid:durableId="1657612003">
    <w:abstractNumId w:val="2"/>
  </w:num>
  <w:num w:numId="17" w16cid:durableId="400518919">
    <w:abstractNumId w:val="1"/>
  </w:num>
  <w:num w:numId="18" w16cid:durableId="334042237">
    <w:abstractNumId w:val="1"/>
  </w:num>
  <w:num w:numId="19" w16cid:durableId="6257935">
    <w:abstractNumId w:val="0"/>
  </w:num>
  <w:num w:numId="20" w16cid:durableId="596716100">
    <w:abstractNumId w:val="0"/>
  </w:num>
  <w:num w:numId="21" w16cid:durableId="171648103">
    <w:abstractNumId w:val="9"/>
  </w:num>
  <w:num w:numId="22" w16cid:durableId="344981717">
    <w:abstractNumId w:val="7"/>
  </w:num>
  <w:num w:numId="23" w16cid:durableId="529269908">
    <w:abstractNumId w:val="6"/>
  </w:num>
  <w:num w:numId="24" w16cid:durableId="1512078">
    <w:abstractNumId w:val="5"/>
  </w:num>
  <w:num w:numId="25" w16cid:durableId="723681073">
    <w:abstractNumId w:val="4"/>
  </w:num>
  <w:num w:numId="26" w16cid:durableId="424422083">
    <w:abstractNumId w:val="8"/>
  </w:num>
  <w:num w:numId="27" w16cid:durableId="1985770456">
    <w:abstractNumId w:val="3"/>
  </w:num>
  <w:num w:numId="28" w16cid:durableId="1190487991">
    <w:abstractNumId w:val="2"/>
  </w:num>
  <w:num w:numId="29" w16cid:durableId="66348676">
    <w:abstractNumId w:val="1"/>
  </w:num>
  <w:num w:numId="30" w16cid:durableId="1830096872">
    <w:abstractNumId w:val="0"/>
  </w:num>
  <w:num w:numId="31" w16cid:durableId="786967235">
    <w:abstractNumId w:val="9"/>
  </w:num>
  <w:num w:numId="32" w16cid:durableId="1074279581">
    <w:abstractNumId w:val="7"/>
  </w:num>
  <w:num w:numId="33" w16cid:durableId="922301888">
    <w:abstractNumId w:val="6"/>
  </w:num>
  <w:num w:numId="34" w16cid:durableId="143472043">
    <w:abstractNumId w:val="5"/>
  </w:num>
  <w:num w:numId="35" w16cid:durableId="1271353115">
    <w:abstractNumId w:val="4"/>
  </w:num>
  <w:num w:numId="36" w16cid:durableId="1488126428">
    <w:abstractNumId w:val="8"/>
  </w:num>
  <w:num w:numId="37" w16cid:durableId="1657685578">
    <w:abstractNumId w:val="3"/>
  </w:num>
  <w:num w:numId="38" w16cid:durableId="1122579680">
    <w:abstractNumId w:val="2"/>
  </w:num>
  <w:num w:numId="39" w16cid:durableId="316691894">
    <w:abstractNumId w:val="1"/>
  </w:num>
  <w:num w:numId="40" w16cid:durableId="1349452834">
    <w:abstractNumId w:val="0"/>
  </w:num>
  <w:num w:numId="41" w16cid:durableId="1232424084">
    <w:abstractNumId w:val="10"/>
  </w:num>
  <w:num w:numId="42" w16cid:durableId="2066490758">
    <w:abstractNumId w:val="10"/>
  </w:num>
  <w:num w:numId="43" w16cid:durableId="64768585">
    <w:abstractNumId w:val="10"/>
  </w:num>
  <w:num w:numId="44" w16cid:durableId="15538879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4/2026"/>
    <w:docVar w:name="dvlangue" w:val="HR"/>
    <w:docVar w:name="dvnumam" w:val="0"/>
    <w:docVar w:name="dvpe" w:val="785.333"/>
    <w:docVar w:name="dvrapporteur" w:val="Izvjestitelj: "/>
    <w:docVar w:name="dvtitre" w:val="Rezolucija Europskog parlamenta od .... 2026. o Prijedlogu odluke Europskog parlamenta i Vijeća o mobilizaciji Europskog fonda za prilagodbu globalizaciji za radnike koji su proglašeni viškom na temelju zahtjeva iz Belgije – EGF/2025/008 BE/Liberty(COM(2026)0004 – C10-0062/2026 – 2026/0066(BUD))"/>
  </w:docVars>
  <w:rsids>
    <w:rsidRoot w:val="007F1182"/>
    <w:rsid w:val="00002272"/>
    <w:rsid w:val="00031D39"/>
    <w:rsid w:val="00064002"/>
    <w:rsid w:val="000677B9"/>
    <w:rsid w:val="000831BA"/>
    <w:rsid w:val="000A42CC"/>
    <w:rsid w:val="000E7DD9"/>
    <w:rsid w:val="0010095E"/>
    <w:rsid w:val="00125B37"/>
    <w:rsid w:val="00130B82"/>
    <w:rsid w:val="00187494"/>
    <w:rsid w:val="001F32AE"/>
    <w:rsid w:val="002270BA"/>
    <w:rsid w:val="002767FF"/>
    <w:rsid w:val="0029515B"/>
    <w:rsid w:val="002B18FE"/>
    <w:rsid w:val="002B5493"/>
    <w:rsid w:val="002F255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562F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A09"/>
    <w:rsid w:val="007F118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712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7A61"/>
    <w:rsid w:val="00B22876"/>
    <w:rsid w:val="00B558F0"/>
    <w:rsid w:val="00BB0626"/>
    <w:rsid w:val="00BD48FE"/>
    <w:rsid w:val="00BD7BD8"/>
    <w:rsid w:val="00BE6ADC"/>
    <w:rsid w:val="00C05BFE"/>
    <w:rsid w:val="00C23CD4"/>
    <w:rsid w:val="00C61C0C"/>
    <w:rsid w:val="00C64573"/>
    <w:rsid w:val="00C858EF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17D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731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6789DB"/>
  <w15:chartTrackingRefBased/>
  <w15:docId w15:val="{51049057-657A-4FE0-AE01-805D3A4AE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17A6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B17A6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B17A6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17A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17A61"/>
    <w:rPr>
      <w:sz w:val="24"/>
      <w:lang w:val="hr-HR"/>
    </w:rPr>
  </w:style>
  <w:style w:type="paragraph" w:customStyle="1" w:styleId="EPFooter">
    <w:name w:val="EPFooter"/>
    <w:basedOn w:val="Normal"/>
    <w:rsid w:val="00B17A6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17A61"/>
    <w:pPr>
      <w:spacing w:before="480" w:after="240"/>
    </w:pPr>
  </w:style>
  <w:style w:type="character" w:styleId="Hyperlink">
    <w:name w:val="Hyperlink"/>
    <w:basedOn w:val="DefaultParagraphFont"/>
    <w:uiPriority w:val="99"/>
    <w:rsid w:val="00B17A61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B17A61"/>
    <w:rPr>
      <w:sz w:val="24"/>
      <w:lang w:val="hr-HR"/>
    </w:rPr>
  </w:style>
  <w:style w:type="paragraph" w:customStyle="1" w:styleId="Institutionquisigne">
    <w:name w:val="Institution qui signe"/>
    <w:basedOn w:val="Normal"/>
    <w:next w:val="Personnequisigne"/>
    <w:rsid w:val="00B17A61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17A61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17A61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17A61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17A61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17A61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17A61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locked/>
    <w:rsid w:val="00B17A61"/>
    <w:rPr>
      <w:rFonts w:ascii="Arial" w:hAnsi="Arial" w:cs="Arial"/>
      <w:b/>
      <w:sz w:val="24"/>
      <w:lang w:val="hr-HR"/>
    </w:rPr>
  </w:style>
  <w:style w:type="paragraph" w:styleId="Revision">
    <w:name w:val="Revision"/>
    <w:hidden/>
    <w:uiPriority w:val="99"/>
    <w:semiHidden/>
    <w:rsid w:val="00031D39"/>
    <w:rPr>
      <w:sz w:val="24"/>
      <w:lang w:val="hr-HR"/>
    </w:rPr>
  </w:style>
  <w:style w:type="character" w:styleId="FollowedHyperlink">
    <w:name w:val="FollowedHyperlink"/>
    <w:basedOn w:val="DefaultParagraphFont"/>
    <w:rsid w:val="00031D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6" Type="http://schemas.openxmlformats.org/officeDocument/2006/relationships/hyperlink" Target="https://www.nbb.be/doc/ts/publications/economicreview/2024/ecorevi2024_h02.pdf" TargetMode="External"/><Relationship Id="rId5" Type="http://schemas.openxmlformats.org/officeDocument/2006/relationships/hyperlink" Target="https://www.nbb.be/doc/ts/publications/economicreview/2024/ecorevi2024_h02.pdf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1648</Words>
  <Characters>10052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2026-07-10T10:52:00Z</dcterms:created>
  <dcterms:modified xsi:type="dcterms:W3CDTF">2026-07-10T10:52:00Z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P10_TA(2026)0145_</vt:lpwstr>
  </property>
  <property fmtid="{D5CDD505-2E9C-101B-9397-08002B2CF9AE}" pid="4" name="&lt;Type&gt;">
    <vt:lpwstr>RR</vt:lpwstr>
  </property>
</Properties>
</file>