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90BC8C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C23365" w:rsidP="0010095E" w14:paraId="34A63DB7" w14:textId="77777777">
            <w:pPr>
              <w:pStyle w:val="EPName"/>
            </w:pPr>
            <w:r w:rsidRPr="00C23365">
              <w:t>Európai Parlament</w:t>
            </w:r>
          </w:p>
          <w:p w:rsidR="00751A4A" w:rsidRPr="00C23365" w:rsidP="005F1B17" w14:paraId="689A68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3365">
              <w:t>2024</w:t>
            </w:r>
            <w:r w:rsidRPr="00C23365" w:rsidR="00817416">
              <w:t>-202</w:t>
            </w:r>
            <w:r w:rsidRPr="00C23365">
              <w:t>9</w:t>
            </w:r>
          </w:p>
        </w:tc>
        <w:tc>
          <w:tcPr>
            <w:tcW w:w="2268" w:type="dxa"/>
          </w:tcPr>
          <w:p w:rsidR="00751A4A" w:rsidRPr="00C23365" w:rsidP="0010095E" w14:paraId="06997AE1" w14:textId="77777777">
            <w:pPr>
              <w:pStyle w:val="EPLogo"/>
            </w:pPr>
            <w:r w:rsidRPr="00C2336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3365" w:rsidP="004C5D52" w14:paraId="642164BC" w14:textId="77777777">
      <w:pPr>
        <w:pStyle w:val="LineTop"/>
      </w:pPr>
    </w:p>
    <w:p w:rsidR="00680577" w:rsidRPr="00C23365" w:rsidP="00680577" w14:paraId="70226B38" w14:textId="77777777">
      <w:pPr>
        <w:pStyle w:val="EPBodyTA1"/>
      </w:pPr>
      <w:r w:rsidRPr="00C23365">
        <w:t>ELFOGADOTT SZÖVEGEK</w:t>
      </w:r>
    </w:p>
    <w:p w:rsidR="00D058B8" w:rsidRPr="00C23365" w:rsidP="00D058B8" w14:paraId="737824E6" w14:textId="77777777">
      <w:pPr>
        <w:pStyle w:val="LineBottom"/>
      </w:pPr>
    </w:p>
    <w:p w:rsidR="00212995" w:rsidRPr="00C23365" w:rsidP="00212995" w14:paraId="632C7893" w14:textId="7B117BC4">
      <w:pPr>
        <w:pStyle w:val="ATHeading1"/>
      </w:pPr>
      <w:bookmarkStart w:id="0" w:name="TANumber"/>
      <w:r w:rsidRPr="00C23365">
        <w:t>P10_TA(2026)0</w:t>
      </w:r>
      <w:r w:rsidRPr="00C23365" w:rsidR="00C23365">
        <w:t>145</w:t>
      </w:r>
      <w:bookmarkEnd w:id="0"/>
    </w:p>
    <w:p w:rsidR="00212995" w:rsidRPr="00C23365" w:rsidP="00212995" w14:paraId="3C1A8455" w14:textId="321D2980">
      <w:pPr>
        <w:pStyle w:val="ATHeading2"/>
      </w:pPr>
      <w:bookmarkStart w:id="1" w:name="title"/>
      <w:r w:rsidRPr="00C23365">
        <w:t xml:space="preserve">Az elbocsátott munkavállalók támogatását szolgáló Európai Globalizációs Alkalmazkodási Alap </w:t>
      </w:r>
      <w:r w:rsidRPr="00C23365" w:rsidR="00597A10">
        <w:t xml:space="preserve">igénybevétele: </w:t>
      </w:r>
      <w:r w:rsidRPr="00C23365">
        <w:t xml:space="preserve">Belgium EGF/2025/008 BE/Liberty referenciaszámú kérelme </w:t>
      </w:r>
      <w:bookmarkEnd w:id="1"/>
    </w:p>
    <w:p w:rsidR="00212995" w:rsidRPr="00C23365" w:rsidP="00212995" w14:paraId="60537E0E" w14:textId="77777777">
      <w:pPr>
        <w:rPr>
          <w:i/>
          <w:vanish/>
        </w:rPr>
      </w:pPr>
      <w:r>
        <w:rPr>
          <w:i/>
        </w:rPr>
        <w:fldChar w:fldCharType="begin"/>
      </w:r>
      <w:r w:rsidRPr="00C23365">
        <w:rPr>
          <w:i/>
        </w:rPr>
        <w:instrText xml:space="preserve"> TC"(</w:instrText>
      </w:r>
      <w:bookmarkStart w:id="2" w:name="DocNumber"/>
      <w:r w:rsidRPr="00C23365">
        <w:rPr>
          <w:i/>
        </w:rPr>
        <w:instrText>A10-0084/2026</w:instrText>
      </w:r>
      <w:bookmarkEnd w:id="2"/>
      <w:r w:rsidRPr="00C23365">
        <w:rPr>
          <w:i/>
        </w:rPr>
        <w:instrText xml:space="preserve"> - Előadó: Matthias Ecke)"\l3 \n&gt; \* MERGEFORMAT </w:instrText>
      </w:r>
      <w:r>
        <w:rPr>
          <w:i/>
        </w:rPr>
        <w:fldChar w:fldCharType="end"/>
      </w:r>
    </w:p>
    <w:p w:rsidR="00212995" w:rsidRPr="00C23365" w:rsidP="00212995" w14:paraId="7E17BC5E" w14:textId="77777777">
      <w:pPr>
        <w:rPr>
          <w:vanish/>
        </w:rPr>
      </w:pPr>
      <w:bookmarkStart w:id="3" w:name="Commission"/>
      <w:r w:rsidRPr="00C23365">
        <w:rPr>
          <w:vanish/>
        </w:rPr>
        <w:t>Költségvetési Bizottság</w:t>
      </w:r>
      <w:bookmarkEnd w:id="3"/>
    </w:p>
    <w:p w:rsidR="00212995" w:rsidRPr="00C23365" w:rsidP="00212995" w14:paraId="6FA267D1" w14:textId="77777777">
      <w:pPr>
        <w:rPr>
          <w:vanish/>
        </w:rPr>
      </w:pPr>
      <w:bookmarkStart w:id="4" w:name="PE"/>
      <w:r w:rsidRPr="00C23365">
        <w:rPr>
          <w:vanish/>
        </w:rPr>
        <w:t>PE785.333</w:t>
      </w:r>
      <w:bookmarkEnd w:id="4"/>
    </w:p>
    <w:p w:rsidR="00212995" w:rsidRPr="00C23365" w:rsidP="00212995" w14:paraId="4475BEED" w14:textId="38C77BFF">
      <w:pPr>
        <w:pStyle w:val="ATHeading3"/>
      </w:pPr>
      <w:bookmarkStart w:id="5" w:name="Sujet"/>
      <w:r w:rsidRPr="00C23365">
        <w:t xml:space="preserve">Az Európai Parlament 2026. </w:t>
      </w:r>
      <w:r w:rsidRPr="00C23365" w:rsidR="00597A10">
        <w:t>április 29</w:t>
      </w:r>
      <w:r w:rsidRPr="00C23365">
        <w:t>-i állásfoglalása az elbocsátott munkavállalók támogatását szolgáló Európai Globalizációs Alkalmazkodási Alapnak Belgium EGF/2025/008 BE/Liberty referenciaszámú kérelme nyomán történő igénybevételéről szóló európai parlamenti és tanácsi határozatra irányuló javaslatról</w:t>
      </w:r>
      <w:bookmarkEnd w:id="5"/>
      <w:r w:rsidRPr="00C23365">
        <w:t xml:space="preserve"> </w:t>
      </w:r>
      <w:bookmarkStart w:id="6" w:name="References"/>
      <w:r w:rsidRPr="00C23365">
        <w:t>(COM(2026)0004 – C10-0062/2026 – 2026/0066(BUD))</w:t>
      </w:r>
      <w:bookmarkEnd w:id="6"/>
    </w:p>
    <w:p w:rsidR="00C40D80" w:rsidRPr="00C23365" w:rsidP="00C40D80" w14:paraId="30FF1594" w14:textId="77777777">
      <w:pPr>
        <w:pStyle w:val="EPComma"/>
        <w:rPr>
          <w:noProof/>
        </w:rPr>
      </w:pPr>
      <w:r w:rsidRPr="00C23365">
        <w:rPr>
          <w:i/>
        </w:rPr>
        <w:t>Az Európai Parlament</w:t>
      </w:r>
    </w:p>
    <w:p w:rsidR="00C40D80" w:rsidRPr="00C23365" w:rsidP="00597A10" w14:paraId="44EB8C22" w14:textId="64E73F91">
      <w:pPr>
        <w:pStyle w:val="NormalHanging12a"/>
        <w:widowControl/>
        <w:rPr>
          <w:noProof/>
        </w:rPr>
      </w:pPr>
      <w:r w:rsidRPr="00C23365">
        <w:t>–</w:t>
      </w:r>
      <w:r w:rsidRPr="00C23365">
        <w:tab/>
        <w:t>tekintettel a Bizottságnak az Európai Parlamenthez és a Tanácshoz intézett javaslatára (COM(2026)0004 – C10</w:t>
      </w:r>
      <w:r w:rsidRPr="00C23365">
        <w:noBreakHyphen/>
        <w:t>0062/2026),</w:t>
      </w:r>
    </w:p>
    <w:p w:rsidR="00C40D80" w:rsidRPr="00C23365" w:rsidP="00597A10" w14:paraId="1B6BC520" w14:textId="77777777">
      <w:pPr>
        <w:pStyle w:val="NormalHanging12a"/>
        <w:widowControl/>
      </w:pPr>
      <w:r w:rsidRPr="00C23365">
        <w:t>–</w:t>
      </w:r>
      <w:r w:rsidRPr="00C23365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>
        <w:rPr>
          <w:vertAlign w:val="superscript"/>
        </w:rPr>
        <w:footnoteReference w:id="2"/>
      </w:r>
      <w:r w:rsidRPr="00C23365">
        <w:t xml:space="preserve"> (a továbbiakban: EGAA-rendelet), </w:t>
      </w:r>
    </w:p>
    <w:p w:rsidR="00C40D80" w:rsidRPr="00C23365" w:rsidP="00597A10" w14:paraId="10762F20" w14:textId="77777777">
      <w:pPr>
        <w:pStyle w:val="NormalHanging12a"/>
        <w:widowControl/>
        <w:rPr>
          <w:noProof/>
        </w:rPr>
      </w:pPr>
      <w:r w:rsidRPr="00C23365">
        <w:t>–</w:t>
      </w:r>
      <w:r w:rsidRPr="00C23365">
        <w:tab/>
        <w:t>tekintettel az (EU, Euratom) 2024/765 rendelettel</w:t>
      </w:r>
      <w:r>
        <w:rPr>
          <w:noProof/>
          <w:vertAlign w:val="superscript"/>
        </w:rPr>
        <w:footnoteReference w:id="3"/>
      </w:r>
      <w:r w:rsidRPr="00C23365">
        <w:t xml:space="preserve"> módosított, a 2021–2027-es időszakra vonatkozó többéves pénzügyi keretről szóló, 2020. december 17-i (EU, Euratom) 2020/2093 tanácsi rendeletre</w:t>
      </w:r>
      <w:r>
        <w:rPr>
          <w:noProof/>
          <w:vertAlign w:val="superscript"/>
        </w:rPr>
        <w:footnoteReference w:id="4"/>
      </w:r>
      <w:r w:rsidRPr="00C23365">
        <w:t xml:space="preserve"> és különösen annak 8. cikkére, </w:t>
      </w:r>
    </w:p>
    <w:p w:rsidR="00C40D80" w:rsidRPr="00C23365" w:rsidP="00597A10" w14:paraId="20FA9194" w14:textId="77777777">
      <w:pPr>
        <w:pStyle w:val="NormalHanging12a"/>
        <w:widowControl/>
        <w:rPr>
          <w:noProof/>
        </w:rPr>
      </w:pPr>
      <w:r w:rsidRPr="00C23365">
        <w:t>–</w:t>
      </w:r>
      <w:r w:rsidRPr="00C23365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>
        <w:rPr>
          <w:rStyle w:val="FootnoteReference"/>
          <w:noProof/>
        </w:rPr>
        <w:footnoteReference w:id="5"/>
      </w:r>
      <w:r w:rsidRPr="00C23365">
        <w:t xml:space="preserve"> és különösen annak 9. pontjára,</w:t>
      </w:r>
    </w:p>
    <w:p w:rsidR="00C40D80" w:rsidRPr="00C23365" w:rsidP="00597A10" w14:paraId="47AFA206" w14:textId="77777777">
      <w:pPr>
        <w:pStyle w:val="NormalHanging12a"/>
        <w:widowControl/>
      </w:pPr>
      <w:r w:rsidRPr="00C23365">
        <w:t>–</w:t>
      </w:r>
      <w:r w:rsidRPr="00C23365">
        <w:tab/>
        <w:t>tekintettel a szociális jogok európai pillérére,</w:t>
      </w:r>
    </w:p>
    <w:p w:rsidR="00C40D80" w:rsidRPr="00C23365" w:rsidP="00597A10" w14:paraId="37E7900E" w14:textId="77777777">
      <w:pPr>
        <w:pStyle w:val="NormalHanging12a"/>
        <w:widowControl/>
      </w:pPr>
      <w:r w:rsidRPr="00C23365">
        <w:t>–</w:t>
      </w:r>
      <w:r w:rsidRPr="00C23365">
        <w:tab/>
        <w:t>tekintettel a Foglalkoztatási és Szociális Bizottság levelére,</w:t>
      </w:r>
    </w:p>
    <w:p w:rsidR="00C40D80" w:rsidRPr="00C23365" w:rsidP="00597A10" w14:paraId="498E34B0" w14:textId="77777777">
      <w:pPr>
        <w:pStyle w:val="NormalHanging12a"/>
        <w:widowControl/>
      </w:pPr>
      <w:r w:rsidRPr="00C23365">
        <w:t>–</w:t>
      </w:r>
      <w:r w:rsidRPr="00C23365">
        <w:tab/>
        <w:t>tekintettel a Költségvetési Bizottság jelentésére (A10-0084/2026),</w:t>
      </w:r>
    </w:p>
    <w:p w:rsidR="00C40D80" w:rsidRPr="00C23365" w:rsidP="00597A10" w14:paraId="6F882857" w14:textId="77777777">
      <w:pPr>
        <w:pStyle w:val="NormalHanging12a"/>
        <w:widowControl/>
        <w:rPr>
          <w:noProof/>
        </w:rPr>
      </w:pPr>
      <w:r w:rsidRPr="00C23365">
        <w:t>A.</w:t>
      </w:r>
      <w:r w:rsidRPr="00C23365">
        <w:tab/>
        <w:t>mivel az Unió létrehozta a megfelelő jogalkotási és költségvetési eszközöket ahhoz, hogy további támogatást nyújtson a világkereskedelem fő strukturális eseményeinek és változásainak következményei által sújtott munkavállalóknak, és támogassa újbóli munkaerő-piaci beilleszkedésüket, mivel ez a támogatás a munkavállalóknak nyújtott pénzügyi támogatáson keresztül valósul meg;</w:t>
      </w:r>
    </w:p>
    <w:p w:rsidR="00C40D80" w:rsidRPr="00C23365" w:rsidP="00597A10" w14:paraId="55807ABB" w14:textId="77777777">
      <w:pPr>
        <w:pStyle w:val="NormalHanging12a"/>
        <w:widowControl/>
        <w:rPr>
          <w:bCs/>
          <w:iCs/>
          <w:noProof/>
        </w:rPr>
      </w:pPr>
      <w:r w:rsidRPr="00C23365">
        <w:t>B.</w:t>
      </w:r>
      <w:r w:rsidRPr="00C23365">
        <w:tab/>
        <w:t>mivel a támogatást a munkavállalók gyors visszailleszkedésére és annak biztosítására kell fordítani, hogy a képzés, az átképzés és a szakképzés jobban felvértezze a munkavállalókat a munkaerőpiaci igényekhez igazodó készségekkel;</w:t>
      </w:r>
    </w:p>
    <w:p w:rsidR="00C40D80" w:rsidRPr="00C23365" w:rsidP="00597A10" w14:paraId="3CF12BC7" w14:textId="77777777">
      <w:pPr>
        <w:pStyle w:val="NormalHanging12a"/>
        <w:widowControl/>
      </w:pPr>
      <w:r w:rsidRPr="00C23365">
        <w:t>C.</w:t>
      </w:r>
      <w:r w:rsidRPr="00C23365">
        <w:tab/>
        <w:t>mivel Belgium EGF/2025/008 BE/Liberty referenciaszámmal kérelmet nyújtott be az EGAA-ból igénybe vehető pénzügyi hozzájárulás iránt a vallon Liège tartományban (BE33) a NACE Rev. 2. rendszer szerinti 24. ágazatban (Fémalapanyag gyártása) működő Liberty Galaţi belga fióktelepénél (Liberty) a 2025. április 24-től 2025. augusztus 24-ig tartó referencia-időszakban történt 507 elbocsátást</w:t>
      </w:r>
      <w:r>
        <w:rPr>
          <w:vertAlign w:val="superscript"/>
        </w:rPr>
        <w:footnoteReference w:id="6"/>
      </w:r>
      <w:r w:rsidRPr="00C23365">
        <w:t xml:space="preserve"> követően;</w:t>
      </w:r>
    </w:p>
    <w:p w:rsidR="00C40D80" w:rsidRPr="00C23365" w:rsidP="00597A10" w14:paraId="0B2954F3" w14:textId="77777777">
      <w:pPr>
        <w:pStyle w:val="NormalHanging12a"/>
        <w:widowControl/>
      </w:pPr>
      <w:r w:rsidRPr="00C23365">
        <w:t>D.</w:t>
      </w:r>
      <w:r w:rsidRPr="00C23365">
        <w:tab/>
        <w:t>mivel a kérelem az EGAA-rendelet 4. cikke (2) bekezdésének a) pontja szerinti beavatkozási kritériumokon alapul, amelyek a támogatást legalább 200 elbocsátott munkavállaló és önálló vállalkozó tevékenységének megszűnéséhez kötik egy négy hónapos referencia-időszak alatt egy vállalkozáson belül egy tagállamban;</w:t>
      </w:r>
    </w:p>
    <w:p w:rsidR="00C40D80" w:rsidRPr="00C23365" w:rsidP="00597A10" w14:paraId="4BACB815" w14:textId="77777777">
      <w:pPr>
        <w:pStyle w:val="NormalHanging12a"/>
        <w:widowControl/>
        <w:rPr>
          <w:noProof/>
        </w:rPr>
      </w:pPr>
      <w:r w:rsidRPr="00C23365">
        <w:t>E.</w:t>
      </w:r>
      <w:r w:rsidRPr="00C23365">
        <w:tab/>
        <w:t>mivel a Liberty-t 2025. április 22-én a Liège-i Kereskedelmi Bíróság fizetésképtelennek nyilvánította; mivel Belgiumban 2022 óta emelkedik a csődök száma;</w:t>
      </w:r>
    </w:p>
    <w:p w:rsidR="00C40D80" w:rsidRPr="00C23365" w:rsidP="00597A10" w14:paraId="3C1ED43F" w14:textId="77777777">
      <w:pPr>
        <w:pStyle w:val="NormalHanging12a"/>
        <w:widowControl/>
      </w:pPr>
      <w:r w:rsidRPr="00C23365">
        <w:t>F.</w:t>
      </w:r>
      <w:r w:rsidRPr="00C23365">
        <w:tab/>
        <w:t>mivel a Vallon régió és a Le Forem biztosítja az intézkedések nemzeti előfinanszírozását és társfinanszírozását;</w:t>
      </w:r>
    </w:p>
    <w:p w:rsidR="00C40D80" w:rsidRPr="00C23365" w:rsidP="00597A10" w14:paraId="05C14DD5" w14:textId="77777777">
      <w:pPr>
        <w:pStyle w:val="NormalHanging12a"/>
        <w:widowControl/>
      </w:pPr>
      <w:r w:rsidRPr="00C23365">
        <w:t>G.</w:t>
      </w:r>
      <w:r w:rsidRPr="00C23365">
        <w:tab/>
        <w:t>mivel az uniós és nemzeti jogszabályokban a csoportos létszámleépítésekre vonatkozóan előírt követelményeket tiszteletben tartották;</w:t>
      </w:r>
    </w:p>
    <w:p w:rsidR="00C40D80" w:rsidRPr="00C23365" w:rsidP="00597A10" w14:paraId="63D388CB" w14:textId="77777777">
      <w:pPr>
        <w:pStyle w:val="NormalHanging12a"/>
        <w:widowControl/>
      </w:pPr>
      <w:r w:rsidRPr="00C23365">
        <w:t>H.</w:t>
      </w:r>
      <w:r w:rsidRPr="00C23365">
        <w:tab/>
        <w:t>mivel az EGAA-ból nyújtott pénzügyi hozzájárulásoknak elsősorban olyan aktív munkaerőpiaci szakpolitikai intézkedésekre és személyre szabott szolgáltatásokra kell irányulniuk, amelyek célja a kedvezményezettek gyors munkaerőpiaci visszailleszkedése, készségfejlesztést kínálva számukra a munkaerőpiachoz való hozzáférésük megkönnyítése érdekében;</w:t>
      </w:r>
    </w:p>
    <w:p w:rsidR="00C40D80" w:rsidRPr="00C23365" w:rsidP="00597A10" w14:paraId="4533B83A" w14:textId="77777777">
      <w:pPr>
        <w:pStyle w:val="NormalHanging12a"/>
        <w:widowControl/>
      </w:pPr>
      <w:r w:rsidRPr="00C23365">
        <w:t>I.</w:t>
      </w:r>
      <w:r w:rsidRPr="00C23365">
        <w:tab/>
        <w:t>mivel az EGAA éves maximális összege (2018-as árakon számítva) nem haladhatja meg a 30 millió EUR-t</w:t>
      </w:r>
      <w:r>
        <w:rPr>
          <w:rStyle w:val="FootnoteReference"/>
        </w:rPr>
        <w:footnoteReference w:id="7"/>
      </w:r>
      <w:r w:rsidRPr="00C23365">
        <w:t>;</w:t>
      </w:r>
    </w:p>
    <w:p w:rsidR="00C40D80" w:rsidRPr="00C23365" w:rsidP="00597A10" w14:paraId="6C2F52CC" w14:textId="77777777">
      <w:pPr>
        <w:pStyle w:val="NormalHanging12a"/>
        <w:widowControl/>
      </w:pPr>
      <w:r w:rsidRPr="00C23365">
        <w:t>1.</w:t>
      </w:r>
      <w:r w:rsidRPr="00C23365">
        <w:tab/>
        <w:t xml:space="preserve">egyetért a Bizottsággal abban, hogy az EGAA-rendeletben és különösen annak 4. cikke (2) bekezdésének a) pontjában meghatározott feltételek teljesülnek, és hogy Belgium az említett rendelet értelmében 2 033 869 EUR összegű pénzügyi hozzájárulásra jogosult, amely 85%-a a 2 392 788 EUR-s összköltségnek, amely a személyre szabott szolgáltatásokra fordított 2 358 922 EUR összegű, továbbá az előkészítő, irányítási, </w:t>
      </w:r>
      <w:r w:rsidRPr="00C23365">
        <w:t>tájékoztatási és nyilvánossággal kapcsolatos, valamint az ellenőrzési és jelentéstételi tevékenységekre fordított 33 866 EUR összegű kiadásokat foglalja magában;</w:t>
      </w:r>
    </w:p>
    <w:p w:rsidR="00C40D80" w:rsidRPr="00C23365" w:rsidP="00597A10" w14:paraId="6E88521E" w14:textId="77777777">
      <w:pPr>
        <w:pStyle w:val="NormalHanging12a"/>
        <w:widowControl/>
      </w:pPr>
      <w:r w:rsidRPr="00C23365">
        <w:t>2.</w:t>
      </w:r>
      <w:r w:rsidRPr="00C23365">
        <w:tab/>
        <w:t xml:space="preserve">megállapítja, hogy a belga hatóságok 2025. november 13-án nyújtották be a kérelmet, és hogy a Belgiumtól kapott kiegészítő információkat követően annak értékelését a Bizottság 2026. március 2-án fejezte be és értesítette a Parlamentet; hangsúlyozza, hogy a Parlament költségvetési jogainak védelme mellett le kell rövidíteni az EGAA-kérelem és a finanszírozási határozat közötti időt; </w:t>
      </w:r>
    </w:p>
    <w:p w:rsidR="00C40D80" w:rsidRPr="00C23365" w:rsidP="00597A10" w14:paraId="7EC34C65" w14:textId="77777777">
      <w:pPr>
        <w:pStyle w:val="NormalHanging12a"/>
        <w:widowControl/>
      </w:pPr>
      <w:r w:rsidRPr="00C23365">
        <w:t>3.</w:t>
      </w:r>
      <w:r w:rsidRPr="00C23365">
        <w:tab/>
        <w:t>megállapítja, hogy a kérelem a Liberty vállalattól elbocsátott 507 megcélzott kedvezményezettre vonatkozik;</w:t>
      </w:r>
    </w:p>
    <w:p w:rsidR="00C40D80" w:rsidRPr="00C23365" w:rsidP="00597A10" w14:paraId="2556B681" w14:textId="77777777">
      <w:pPr>
        <w:pStyle w:val="NormalHanging12a"/>
        <w:widowControl/>
      </w:pPr>
      <w:r w:rsidRPr="00C23365">
        <w:t>4.</w:t>
      </w:r>
      <w:r w:rsidRPr="00C23365">
        <w:tab/>
        <w:t>megjegyzi, hogy a Liberty a csődbejelentést megelőzően évekig pénzügyi nehézségekkel szembesült a kedvezőtlen acélpiaci feltételek, az ellátási lánc Covid19-cel kapcsolatos zavarai és az Oroszország Ukrajna elleni agressziós háborúját követő magas energiaárak miatt, amelyekhez még az Uniónak a behozott fosszilis energiáktól való függősége és az olcsóbb energiaforrások elégtelen kiaknázása is társult; megjegyzi, hogy a Liberty Steel Liège galvanizálósorai 2021 decembere óta használaton kívül vannak, főként a nyersanyagok hiánya miatt, ami szerkezetátalakítást vont maga után, amely 2023-ban a Liberty Galaţi vállalatra történt jogszerű átruházásához vezetett; sajnálja, hogy a termelési tevékenység az átvétel ellenére nem indult újra, és a vállalat csődjéhez vezetett;</w:t>
      </w:r>
    </w:p>
    <w:p w:rsidR="00C40D80" w:rsidRPr="00C23365" w:rsidP="00597A10" w14:paraId="0AA4376D" w14:textId="77777777">
      <w:pPr>
        <w:pStyle w:val="NormalHanging12a"/>
        <w:widowControl/>
        <w:rPr>
          <w:noProof/>
        </w:rPr>
      </w:pPr>
      <w:r w:rsidRPr="00C23365">
        <w:t>5.</w:t>
      </w:r>
      <w:r w:rsidRPr="00C23365">
        <w:tab/>
        <w:t>megjegyzi, hogy a Liberty Steel által tapasztalt nehézségek vállalatspecifikus tényezőkhöz is kapcsolódnak, amelyek az ArcelorMittaltól a GFG Alliance által történt felvásárlás nyomán alakultak ki; hangsúlyozza az üzleti modell pénzügyi fenntarthatóságával és a beruházási kötelezettségvállalások teljesítésének elmulasztásával kapcsolatos komoly aggályokat, amelyek hozzájárultak az üzem gazdasági helyzetének romlásához és az ebből eredő elbocsátásokhoz;</w:t>
      </w:r>
    </w:p>
    <w:p w:rsidR="00C40D80" w:rsidRPr="00C23365" w:rsidP="00597A10" w14:paraId="58EF0BCA" w14:textId="77777777">
      <w:pPr>
        <w:pStyle w:val="NormalHanging12a"/>
        <w:widowControl/>
        <w:rPr>
          <w:b/>
          <w:bCs/>
          <w:i/>
          <w:iCs/>
        </w:rPr>
      </w:pPr>
      <w:bookmarkStart w:id="7" w:name="_Hlk225497832"/>
      <w:r w:rsidRPr="00C23365">
        <w:t>6.</w:t>
      </w:r>
      <w:r w:rsidRPr="00C23365">
        <w:tab/>
        <w:t>megjegyzi, hogy a Vallon régió a dezindusztrializáció és a gazdasági átalakulás folyamatán ment keresztül</w:t>
      </w:r>
      <w:r>
        <w:rPr>
          <w:rStyle w:val="FootnoteReference"/>
        </w:rPr>
        <w:footnoteReference w:id="8"/>
      </w:r>
      <w:r w:rsidRPr="00C23365">
        <w:t>; megjegyzi, hogy a Liberty csődje jelentős társadalmi sokkot jelent Vallónia számára, amelynek</w:t>
      </w:r>
      <w:bookmarkEnd w:id="7"/>
      <w:r w:rsidRPr="00C23365">
        <w:t xml:space="preserve"> munkaerőpiacát más szerkezetátalakítási események már meggyengítették; hangsúlyozza, hogy az acélágazat továbbra is fontos gazdasági ágazat Belgium számára, és az egy lakosra jutó acélipari munkahelyek aránya továbbra is magas; felhívja a belga hatóságokat, hogy nyújtsanak az e profilokhoz igazított egyedi támogatást annak érdekében, hogy segítsék a munkavállalókat az új minőségi munkahelyek megtalálásához szükséges készségek továbbfejlesztésében, ugyanakkor hozzanak intézkedéseket a csődök csökkentése és a munkaerő kirekesztéséhez vezető társadalmi egyenlőtlenségek kezelése érdekében; hangsúlyozza, hogy az Unió vállalkozásbarát környezetet tart fenn, amely támogatja a gazdasági növekedést, előmozdítja az innovációt, támogatja a technológiai fejlődést, megerősíti a versenyképességet és csökkenti a szükségtelen szabályozási terheket, valamint egyszerűsíti a bürokratikus eljárásokat, és hangsúlyozza, hogy olyan szakpolitikákra van szükség, amelyek előmozdítják az ipari versenyképességet, a területi, gazdasági és társadalmi kohéziót és a regionális fejlődést; kiemeli a versenyképes és reziliens európai acélágazat fontosságát, amely ágazat az erős, magas színvonalú ipar alapja és az Unió stratégiai autonómiájának központi pillére;</w:t>
      </w:r>
    </w:p>
    <w:p w:rsidR="00C40D80" w:rsidRPr="00C23365" w:rsidP="00597A10" w14:paraId="65A43140" w14:textId="77777777">
      <w:pPr>
        <w:pStyle w:val="NormalHanging12a"/>
        <w:widowControl/>
      </w:pPr>
      <w:r w:rsidRPr="00C23365">
        <w:t>7.</w:t>
      </w:r>
      <w:r w:rsidRPr="00C23365">
        <w:tab/>
        <w:t>emlékeztet arra, hogy Vallóniában minden negyedik regisztrált álláskereső 50 év feletti, és nagyobb akadályokkal szembesül a munkaerőpiacra való visszatérés terén; megjegyzi, hogy magas szakosodásuk ellenére a Liberty munkavállalóinak munkahelyváltása az előrehaladott életkoruk miatt (a munkavállalók 52%-a 55 éves vagy annál idősebb) kihívást jelent; megjegyzi, hogy az elbocsátott munkavállalók 69%-a alacsony iskolai végzettséggel rendelkezik;</w:t>
      </w:r>
    </w:p>
    <w:p w:rsidR="00C40D80" w:rsidRPr="00C23365" w:rsidP="00597A10" w14:paraId="67026187" w14:textId="77777777">
      <w:pPr>
        <w:pStyle w:val="NormalHanging12a"/>
        <w:widowControl/>
      </w:pPr>
      <w:bookmarkStart w:id="8" w:name="_Hlk226546977"/>
      <w:r w:rsidRPr="00C23365">
        <w:t>8.</w:t>
      </w:r>
      <w:r w:rsidRPr="00C23365">
        <w:tab/>
        <w:t>emlékeztet arra, hogy a szakszervezetekkel és a regionális hatóságokkal egyetértésben a munkavállalóknak nyújtandó, személyre szabott szolgáltatások a következő intézkedésekből állnak: az újbóli elhelyezkedés esélyének javítása és pályaorientáció; képzés, átképzés és szakképzés, beleértve az informatikai készségeket is; vállalkozásalapításhoz nyújtott támogatás; vállalkozásindításhoz való hozzájárulás; ösztönzők és egyéb juttatások; kiemeli az innovációba, a készségekbe és az ipari modernizációba történő beruházások megerősítésének fontosságát az európai ipar versenyképességének megerősítése és annak biztosítása érdekében, hogy a munkavállalók felkészültek legyenek a munkaerőpiac változó igényeire;</w:t>
      </w:r>
      <w:bookmarkEnd w:id="8"/>
    </w:p>
    <w:p w:rsidR="00C40D80" w:rsidRPr="00C23365" w:rsidP="00597A10" w14:paraId="61646CDB" w14:textId="77777777">
      <w:pPr>
        <w:pStyle w:val="NormalHanging12a"/>
        <w:widowControl/>
      </w:pPr>
      <w:r w:rsidRPr="00C23365">
        <w:t>9.</w:t>
      </w:r>
      <w:r w:rsidRPr="00C23365">
        <w:tab/>
        <w:t>kiemeli, hogy fontos előmozdítani a magas színvonalú, jövőorientált munkahelyeket, amelyek erősítik a versenyképességet, elősegítik a digitális átalakulást, és kielégítik a munkaerőpiaci igényeket a hosszú távú gazdasági és társadalmi reziliencia biztosítása érdekében; ezért úgy véli, hogy az EGAA igénybevételét minden politikai szinten egy nagyobb szakpolitikai válaszba kell ágyazni annak biztosítása érdekében, hogy az érintett munkavállalók a képesítéseiknek és készségeiknek megfelelő lehetőségeket találjanak; kiemeli, hogy az EGAA a szolidaritás és az igazságos átmenet eszköze, és hogy az Unió elsődleges feladatának annak kell lennie, hogy megelőzze az ilyen bezárásokat;</w:t>
      </w:r>
    </w:p>
    <w:p w:rsidR="00C40D80" w:rsidRPr="00C23365" w:rsidP="00597A10" w14:paraId="64B0EE37" w14:textId="77777777">
      <w:pPr>
        <w:pStyle w:val="NormalHanging12a"/>
        <w:widowControl/>
      </w:pPr>
      <w:r w:rsidRPr="00C23365">
        <w:t>10.</w:t>
      </w:r>
      <w:r w:rsidRPr="00C23365">
        <w:tab/>
        <w:t>hangsúlyozza az Unió ipari versenyképessége megerősítésének és a stratégiai ipari ágazatokba történő beruházások előmozdításának fontosságát a további dezindusztrializáció és leépítések megelőzése és a munkahelyteremtés támogatása érdekében; hangsúlyozza, hogy a megfizethető energiaárak biztosítása céljából – egyéb intézkedések mellett – át kell térni a megújuló energiára;</w:t>
      </w:r>
    </w:p>
    <w:p w:rsidR="00C40D80" w:rsidRPr="00C23365" w:rsidP="00597A10" w14:paraId="72AF99F5" w14:textId="77777777">
      <w:pPr>
        <w:pStyle w:val="NormalHanging12a"/>
        <w:widowControl/>
        <w:rPr>
          <w:bCs/>
          <w:iCs/>
        </w:rPr>
      </w:pPr>
      <w:r w:rsidRPr="00C23365">
        <w:t>11.</w:t>
      </w:r>
      <w:r w:rsidRPr="00C23365">
        <w:tab/>
        <w:t>hangsúlyozza, hogy a belga hatóságoknak biztosítaniuk kell az uniós finanszírozás láthatóságát, és ki kell emelniük annak hozzáadott értékét azáltal, hogy hatékony és célzott tájékoztatást nyújtanak a kedvezményezetteknek, a regionális és helyi hatóságoknak, a szociális partnereknek és a szélesebb nyilvánosságnak;</w:t>
      </w:r>
    </w:p>
    <w:p w:rsidR="00C40D80" w:rsidRPr="00C23365" w:rsidP="00597A10" w14:paraId="55B22E02" w14:textId="77777777">
      <w:pPr>
        <w:pStyle w:val="NormalHanging12a"/>
        <w:widowControl/>
      </w:pPr>
      <w:r w:rsidRPr="00C23365">
        <w:t>12.</w:t>
      </w:r>
      <w:r w:rsidRPr="00C23365">
        <w:tab/>
        <w:t>felszólít a végrehajtott intézkedések alapos végső értékelésére a szociális partnerekkel együtt, beleértve egyértelmű és átlátható információk biztosítását a források felhasználásának módjáról, valamint a munkavállalók munkaerőpiaci visszailleszkedésének és annak értékelését, hogy teljesültek-e az EGAA célkitűzései; ezzel összefüggésben kiemeli az EGAA által finanszírozott intézkedések rendszeres nyomon követésének fontosságát azok hatékonyságának értékelése érdekében;</w:t>
      </w:r>
    </w:p>
    <w:p w:rsidR="00C40D80" w:rsidRPr="00C23365" w:rsidP="00597A10" w14:paraId="2F9BF30C" w14:textId="77777777">
      <w:pPr>
        <w:pStyle w:val="NormalHanging12a"/>
        <w:widowControl/>
      </w:pPr>
      <w:r w:rsidRPr="00C23365">
        <w:t>13.</w:t>
      </w:r>
      <w:r w:rsidRPr="00C23365">
        <w:tab/>
        <w:t>megjegyzi, hogy Belgium 2025. június 1-jén kezdte meg a személyre szabott szolgáltatásoknak a célcsoportot alkotó kedvezményezettek részére történő nyújtását, és hogy az EGAA-ból igénybe vehető pénzügyi hozzájárulásra való jogosultság időszaka ettől az időponttól kezdődően a finanszírozási határozat hatálybalépésétől számított 24. hónap végéig fog tartani;</w:t>
      </w:r>
    </w:p>
    <w:p w:rsidR="00C40D80" w:rsidRPr="00C23365" w:rsidP="00597A10" w14:paraId="0CC7D18E" w14:textId="77777777">
      <w:pPr>
        <w:pStyle w:val="NormalHanging12a"/>
        <w:widowControl/>
        <w:rPr>
          <w:sz w:val="23"/>
          <w:szCs w:val="23"/>
        </w:rPr>
      </w:pPr>
      <w:r w:rsidRPr="00C23365">
        <w:t>14.</w:t>
      </w:r>
      <w:r w:rsidRPr="00C23365">
        <w:tab/>
        <w:t>megjegyzi, hogy Belgium részéről az EGAA végrehajtásával összefüggésben 2025. április 22-től kezdődően merültek fel igazgatási kiadások, és hogy ezek a kiadások ezért ettől az időponttól kezdődően a finanszírozási határozat hatálybalépését követő 31 hónapon át lesznek támogathatók az EGAA-ból származó pénzügyi hozzájárulásból;</w:t>
      </w:r>
    </w:p>
    <w:p w:rsidR="00C40D80" w:rsidRPr="00C23365" w:rsidP="00597A10" w14:paraId="68BEDEEB" w14:textId="77777777">
      <w:pPr>
        <w:pStyle w:val="NormalHanging12a"/>
        <w:widowControl/>
      </w:pPr>
      <w:r w:rsidRPr="00C23365">
        <w:t>15.</w:t>
      </w:r>
      <w:r w:rsidRPr="00C23365">
        <w:tab/>
        <w:t>megállapítja, hogy a belga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:rsidR="00C40D80" w:rsidRPr="00C23365" w:rsidP="00597A10" w14:paraId="7D7ACF42" w14:textId="77777777">
      <w:pPr>
        <w:pStyle w:val="NormalHanging12a"/>
        <w:widowControl/>
      </w:pPr>
      <w:r w:rsidRPr="00C23365">
        <w:t>16.</w:t>
      </w:r>
      <w:r w:rsidRPr="00C23365">
        <w:tab/>
        <w:t>ismételten hangsúlyozza, hogy az EGAA-ból nyújtott támogatás nem léphet azon intézkedések helyébe, amelyek a nemzeti jog vagy kollektív szerződések értelmében a hatóságok vagy a vállalkozások felelősségi körébe tartoznak; emlékeztet arra, hogy az EGAA korlátozott, célzott és kiegészítő jellegű mechanizmus, és nem helyettesítheti a strukturális gazdaságpolitikákat, amelyek elsősorban a tagállamok hatáskörébe tartoznak;</w:t>
      </w:r>
    </w:p>
    <w:p w:rsidR="00C40D80" w:rsidRPr="00C23365" w:rsidP="00597A10" w14:paraId="6B6E1AC6" w14:textId="77777777">
      <w:pPr>
        <w:pStyle w:val="NormalHanging12a"/>
        <w:widowControl/>
      </w:pPr>
      <w:r w:rsidRPr="00C23365">
        <w:t>17.</w:t>
      </w:r>
      <w:r w:rsidRPr="00C23365">
        <w:tab/>
        <w:t>jóváhagyja a jelen állásfoglaláshoz mellékelt határozatot;</w:t>
      </w:r>
    </w:p>
    <w:p w:rsidR="00C40D80" w:rsidRPr="00C23365" w:rsidP="00597A10" w14:paraId="7A060B3F" w14:textId="77777777">
      <w:pPr>
        <w:pStyle w:val="NormalHanging12a"/>
        <w:widowControl/>
      </w:pPr>
      <w:r w:rsidRPr="00C23365">
        <w:t>18.</w:t>
      </w:r>
      <w:r w:rsidRPr="00C23365">
        <w:tab/>
        <w:t xml:space="preserve">utasítja elnökét, hogy a Tanács elnökével együtt írja alá ezt a határozatot, valamint gondoskodjon közzétételéről az </w:t>
      </w:r>
      <w:r w:rsidRPr="00C23365">
        <w:rPr>
          <w:i/>
          <w:iCs/>
        </w:rPr>
        <w:t>Európai Unió Hivatalos Lapjában</w:t>
      </w:r>
      <w:r w:rsidRPr="00C23365">
        <w:t>;</w:t>
      </w:r>
    </w:p>
    <w:p w:rsidR="00C40D80" w:rsidRPr="00C23365" w:rsidP="00597A10" w14:paraId="54EA70B0" w14:textId="77777777">
      <w:pPr>
        <w:pStyle w:val="NormalHanging12a"/>
        <w:widowControl/>
      </w:pPr>
      <w:r w:rsidRPr="00C23365">
        <w:t>19.</w:t>
      </w:r>
      <w:r w:rsidRPr="00C23365">
        <w:tab/>
        <w:t>utasítja elnökét, hogy továbbítsa ezt az állásfoglalást és annak mellékletét a Tanácsnak és a Bizottságnak.</w:t>
      </w:r>
    </w:p>
    <w:p w:rsidR="00C40D80" w:rsidRPr="00C23365" w:rsidP="00C40D80" w14:paraId="40F1F311" w14:textId="77777777">
      <w:pPr>
        <w:rPr>
          <w:noProof/>
        </w:rPr>
      </w:pPr>
    </w:p>
    <w:p w:rsidR="00C40D80" w:rsidRPr="00C23365" w:rsidP="00C40D80" w14:paraId="1D06B8EE" w14:textId="77777777">
      <w:pPr>
        <w:pStyle w:val="PageHeading"/>
        <w:rPr>
          <w:noProof/>
        </w:rPr>
        <w:sectPr w:rsidSect="00D96724">
          <w:footerReference w:type="even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40D80" w:rsidRPr="00C23365" w:rsidP="00C40D80" w14:paraId="25F14F90" w14:textId="77777777">
      <w:pPr>
        <w:pStyle w:val="PageHeading"/>
        <w:rPr>
          <w:noProof/>
        </w:rPr>
      </w:pPr>
      <w:bookmarkStart w:id="9" w:name="_Toc227920295"/>
      <w:r w:rsidRPr="00C23365">
        <w:t>MELLÉKLET: AZ EURÓPAI PARLAMENT ÉS A TANÁCS HATÁROZATA</w:t>
      </w:r>
      <w:bookmarkEnd w:id="9"/>
    </w:p>
    <w:p w:rsidR="00C40D80" w:rsidRPr="00C23365" w:rsidP="00C23365" w14:paraId="35861DA1" w14:textId="536A8184">
      <w:pPr>
        <w:pStyle w:val="NormalHanging12a"/>
        <w:ind w:left="0" w:firstLine="0"/>
        <w:jc w:val="center"/>
        <w:rPr>
          <w:b/>
          <w:bCs/>
        </w:rPr>
      </w:pPr>
      <w:r>
        <w:rPr>
          <w:b/>
        </w:rPr>
        <w:t xml:space="preserve">Az </w:t>
      </w:r>
      <w:r w:rsidRPr="00CD2313">
        <w:rPr>
          <w:b/>
        </w:rPr>
        <w:t>elbocsátott munkavállalók támogatását szolgáló Európai Globalizációs Alkalmazkodási Alapnak Belgium EGF/2025/008 BE/Liberty referenciaszámú kérelme nyomán történő igénybevételéről</w:t>
      </w:r>
    </w:p>
    <w:p w:rsidR="00CD2313" w:rsidRPr="00CD2313" w:rsidP="00C23365" w14:paraId="7E0DF68E" w14:textId="16D89C2F">
      <w:pPr>
        <w:spacing w:before="600" w:after="120"/>
        <w:rPr>
          <w:i/>
          <w:iCs/>
        </w:rPr>
      </w:pPr>
      <w:r w:rsidRPr="00CD2313">
        <w:rPr>
          <w:i/>
          <w:iCs/>
        </w:rPr>
        <w:t>(E melléklet szövege itt nincs feltüntetve, mert az megegyezik a végleges jogi aktussal, az (EU) 2026/1134</w:t>
      </w:r>
      <w:r>
        <w:rPr>
          <w:i/>
          <w:iCs/>
        </w:rPr>
        <w:t xml:space="preserve"> </w:t>
      </w:r>
      <w:r w:rsidRPr="00CD2313">
        <w:rPr>
          <w:i/>
          <w:iCs/>
        </w:rPr>
        <w:t>határozattal</w:t>
      </w:r>
      <w:r>
        <w:rPr>
          <w:i/>
          <w:iCs/>
        </w:rPr>
        <w:t>.</w:t>
      </w:r>
      <w:r w:rsidRPr="00CD2313">
        <w:rPr>
          <w:i/>
          <w:iCs/>
        </w:rPr>
        <w:t>)</w:t>
      </w:r>
    </w:p>
    <w:p w:rsidR="00C40D80" w:rsidRPr="00D96724" w:rsidP="00C40D80" w14:paraId="290E13ED" w14:textId="0117B73A">
      <w:pPr>
        <w:widowControl/>
      </w:pPr>
    </w:p>
    <w:sectPr w:rsidSect="00D967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40D80" w:rsidRPr="00D96724" w:rsidP="00850B98" w14:paraId="764C17DE" w14:textId="77777777">
    <w:pPr>
      <w:pStyle w:val="EPFooter"/>
    </w:pPr>
    <w:r w:rsidRPr="00D96724">
      <w:t>PE</w:t>
    </w:r>
    <w:r w:rsidRPr="00D96724">
      <w:rPr>
        <w:rStyle w:val="HideTWBExt"/>
      </w:rPr>
      <w:t>&lt;NoPE&gt;</w:t>
    </w:r>
    <w:r w:rsidRPr="00D96724">
      <w:t>785.333</w:t>
    </w:r>
    <w:r w:rsidRPr="00D96724">
      <w:rPr>
        <w:rStyle w:val="HideTWBExt"/>
      </w:rPr>
      <w:t>&lt;/NoPE&gt;&lt;Version&gt;</w:t>
    </w:r>
    <w:r w:rsidRPr="00D96724">
      <w:t>v03-00</w:t>
    </w:r>
    <w:r w:rsidRPr="00D96724">
      <w:rPr>
        <w:rStyle w:val="HideTWBExt"/>
      </w:rPr>
      <w:t>&lt;/Version&gt;</w:t>
    </w:r>
    <w:r w:rsidRPr="00D96724">
      <w:tab/>
    </w:r>
    <w:r w:rsidRPr="00D96724">
      <w:fldChar w:fldCharType="begin"/>
    </w:r>
    <w:r w:rsidRPr="00D96724">
      <w:instrText xml:space="preserve"> PAGE  \* MERGEFORMAT </w:instrText>
    </w:r>
    <w:r w:rsidRPr="00D96724">
      <w:fldChar w:fldCharType="separate"/>
    </w:r>
    <w:r w:rsidRPr="00D96724">
      <w:rPr>
        <w:noProof/>
      </w:rPr>
      <w:t>2</w:t>
    </w:r>
    <w:r w:rsidRPr="00D96724">
      <w:fldChar w:fldCharType="end"/>
    </w:r>
    <w:r w:rsidRPr="00D96724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96724">
      <w:rPr>
        <w:noProof/>
      </w:rPr>
      <w:t>20</w:t>
    </w:r>
    <w:r w:rsidRPr="00D96724">
      <w:rPr>
        <w:noProof/>
      </w:rPr>
      <w:fldChar w:fldCharType="end"/>
    </w:r>
    <w:r w:rsidRPr="00D96724">
      <w:tab/>
    </w:r>
    <w:r w:rsidRPr="00D96724">
      <w:rPr>
        <w:rStyle w:val="HideTWBExt"/>
      </w:rPr>
      <w:t>&lt;PathFdR&gt;</w:t>
    </w:r>
    <w:r w:rsidRPr="00D96724">
      <w:t>RR\1341391HU.docx</w:t>
    </w:r>
    <w:r w:rsidRPr="00D96724">
      <w:rPr>
        <w:rStyle w:val="HideTWBExt"/>
      </w:rPr>
      <w:t>&lt;/PathFdR&gt;</w:t>
    </w:r>
  </w:p>
  <w:p w:rsidR="00C40D80" w:rsidRPr="00D96724" w:rsidP="00850B98" w14:paraId="603C9536" w14:textId="77777777">
    <w:pPr>
      <w:pStyle w:val="EPFooter2"/>
    </w:pPr>
    <w:r w:rsidRPr="00D96724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40D80" w:rsidRPr="00D96724" w:rsidP="00850B98" w14:paraId="2E1BFD26" w14:textId="77777777">
    <w:pPr>
      <w:pStyle w:val="EPFooter"/>
    </w:pPr>
    <w:r w:rsidRPr="00D96724">
      <w:rPr>
        <w:rStyle w:val="HideTWBExt"/>
      </w:rPr>
      <w:t>&lt;PathFdR&gt;</w:t>
    </w:r>
    <w:r w:rsidRPr="00D96724">
      <w:t>RR\1341391HU.docx</w:t>
    </w:r>
    <w:r w:rsidRPr="00D96724">
      <w:rPr>
        <w:rStyle w:val="HideTWBExt"/>
      </w:rPr>
      <w:t>&lt;/PathFdR&gt;</w:t>
    </w:r>
    <w:r w:rsidRPr="00D96724">
      <w:tab/>
    </w:r>
    <w:r w:rsidRPr="00D96724">
      <w:tab/>
      <w:t>PE</w:t>
    </w:r>
    <w:r w:rsidRPr="00D96724">
      <w:rPr>
        <w:rStyle w:val="HideTWBExt"/>
      </w:rPr>
      <w:t>&lt;NoPE&gt;</w:t>
    </w:r>
    <w:r w:rsidRPr="00D96724">
      <w:t>785.333</w:t>
    </w:r>
    <w:r w:rsidRPr="00D96724">
      <w:rPr>
        <w:rStyle w:val="HideTWBExt"/>
      </w:rPr>
      <w:t>&lt;/NoPE&gt;&lt;Version&gt;</w:t>
    </w:r>
    <w:r w:rsidRPr="00D96724">
      <w:t>v03-00</w:t>
    </w:r>
    <w:r w:rsidRPr="00D96724">
      <w:rPr>
        <w:rStyle w:val="HideTWBExt"/>
      </w:rPr>
      <w:t>&lt;/Version&gt;</w:t>
    </w:r>
  </w:p>
  <w:p w:rsidR="00C40D80" w:rsidRPr="00D96724" w:rsidP="00850B98" w14:paraId="02CB7852" w14:textId="77777777">
    <w:pPr>
      <w:pStyle w:val="EPFooter2"/>
    </w:pPr>
    <w:r w:rsidRPr="00D96724">
      <w:t>HU</w:t>
    </w:r>
    <w:r w:rsidRPr="00D96724">
      <w:tab/>
    </w:r>
    <w:r w:rsidRPr="00D96724">
      <w:rPr>
        <w:b w:val="0"/>
        <w:i/>
        <w:color w:val="C0C0C0"/>
        <w:sz w:val="22"/>
      </w:rPr>
      <w:t>Egyesülve a sokféleségben</w:t>
    </w:r>
    <w:r w:rsidRPr="00D96724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6724" w14:paraId="398429C7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6724" w14:paraId="1DD67D0C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6724" w14:paraId="222972F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73A20" w:rsidRPr="00D96724" w14:paraId="2BFA3FA4" w14:textId="77777777">
      <w:r w:rsidRPr="00D96724">
        <w:separator/>
      </w:r>
    </w:p>
  </w:footnote>
  <w:footnote w:type="continuationSeparator" w:id="1">
    <w:p w:rsidR="00773A20" w:rsidRPr="00D96724" w14:paraId="4ED0AB51" w14:textId="77777777">
      <w:r w:rsidRPr="00D96724">
        <w:continuationSeparator/>
      </w:r>
    </w:p>
  </w:footnote>
  <w:footnote w:id="2">
    <w:p w:rsidR="00C40D80" w:rsidRPr="00D96724" w:rsidP="00D96724" w14:paraId="7360027E" w14:textId="203B73B8">
      <w:pPr>
        <w:pStyle w:val="FootnoteText"/>
        <w:ind w:left="567" w:hanging="567"/>
        <w:rPr>
          <w:sz w:val="24"/>
          <w:lang w:val="hu-HU"/>
        </w:rPr>
      </w:pPr>
      <w:r w:rsidRPr="00D96724">
        <w:rPr>
          <w:rStyle w:val="FootnoteReference"/>
          <w:sz w:val="24"/>
          <w:lang w:val="hu-HU"/>
        </w:rPr>
        <w:footnoteRef/>
      </w:r>
      <w:r w:rsidRPr="00D96724" w:rsidR="00D96724">
        <w:rPr>
          <w:sz w:val="24"/>
          <w:lang w:val="hu-HU"/>
        </w:rPr>
        <w:t xml:space="preserve"> </w:t>
      </w:r>
      <w:r w:rsidRPr="00D96724" w:rsidR="00D96724">
        <w:rPr>
          <w:sz w:val="24"/>
          <w:lang w:val="hu-HU"/>
        </w:rPr>
        <w:tab/>
      </w:r>
      <w:r w:rsidRPr="00D96724">
        <w:rPr>
          <w:sz w:val="24"/>
          <w:lang w:val="hu-HU"/>
        </w:rPr>
        <w:t xml:space="preserve">HL L 153., 2021.5.3., 48. o., ELI: </w:t>
      </w:r>
      <w:hyperlink r:id="rId1" w:history="1">
        <w:r w:rsidRPr="00D96724">
          <w:rPr>
            <w:rStyle w:val="Hyperlink"/>
            <w:sz w:val="24"/>
            <w:lang w:val="hu-HU"/>
          </w:rPr>
          <w:t>http://data.europa.eu/eli/reg/2021/691/oj</w:t>
        </w:r>
      </w:hyperlink>
      <w:r w:rsidRPr="00D96724">
        <w:rPr>
          <w:sz w:val="24"/>
          <w:lang w:val="hu-HU"/>
        </w:rPr>
        <w:t>.</w:t>
      </w:r>
    </w:p>
  </w:footnote>
  <w:footnote w:id="3">
    <w:p w:rsidR="00C40D80" w:rsidRPr="00D96724" w:rsidP="00D96724" w14:paraId="454C7F21" w14:textId="0EEC7EDC">
      <w:pPr>
        <w:pStyle w:val="FootnoteText"/>
        <w:ind w:left="567" w:hanging="567"/>
        <w:rPr>
          <w:sz w:val="24"/>
          <w:lang w:val="hu-HU"/>
        </w:rPr>
      </w:pPr>
      <w:r w:rsidRPr="00D96724">
        <w:rPr>
          <w:rStyle w:val="FootnoteReference"/>
          <w:sz w:val="24"/>
          <w:lang w:val="hu-HU"/>
        </w:rPr>
        <w:footnoteRef/>
      </w:r>
      <w:r w:rsidRPr="00D96724" w:rsidR="00D96724">
        <w:rPr>
          <w:sz w:val="24"/>
          <w:shd w:val="clear" w:color="auto" w:fill="FFFFFF"/>
          <w:lang w:val="hu-HU"/>
        </w:rPr>
        <w:t xml:space="preserve"> </w:t>
      </w:r>
      <w:r w:rsidRPr="00D96724" w:rsidR="00D96724">
        <w:rPr>
          <w:sz w:val="24"/>
          <w:shd w:val="clear" w:color="auto" w:fill="FFFFFF"/>
          <w:lang w:val="hu-HU"/>
        </w:rPr>
        <w:tab/>
      </w:r>
      <w:r w:rsidRPr="00D96724">
        <w:rPr>
          <w:sz w:val="24"/>
          <w:shd w:val="clear" w:color="auto" w:fill="FFFFFF"/>
          <w:lang w:val="hu-HU"/>
        </w:rPr>
        <w:t>A Tanács (EU, Euratom) 2024/765 rendelete (2024. február 29.) a 2021–2027-es időszakra vonatkozó többéves pénzügyi keretről szóló (EU, Euratom) 2020/2093 rendelet módosításáról (HL L, 2024/765, 2024.2.29., ELI:</w:t>
      </w:r>
      <w:r w:rsidRPr="00D96724">
        <w:rPr>
          <w:color w:val="333333"/>
          <w:sz w:val="24"/>
          <w:shd w:val="clear" w:color="auto" w:fill="FFFFFF"/>
          <w:lang w:val="hu-HU"/>
        </w:rPr>
        <w:t xml:space="preserve"> </w:t>
      </w:r>
      <w:hyperlink r:id="rId2" w:history="1">
        <w:r w:rsidRPr="00D96724">
          <w:rPr>
            <w:rStyle w:val="Hyperlink"/>
            <w:sz w:val="24"/>
            <w:shd w:val="clear" w:color="auto" w:fill="FFFFFF"/>
            <w:lang w:val="hu-HU"/>
          </w:rPr>
          <w:t>http://data.europa.eu/eli/reg/2024/765/oj</w:t>
        </w:r>
      </w:hyperlink>
      <w:r w:rsidRPr="00D96724">
        <w:rPr>
          <w:i/>
          <w:color w:val="333333"/>
          <w:sz w:val="24"/>
          <w:shd w:val="clear" w:color="auto" w:fill="FFFFFF"/>
          <w:lang w:val="hu-HU"/>
        </w:rPr>
        <w:t>).</w:t>
      </w:r>
    </w:p>
  </w:footnote>
  <w:footnote w:id="4">
    <w:p w:rsidR="00C40D80" w:rsidRPr="00D96724" w:rsidP="00D96724" w14:paraId="22B5E96F" w14:textId="724A583F">
      <w:pPr>
        <w:pStyle w:val="FootnoteText"/>
        <w:ind w:left="567" w:hanging="567"/>
        <w:rPr>
          <w:sz w:val="24"/>
          <w:lang w:val="hu-HU"/>
        </w:rPr>
      </w:pPr>
      <w:r w:rsidRPr="00D96724">
        <w:rPr>
          <w:rStyle w:val="FootnoteReference"/>
          <w:sz w:val="24"/>
          <w:lang w:val="hu-HU"/>
        </w:rPr>
        <w:footnoteRef/>
      </w:r>
      <w:r w:rsidRPr="00D96724" w:rsidR="00D96724">
        <w:rPr>
          <w:sz w:val="24"/>
          <w:lang w:val="hu-HU"/>
        </w:rPr>
        <w:t xml:space="preserve"> </w:t>
      </w:r>
      <w:r w:rsidRPr="00D96724" w:rsidR="00D96724">
        <w:rPr>
          <w:sz w:val="24"/>
          <w:lang w:val="hu-HU"/>
        </w:rPr>
        <w:tab/>
      </w:r>
      <w:r w:rsidRPr="00D96724">
        <w:rPr>
          <w:sz w:val="24"/>
          <w:lang w:val="hu-HU"/>
        </w:rPr>
        <w:t>HL L 433</w:t>
      </w:r>
      <w:r w:rsidR="00A44836">
        <w:rPr>
          <w:sz w:val="24"/>
          <w:lang w:val="hu-HU"/>
        </w:rPr>
        <w:t xml:space="preserve"> I</w:t>
      </w:r>
      <w:r w:rsidRPr="00D96724">
        <w:rPr>
          <w:sz w:val="24"/>
          <w:lang w:val="hu-HU"/>
        </w:rPr>
        <w:t xml:space="preserve">, 2020.12.22., 11. o., ELI: </w:t>
      </w:r>
      <w:hyperlink r:id="rId3" w:history="1">
        <w:r w:rsidRPr="00D96724">
          <w:rPr>
            <w:rStyle w:val="Hyperlink"/>
            <w:sz w:val="24"/>
            <w:lang w:val="hu-HU"/>
          </w:rPr>
          <w:t>http://data.europa.eu/eli/reg/2020/2093/oj</w:t>
        </w:r>
      </w:hyperlink>
      <w:r w:rsidRPr="00D96724">
        <w:rPr>
          <w:sz w:val="24"/>
          <w:lang w:val="hu-HU"/>
        </w:rPr>
        <w:t>.</w:t>
      </w:r>
    </w:p>
  </w:footnote>
  <w:footnote w:id="5">
    <w:p w:rsidR="00C40D80" w:rsidRPr="00D96724" w:rsidP="00D96724" w14:paraId="37C91600" w14:textId="2DF6DB5D">
      <w:pPr>
        <w:pStyle w:val="FootnoteText"/>
        <w:ind w:left="567" w:hanging="567"/>
        <w:rPr>
          <w:sz w:val="24"/>
          <w:lang w:val="hu-HU"/>
        </w:rPr>
      </w:pPr>
      <w:r w:rsidRPr="00D96724">
        <w:rPr>
          <w:rStyle w:val="FootnoteReference"/>
          <w:sz w:val="24"/>
          <w:lang w:val="hu-HU"/>
        </w:rPr>
        <w:footnoteRef/>
      </w:r>
      <w:r w:rsidRPr="00D96724" w:rsidR="00D96724">
        <w:rPr>
          <w:sz w:val="24"/>
          <w:lang w:val="hu-HU"/>
        </w:rPr>
        <w:t xml:space="preserve"> </w:t>
      </w:r>
      <w:r w:rsidRPr="00D96724" w:rsidR="00D96724">
        <w:rPr>
          <w:sz w:val="24"/>
          <w:lang w:val="hu-HU"/>
        </w:rPr>
        <w:tab/>
      </w:r>
      <w:r w:rsidRPr="00D96724">
        <w:rPr>
          <w:sz w:val="24"/>
          <w:lang w:val="hu-HU"/>
        </w:rPr>
        <w:t xml:space="preserve">HL L 433 I, 2020.12.22., 28. o., ELI: </w:t>
      </w:r>
      <w:hyperlink r:id="rId4" w:history="1">
        <w:r w:rsidRPr="00D96724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Pr="00D96724">
        <w:rPr>
          <w:sz w:val="24"/>
          <w:lang w:val="hu-HU"/>
        </w:rPr>
        <w:t>.</w:t>
      </w:r>
    </w:p>
  </w:footnote>
  <w:footnote w:id="6">
    <w:p w:rsidR="00C40D80" w:rsidRPr="00D96724" w:rsidP="00D96724" w14:paraId="385DCD33" w14:textId="6480031D">
      <w:pPr>
        <w:pStyle w:val="FootnoteText"/>
        <w:ind w:left="567" w:hanging="567"/>
        <w:rPr>
          <w:sz w:val="24"/>
          <w:lang w:val="hu-HU"/>
        </w:rPr>
      </w:pPr>
      <w:r w:rsidRPr="00D96724">
        <w:rPr>
          <w:rStyle w:val="FootnoteReference"/>
          <w:sz w:val="24"/>
          <w:lang w:val="hu-HU"/>
        </w:rPr>
        <w:footnoteRef/>
      </w:r>
      <w:r w:rsidRPr="00D96724" w:rsidR="00D96724">
        <w:rPr>
          <w:sz w:val="24"/>
          <w:lang w:val="hu-HU"/>
        </w:rPr>
        <w:t xml:space="preserve"> </w:t>
      </w:r>
      <w:r w:rsidRPr="00D96724" w:rsidR="00D96724">
        <w:rPr>
          <w:sz w:val="24"/>
          <w:lang w:val="hu-HU"/>
        </w:rPr>
        <w:tab/>
      </w:r>
      <w:r w:rsidRPr="00D96724">
        <w:rPr>
          <w:sz w:val="24"/>
          <w:lang w:val="hu-HU"/>
        </w:rPr>
        <w:t>Az EGAA-rendelet 3. cikke értelmében.</w:t>
      </w:r>
    </w:p>
  </w:footnote>
  <w:footnote w:id="7">
    <w:p w:rsidR="00C40D80" w:rsidRPr="00D96724" w:rsidP="00D96724" w14:paraId="0195F725" w14:textId="2A50E211">
      <w:pPr>
        <w:pStyle w:val="FootnoteText"/>
        <w:ind w:left="567" w:hanging="567"/>
        <w:rPr>
          <w:sz w:val="24"/>
          <w:lang w:val="hu-HU"/>
        </w:rPr>
      </w:pPr>
      <w:r w:rsidRPr="00D96724">
        <w:rPr>
          <w:rStyle w:val="FootnoteReference"/>
          <w:sz w:val="24"/>
          <w:lang w:val="hu-HU"/>
        </w:rPr>
        <w:footnoteRef/>
      </w:r>
      <w:r w:rsidRPr="00D96724" w:rsidR="00D96724">
        <w:rPr>
          <w:sz w:val="24"/>
          <w:lang w:val="hu-HU"/>
        </w:rPr>
        <w:t xml:space="preserve"> </w:t>
      </w:r>
      <w:r w:rsidRPr="00D96724" w:rsidR="00D96724">
        <w:rPr>
          <w:sz w:val="24"/>
          <w:lang w:val="hu-HU"/>
        </w:rPr>
        <w:tab/>
      </w:r>
      <w:r w:rsidRPr="00D96724">
        <w:rPr>
          <w:sz w:val="24"/>
          <w:lang w:val="hu-HU"/>
        </w:rPr>
        <w:t>A többéves pénzügyi keretről szóló rendelet 8. cikke.</w:t>
      </w:r>
    </w:p>
  </w:footnote>
  <w:footnote w:id="8">
    <w:p w:rsidR="00C40D80" w:rsidRPr="00D96724" w:rsidP="00D96724" w14:paraId="71370335" w14:textId="0FD25110">
      <w:pPr>
        <w:pStyle w:val="FootnoteText"/>
        <w:ind w:left="567" w:hanging="567"/>
        <w:rPr>
          <w:sz w:val="24"/>
          <w:lang w:val="hu-HU"/>
        </w:rPr>
      </w:pPr>
      <w:r w:rsidRPr="00D96724">
        <w:rPr>
          <w:rStyle w:val="FootnoteReference"/>
          <w:sz w:val="24"/>
          <w:lang w:val="hu-HU"/>
        </w:rPr>
        <w:footnoteRef/>
      </w:r>
      <w:r w:rsidRPr="00D96724" w:rsidR="00D96724">
        <w:rPr>
          <w:sz w:val="24"/>
          <w:lang w:val="hu-HU"/>
        </w:rPr>
        <w:t xml:space="preserve"> </w:t>
      </w:r>
      <w:r w:rsidRPr="00D96724" w:rsidR="00D96724">
        <w:rPr>
          <w:sz w:val="24"/>
          <w:lang w:val="hu-HU"/>
        </w:rPr>
        <w:tab/>
      </w:r>
      <w:r w:rsidRPr="00C23365" w:rsidR="00597A10">
        <w:rPr>
          <w:lang w:val="hu-HU"/>
        </w:rPr>
        <w:t>Belga Nemzeti Bank 2024. évi gazdasági áttekintés</w:t>
      </w:r>
      <w:r w:rsidRPr="00D96724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6724" w14:paraId="509B809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6724" w14:paraId="450E4DF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96724" w14:paraId="244385A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8712550">
    <w:abstractNumId w:val="9"/>
  </w:num>
  <w:num w:numId="2" w16cid:durableId="1418748429">
    <w:abstractNumId w:val="9"/>
  </w:num>
  <w:num w:numId="3" w16cid:durableId="1193416737">
    <w:abstractNumId w:val="7"/>
  </w:num>
  <w:num w:numId="4" w16cid:durableId="721751424">
    <w:abstractNumId w:val="7"/>
  </w:num>
  <w:num w:numId="5" w16cid:durableId="785082779">
    <w:abstractNumId w:val="6"/>
  </w:num>
  <w:num w:numId="6" w16cid:durableId="1498032095">
    <w:abstractNumId w:val="6"/>
  </w:num>
  <w:num w:numId="7" w16cid:durableId="1536238124">
    <w:abstractNumId w:val="5"/>
  </w:num>
  <w:num w:numId="8" w16cid:durableId="1017849778">
    <w:abstractNumId w:val="5"/>
  </w:num>
  <w:num w:numId="9" w16cid:durableId="1679893424">
    <w:abstractNumId w:val="4"/>
  </w:num>
  <w:num w:numId="10" w16cid:durableId="1695956421">
    <w:abstractNumId w:val="4"/>
  </w:num>
  <w:num w:numId="11" w16cid:durableId="1780489632">
    <w:abstractNumId w:val="8"/>
  </w:num>
  <w:num w:numId="12" w16cid:durableId="1772125765">
    <w:abstractNumId w:val="8"/>
  </w:num>
  <w:num w:numId="13" w16cid:durableId="1342202009">
    <w:abstractNumId w:val="3"/>
  </w:num>
  <w:num w:numId="14" w16cid:durableId="1472550824">
    <w:abstractNumId w:val="3"/>
  </w:num>
  <w:num w:numId="15" w16cid:durableId="2073968511">
    <w:abstractNumId w:val="2"/>
  </w:num>
  <w:num w:numId="16" w16cid:durableId="137185005">
    <w:abstractNumId w:val="2"/>
  </w:num>
  <w:num w:numId="17" w16cid:durableId="722143490">
    <w:abstractNumId w:val="1"/>
  </w:num>
  <w:num w:numId="18" w16cid:durableId="1845389830">
    <w:abstractNumId w:val="1"/>
  </w:num>
  <w:num w:numId="19" w16cid:durableId="2129928396">
    <w:abstractNumId w:val="0"/>
  </w:num>
  <w:num w:numId="20" w16cid:durableId="1316496393">
    <w:abstractNumId w:val="0"/>
  </w:num>
  <w:num w:numId="21" w16cid:durableId="1797799250">
    <w:abstractNumId w:val="9"/>
  </w:num>
  <w:num w:numId="22" w16cid:durableId="1489126781">
    <w:abstractNumId w:val="7"/>
  </w:num>
  <w:num w:numId="23" w16cid:durableId="928275306">
    <w:abstractNumId w:val="6"/>
  </w:num>
  <w:num w:numId="24" w16cid:durableId="766735478">
    <w:abstractNumId w:val="5"/>
  </w:num>
  <w:num w:numId="25" w16cid:durableId="1507985479">
    <w:abstractNumId w:val="4"/>
  </w:num>
  <w:num w:numId="26" w16cid:durableId="1709062892">
    <w:abstractNumId w:val="8"/>
  </w:num>
  <w:num w:numId="27" w16cid:durableId="18505370">
    <w:abstractNumId w:val="3"/>
  </w:num>
  <w:num w:numId="28" w16cid:durableId="901135711">
    <w:abstractNumId w:val="2"/>
  </w:num>
  <w:num w:numId="29" w16cid:durableId="149759582">
    <w:abstractNumId w:val="1"/>
  </w:num>
  <w:num w:numId="30" w16cid:durableId="87426916">
    <w:abstractNumId w:val="0"/>
  </w:num>
  <w:num w:numId="31" w16cid:durableId="320816788">
    <w:abstractNumId w:val="9"/>
  </w:num>
  <w:num w:numId="32" w16cid:durableId="73088521">
    <w:abstractNumId w:val="7"/>
  </w:num>
  <w:num w:numId="33" w16cid:durableId="319969797">
    <w:abstractNumId w:val="6"/>
  </w:num>
  <w:num w:numId="34" w16cid:durableId="945036952">
    <w:abstractNumId w:val="5"/>
  </w:num>
  <w:num w:numId="35" w16cid:durableId="715737228">
    <w:abstractNumId w:val="4"/>
  </w:num>
  <w:num w:numId="36" w16cid:durableId="209652514">
    <w:abstractNumId w:val="8"/>
  </w:num>
  <w:num w:numId="37" w16cid:durableId="1089354991">
    <w:abstractNumId w:val="3"/>
  </w:num>
  <w:num w:numId="38" w16cid:durableId="1570537140">
    <w:abstractNumId w:val="2"/>
  </w:num>
  <w:num w:numId="39" w16cid:durableId="1167863145">
    <w:abstractNumId w:val="1"/>
  </w:num>
  <w:num w:numId="40" w16cid:durableId="1973052664">
    <w:abstractNumId w:val="0"/>
  </w:num>
  <w:num w:numId="41" w16cid:durableId="573319756">
    <w:abstractNumId w:val="10"/>
  </w:num>
  <w:num w:numId="42" w16cid:durableId="2073384675">
    <w:abstractNumId w:val="10"/>
  </w:num>
  <w:num w:numId="43" w16cid:durableId="2091274100">
    <w:abstractNumId w:val="10"/>
  </w:num>
  <w:num w:numId="44" w16cid:durableId="995299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642"/>
    <w:rsid w:val="001F32AE"/>
    <w:rsid w:val="00212995"/>
    <w:rsid w:val="0021318C"/>
    <w:rsid w:val="002767FF"/>
    <w:rsid w:val="002B18FE"/>
    <w:rsid w:val="002B5493"/>
    <w:rsid w:val="002C1E8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A10"/>
    <w:rsid w:val="005B5CA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A20"/>
    <w:rsid w:val="00786EC0"/>
    <w:rsid w:val="007D1690"/>
    <w:rsid w:val="007E22AD"/>
    <w:rsid w:val="00817416"/>
    <w:rsid w:val="00842779"/>
    <w:rsid w:val="00850B9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FCE"/>
    <w:rsid w:val="00A1687D"/>
    <w:rsid w:val="00A43E52"/>
    <w:rsid w:val="00A44836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365"/>
    <w:rsid w:val="00C23CD4"/>
    <w:rsid w:val="00C40D80"/>
    <w:rsid w:val="00C61C0C"/>
    <w:rsid w:val="00C941CB"/>
    <w:rsid w:val="00CC2357"/>
    <w:rsid w:val="00CD2313"/>
    <w:rsid w:val="00CF071A"/>
    <w:rsid w:val="00D058B8"/>
    <w:rsid w:val="00D56C11"/>
    <w:rsid w:val="00D834A0"/>
    <w:rsid w:val="00D872DF"/>
    <w:rsid w:val="00D91E21"/>
    <w:rsid w:val="00D96724"/>
    <w:rsid w:val="00DA7FCD"/>
    <w:rsid w:val="00E365E1"/>
    <w:rsid w:val="00E820A4"/>
    <w:rsid w:val="00EA459F"/>
    <w:rsid w:val="00EB006A"/>
    <w:rsid w:val="00EB4772"/>
    <w:rsid w:val="00ED169E"/>
    <w:rsid w:val="00ED4235"/>
    <w:rsid w:val="00F04346"/>
    <w:rsid w:val="00F075DC"/>
    <w:rsid w:val="00F149E9"/>
    <w:rsid w:val="00F4282D"/>
    <w:rsid w:val="00F5134D"/>
    <w:rsid w:val="00F74202"/>
    <w:rsid w:val="00F87713"/>
    <w:rsid w:val="00FB4360"/>
    <w:rsid w:val="00FD0C70"/>
  </w:rsids>
  <w:docVars>
    <w:docVar w:name="dvdocse" w:val="A10-0084/2026"/>
    <w:docVar w:name="dvlangue" w:val="HU"/>
    <w:docVar w:name="dvnumam" w:val="0"/>
    <w:docVar w:name="dvpe" w:val="785.333"/>
    <w:docVar w:name="dvrapporteur" w:val="Előadó: "/>
    <w:docVar w:name="dvtitre" w:val="Az Európai Parlament 2026.  ...-i állásfoglalása az elbocsátott munkavállalók támogatását szolgáló Európai Globalizációs Alkalmazkodási Alapnak Belgium EGF/2025/008 BE/Liberty referenciaszámú kérelme nyomán történő igénybevételéről szóló európai parlamenti és tanácsi határozatra irányuló javaslatról(COM(2026)0004 – C10-0062/2026 – 2026/0066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57BFD8"/>
  <w15:chartTrackingRefBased/>
  <w15:docId w15:val="{3356CEF1-BC4A-402B-AFBB-F3A596A1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40D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C40D8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40D8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40D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40D80"/>
    <w:rPr>
      <w:sz w:val="24"/>
      <w:lang w:val="hu-HU"/>
    </w:rPr>
  </w:style>
  <w:style w:type="paragraph" w:customStyle="1" w:styleId="EPFooter">
    <w:name w:val="EPFooter"/>
    <w:basedOn w:val="Normal"/>
    <w:rsid w:val="00C40D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40D80"/>
    <w:pPr>
      <w:spacing w:before="480" w:after="240"/>
    </w:pPr>
  </w:style>
  <w:style w:type="character" w:styleId="Hyperlink">
    <w:name w:val="Hyperlink"/>
    <w:basedOn w:val="DefaultParagraphFont"/>
    <w:rsid w:val="00C40D8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40D80"/>
    <w:rPr>
      <w:sz w:val="24"/>
      <w:lang w:val="hu-HU"/>
    </w:rPr>
  </w:style>
  <w:style w:type="paragraph" w:customStyle="1" w:styleId="Institutionquisigne">
    <w:name w:val="Institution qui signe"/>
    <w:basedOn w:val="Normal"/>
    <w:next w:val="Personnequisigne"/>
    <w:rsid w:val="00C40D8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40D8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40D8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40D8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40D8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40D8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C40D80"/>
    <w:rPr>
      <w:rFonts w:ascii="Arial" w:hAnsi="Arial" w:cs="Arial"/>
      <w:b/>
      <w:sz w:val="24"/>
      <w:lang w:val="hu-HU"/>
    </w:rPr>
  </w:style>
  <w:style w:type="paragraph" w:customStyle="1" w:styleId="Lignefinal">
    <w:name w:val="Ligne final"/>
    <w:basedOn w:val="Normal"/>
    <w:next w:val="Normal"/>
    <w:rsid w:val="00C40D8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hu-HU" w:bidi="hu-HU"/>
    </w:rPr>
  </w:style>
  <w:style w:type="paragraph" w:styleId="Footer">
    <w:name w:val="footer"/>
    <w:basedOn w:val="Normal"/>
    <w:link w:val="FooterChar"/>
    <w:rsid w:val="00597A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97A10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597A1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7A10"/>
    <w:rPr>
      <w:sz w:val="24"/>
      <w:lang w:val="hu-HU"/>
    </w:rPr>
  </w:style>
  <w:style w:type="character" w:styleId="CommentReference">
    <w:name w:val="annotation reference"/>
    <w:basedOn w:val="DefaultParagraphFont"/>
    <w:rsid w:val="001976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76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7642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197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7642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691/oj" TargetMode="External" /><Relationship Id="rId2" Type="http://schemas.openxmlformats.org/officeDocument/2006/relationships/hyperlink" Target="http://data.europa.eu/eli/reg/2024/765/oj" TargetMode="External" /><Relationship Id="rId3" Type="http://schemas.openxmlformats.org/officeDocument/2006/relationships/hyperlink" Target="http://data.europa.eu/eli/reg/2020/2093/oj" TargetMode="External" /><Relationship Id="rId4" Type="http://schemas.openxmlformats.org/officeDocument/2006/relationships/hyperlink" Target="http://data.europa.eu/eli/agree_interinstit/2020/122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1941</Words>
  <Characters>11065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2026-07-06T09:31:00Z</dcterms:created>
  <dcterms:modified xsi:type="dcterms:W3CDTF">2026-09-30T10:52:00Z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P10_TA(2026)0145_</vt:lpwstr>
  </property>
  <property fmtid="{D5CDD505-2E9C-101B-9397-08002B2CF9AE}" pid="4" name="&lt;Type&gt;">
    <vt:lpwstr>RR</vt:lpwstr>
  </property>
</Properties>
</file>