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2B8F" w14:paraId="338BBBDF" w14:textId="77777777" w:rsidTr="0010095E">
        <w:trPr>
          <w:trHeight w:hRule="exact" w:val="1418"/>
        </w:trPr>
        <w:tc>
          <w:tcPr>
            <w:tcW w:w="6804" w:type="dxa"/>
            <w:shd w:val="clear" w:color="auto" w:fill="auto"/>
            <w:vAlign w:val="center"/>
          </w:tcPr>
          <w:p w14:paraId="5724DB2C" w14:textId="362924AC" w:rsidR="00751A4A" w:rsidRPr="00D32B8F" w:rsidRDefault="00CF599D" w:rsidP="0010095E">
            <w:pPr>
              <w:pStyle w:val="EPName"/>
            </w:pPr>
            <w:r w:rsidRPr="00D32B8F">
              <w:t>Europos Parlamentas</w:t>
            </w:r>
          </w:p>
          <w:p w14:paraId="3BF90099" w14:textId="77777777" w:rsidR="00751A4A" w:rsidRPr="00D32B8F" w:rsidRDefault="005F1B17" w:rsidP="005F1B17">
            <w:pPr>
              <w:pStyle w:val="EPTerm"/>
              <w:rPr>
                <w:rStyle w:val="HideTWBExt"/>
                <w:noProof w:val="0"/>
                <w:vanish w:val="0"/>
                <w:color w:val="auto"/>
              </w:rPr>
            </w:pPr>
            <w:r w:rsidRPr="00D32B8F">
              <w:t>2024</w:t>
            </w:r>
            <w:r w:rsidR="00817416" w:rsidRPr="00D32B8F">
              <w:t>-202</w:t>
            </w:r>
            <w:r w:rsidRPr="00D32B8F">
              <w:t>9</w:t>
            </w:r>
          </w:p>
        </w:tc>
        <w:tc>
          <w:tcPr>
            <w:tcW w:w="2268" w:type="dxa"/>
            <w:shd w:val="clear" w:color="auto" w:fill="auto"/>
          </w:tcPr>
          <w:p w14:paraId="5A98D0B6" w14:textId="77777777" w:rsidR="00751A4A" w:rsidRPr="00D32B8F" w:rsidRDefault="00187494" w:rsidP="0010095E">
            <w:pPr>
              <w:pStyle w:val="EPLogo"/>
            </w:pPr>
            <w:r w:rsidRPr="00D32B8F">
              <w:rPr>
                <w:noProof/>
                <w:lang w:eastAsia="ja-JP"/>
              </w:rPr>
              <w:drawing>
                <wp:inline distT="0" distB="0" distL="0" distR="0" wp14:anchorId="0C3B6CB0" wp14:editId="5EC54B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B3271E" w14:textId="77777777" w:rsidR="00D058B8" w:rsidRPr="00D32B8F" w:rsidRDefault="00D058B8" w:rsidP="004C5D52">
      <w:pPr>
        <w:pStyle w:val="LineTop"/>
      </w:pPr>
    </w:p>
    <w:p w14:paraId="7DF059D9" w14:textId="7504EE5B" w:rsidR="00680577" w:rsidRPr="00D32B8F" w:rsidRDefault="00CF599D" w:rsidP="00680577">
      <w:pPr>
        <w:pStyle w:val="EPBodyTA1"/>
      </w:pPr>
      <w:r w:rsidRPr="00D32B8F">
        <w:t>PRIIMTI TEKSTAI</w:t>
      </w:r>
    </w:p>
    <w:p w14:paraId="08B3E3A1" w14:textId="77777777" w:rsidR="00D058B8" w:rsidRPr="00D32B8F" w:rsidRDefault="00D058B8" w:rsidP="00D058B8">
      <w:pPr>
        <w:pStyle w:val="LineBottom"/>
      </w:pPr>
    </w:p>
    <w:p w14:paraId="6E5044F9" w14:textId="7CF56AEC" w:rsidR="00CF599D" w:rsidRPr="00D32B8F" w:rsidRDefault="00CF599D" w:rsidP="00CF599D">
      <w:pPr>
        <w:pStyle w:val="ATHeading1"/>
      </w:pPr>
      <w:bookmarkStart w:id="0" w:name="TANumber"/>
      <w:r w:rsidRPr="00D32B8F">
        <w:t>P10_TA(2026)0</w:t>
      </w:r>
      <w:r w:rsidR="00863CC5">
        <w:t>145</w:t>
      </w:r>
      <w:bookmarkEnd w:id="0"/>
    </w:p>
    <w:p w14:paraId="477A8B4F" w14:textId="77777777" w:rsidR="00CF599D" w:rsidRPr="00D32B8F" w:rsidRDefault="00CF599D" w:rsidP="00CF599D">
      <w:pPr>
        <w:pStyle w:val="ATHeading2"/>
      </w:pPr>
      <w:bookmarkStart w:id="1" w:name="title"/>
      <w:r w:rsidRPr="00D32B8F">
        <w:t>Europos prisitaikymo prie globalizacijos padarinių fondo atleistiems darbuotojams lėšų mobilizavimas pagal Belgijos paraišką EGF/2025/008 BE/</w:t>
      </w:r>
      <w:proofErr w:type="spellStart"/>
      <w:r w:rsidRPr="00D32B8F">
        <w:t>Liberty</w:t>
      </w:r>
      <w:bookmarkEnd w:id="1"/>
      <w:proofErr w:type="spellEnd"/>
    </w:p>
    <w:p w14:paraId="667F3323" w14:textId="77777777" w:rsidR="00CF599D" w:rsidRPr="00D32B8F" w:rsidRDefault="00CF599D" w:rsidP="00CF599D">
      <w:pPr>
        <w:rPr>
          <w:i/>
          <w:vanish/>
        </w:rPr>
      </w:pPr>
      <w:r w:rsidRPr="00D32B8F">
        <w:rPr>
          <w:i/>
        </w:rPr>
        <w:fldChar w:fldCharType="begin"/>
      </w:r>
      <w:r w:rsidRPr="00D32B8F">
        <w:rPr>
          <w:i/>
        </w:rPr>
        <w:instrText xml:space="preserve"> TC"(</w:instrText>
      </w:r>
      <w:bookmarkStart w:id="2" w:name="DocNumber"/>
      <w:r w:rsidRPr="00D32B8F">
        <w:rPr>
          <w:i/>
        </w:rPr>
        <w:instrText>A10-0084/2026</w:instrText>
      </w:r>
      <w:bookmarkEnd w:id="2"/>
      <w:r w:rsidRPr="00D32B8F">
        <w:rPr>
          <w:i/>
        </w:rPr>
        <w:instrText xml:space="preserve"> - Pranešėjas: </w:instrText>
      </w:r>
      <w:proofErr w:type="spellStart"/>
      <w:r w:rsidRPr="00D32B8F">
        <w:rPr>
          <w:i/>
        </w:rPr>
        <w:instrText>Matthias</w:instrText>
      </w:r>
      <w:proofErr w:type="spellEnd"/>
      <w:r w:rsidRPr="00D32B8F">
        <w:rPr>
          <w:i/>
        </w:rPr>
        <w:instrText xml:space="preserve"> </w:instrText>
      </w:r>
      <w:proofErr w:type="spellStart"/>
      <w:r w:rsidRPr="00D32B8F">
        <w:rPr>
          <w:i/>
        </w:rPr>
        <w:instrText>Ecke</w:instrText>
      </w:r>
      <w:proofErr w:type="spellEnd"/>
      <w:r w:rsidRPr="00D32B8F">
        <w:rPr>
          <w:i/>
        </w:rPr>
        <w:instrText xml:space="preserve">)"\l3 \n&gt; \* MERGEFORMAT </w:instrText>
      </w:r>
      <w:r w:rsidRPr="00D32B8F">
        <w:rPr>
          <w:i/>
        </w:rPr>
        <w:fldChar w:fldCharType="end"/>
      </w:r>
    </w:p>
    <w:p w14:paraId="7D578C26" w14:textId="77777777" w:rsidR="00CF599D" w:rsidRPr="00D32B8F" w:rsidRDefault="00CF599D" w:rsidP="00CF599D">
      <w:pPr>
        <w:rPr>
          <w:vanish/>
        </w:rPr>
      </w:pPr>
      <w:bookmarkStart w:id="3" w:name="Commission"/>
      <w:r w:rsidRPr="00D32B8F">
        <w:rPr>
          <w:vanish/>
        </w:rPr>
        <w:t>Biudžeto komitetas</w:t>
      </w:r>
      <w:bookmarkEnd w:id="3"/>
    </w:p>
    <w:p w14:paraId="2241CF17" w14:textId="77777777" w:rsidR="00CF599D" w:rsidRPr="00D32B8F" w:rsidRDefault="00CF599D" w:rsidP="00CF599D">
      <w:pPr>
        <w:rPr>
          <w:vanish/>
        </w:rPr>
      </w:pPr>
      <w:bookmarkStart w:id="4" w:name="PE"/>
      <w:r w:rsidRPr="00D32B8F">
        <w:rPr>
          <w:vanish/>
        </w:rPr>
        <w:t>PE785.333</w:t>
      </w:r>
      <w:bookmarkEnd w:id="4"/>
    </w:p>
    <w:p w14:paraId="44ACE305" w14:textId="386F733C" w:rsidR="00CF599D" w:rsidRPr="00D32B8F" w:rsidRDefault="00CF599D" w:rsidP="00CF599D">
      <w:pPr>
        <w:pStyle w:val="ATHeading3"/>
      </w:pPr>
      <w:bookmarkStart w:id="5" w:name="Sujet"/>
      <w:r w:rsidRPr="00D32B8F">
        <w:t xml:space="preserve">2026 m. </w:t>
      </w:r>
      <w:r w:rsidR="00E04A56">
        <w:t>balandžio 29</w:t>
      </w:r>
      <w:r w:rsidRPr="00D32B8F">
        <w:t xml:space="preserve"> d. Europos Parlamento rezoliucija dėl pasiūlymo dėl Europos Parlamento ir Tarybos sprendimo dėl Europos prisitaikymo prie globalizacijos padarinių fondo atleistiems darbuotojams lėšų mobilizavimo pagal Belgijos paraišką EGF/2025/008 BE/</w:t>
      </w:r>
      <w:proofErr w:type="spellStart"/>
      <w:r w:rsidRPr="00D32B8F">
        <w:t>Liberty</w:t>
      </w:r>
      <w:bookmarkEnd w:id="5"/>
      <w:proofErr w:type="spellEnd"/>
      <w:r w:rsidRPr="00D32B8F">
        <w:t xml:space="preserve"> </w:t>
      </w:r>
      <w:bookmarkStart w:id="6" w:name="References"/>
      <w:r w:rsidRPr="00D32B8F">
        <w:t>(COM(2026)0004 – C10-0062/2026 – 2026/0066(BUD))</w:t>
      </w:r>
      <w:bookmarkEnd w:id="6"/>
    </w:p>
    <w:p w14:paraId="7837D0E4" w14:textId="77777777" w:rsidR="00506EED" w:rsidRPr="00D32B8F" w:rsidRDefault="00506EED" w:rsidP="00506EED">
      <w:pPr>
        <w:pStyle w:val="EPComma"/>
        <w:rPr>
          <w:noProof/>
        </w:rPr>
      </w:pPr>
      <w:r w:rsidRPr="00D32B8F">
        <w:rPr>
          <w:i/>
        </w:rPr>
        <w:t>Europos Parlamentas</w:t>
      </w:r>
      <w:r w:rsidRPr="00D32B8F">
        <w:t>,</w:t>
      </w:r>
    </w:p>
    <w:p w14:paraId="1055B7E3" w14:textId="77777777" w:rsidR="00506EED" w:rsidRPr="00D32B8F" w:rsidRDefault="00506EED" w:rsidP="00506EED">
      <w:pPr>
        <w:pStyle w:val="NormalHanging12a"/>
        <w:rPr>
          <w:noProof/>
        </w:rPr>
      </w:pPr>
      <w:r w:rsidRPr="00D32B8F">
        <w:t>–</w:t>
      </w:r>
      <w:r w:rsidRPr="00D32B8F">
        <w:tab/>
        <w:t>atsižvelgdamas į Komisijos pasiūlymą Europos Parlamentui ir Tarybai (COM(2026)0004 – C10</w:t>
      </w:r>
      <w:r w:rsidRPr="00D32B8F">
        <w:noBreakHyphen/>
        <w:t>0062/2026),</w:t>
      </w:r>
    </w:p>
    <w:p w14:paraId="437C3916" w14:textId="77777777" w:rsidR="00506EED" w:rsidRPr="00D32B8F" w:rsidRDefault="00506EED" w:rsidP="00506EED">
      <w:pPr>
        <w:pStyle w:val="NormalHanging12a"/>
      </w:pPr>
      <w:r w:rsidRPr="00D32B8F">
        <w:t>–</w:t>
      </w:r>
      <w:r w:rsidRPr="00D32B8F">
        <w:tab/>
        <w:t>atsižvelgdamas į 2021 m. balandžio 28 d. Europos Parlamento ir Tarybos reglamentą (ES) 2021/691 dėl Europos prisitaikymo prie globalizacijos padarinių fondo atleistiems darbuotojams (EGF), kuriuo panaikinamas Reglamentas (ES) Nr. 1309/2013</w:t>
      </w:r>
      <w:r w:rsidRPr="00D32B8F">
        <w:rPr>
          <w:vertAlign w:val="superscript"/>
        </w:rPr>
        <w:footnoteReference w:id="1"/>
      </w:r>
      <w:r w:rsidRPr="00D32B8F">
        <w:t xml:space="preserve"> (toliau – EGF reglamentas), </w:t>
      </w:r>
    </w:p>
    <w:p w14:paraId="0FA6CE9F" w14:textId="77777777" w:rsidR="00506EED" w:rsidRPr="00D32B8F" w:rsidRDefault="00506EED" w:rsidP="00506EED">
      <w:pPr>
        <w:pStyle w:val="NormalHanging12a"/>
        <w:rPr>
          <w:noProof/>
        </w:rPr>
      </w:pPr>
      <w:r w:rsidRPr="00D32B8F">
        <w:t>–</w:t>
      </w:r>
      <w:r w:rsidRPr="00D32B8F">
        <w:tab/>
        <w:t>atsižvelgdamas į 2020 m. gruodžio 17 d. Tarybos reglamentą (ES, Euratomas) 2020/2093, kuriuo nustatoma 2021–2027 m. daugiametė finansinė programa (toliau – DFP reglamentas)</w:t>
      </w:r>
      <w:r w:rsidRPr="00D32B8F">
        <w:rPr>
          <w:noProof/>
          <w:vertAlign w:val="superscript"/>
        </w:rPr>
        <w:footnoteReference w:id="2"/>
      </w:r>
      <w:r w:rsidRPr="00D32B8F">
        <w:t>, su pakeitimais, padarytais Reglamentu (ES, Euratomas) 2024/765</w:t>
      </w:r>
      <w:r w:rsidRPr="00D32B8F">
        <w:rPr>
          <w:noProof/>
          <w:vertAlign w:val="superscript"/>
        </w:rPr>
        <w:footnoteReference w:id="3"/>
      </w:r>
      <w:r w:rsidRPr="00D32B8F">
        <w:t xml:space="preserve">, ypač į jo 8 straipsnį, </w:t>
      </w:r>
    </w:p>
    <w:p w14:paraId="0D516422" w14:textId="77777777" w:rsidR="00506EED" w:rsidRPr="00D32B8F" w:rsidRDefault="00506EED" w:rsidP="00506EED">
      <w:pPr>
        <w:pStyle w:val="NormalHanging12a"/>
        <w:rPr>
          <w:noProof/>
        </w:rPr>
      </w:pPr>
      <w:r w:rsidRPr="00D32B8F">
        <w:t>–</w:t>
      </w:r>
      <w:r w:rsidRPr="00D32B8F">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D32B8F">
        <w:rPr>
          <w:rStyle w:val="FootnoteReference"/>
          <w:noProof/>
        </w:rPr>
        <w:footnoteReference w:id="4"/>
      </w:r>
      <w:r w:rsidRPr="00D32B8F">
        <w:t xml:space="preserve">, visų </w:t>
      </w:r>
      <w:r w:rsidRPr="00D32B8F">
        <w:lastRenderedPageBreak/>
        <w:t>pirma į jo 9 punktą,</w:t>
      </w:r>
    </w:p>
    <w:p w14:paraId="067B32F0" w14:textId="77777777" w:rsidR="00506EED" w:rsidRPr="00D32B8F" w:rsidRDefault="00506EED" w:rsidP="00506EED">
      <w:pPr>
        <w:pStyle w:val="NormalHanging12a"/>
      </w:pPr>
      <w:r w:rsidRPr="00D32B8F">
        <w:t>–</w:t>
      </w:r>
      <w:r w:rsidRPr="00D32B8F">
        <w:tab/>
        <w:t>atsižvelgdamas į Europos socialinių teisių ramstį,</w:t>
      </w:r>
    </w:p>
    <w:p w14:paraId="3F5DD8B6" w14:textId="77777777" w:rsidR="00506EED" w:rsidRPr="00D32B8F" w:rsidRDefault="00506EED" w:rsidP="00506EED">
      <w:pPr>
        <w:pStyle w:val="NormalHanging12a"/>
      </w:pPr>
      <w:r w:rsidRPr="00D32B8F">
        <w:t>–</w:t>
      </w:r>
      <w:r w:rsidRPr="00D32B8F">
        <w:tab/>
        <w:t>atsižvelgdamas į Užimtumo ir socialinių reikalų komiteto laišką,</w:t>
      </w:r>
    </w:p>
    <w:p w14:paraId="0E4F8873" w14:textId="77777777" w:rsidR="00506EED" w:rsidRPr="00D32B8F" w:rsidRDefault="00506EED" w:rsidP="00506EED">
      <w:pPr>
        <w:pStyle w:val="NormalHanging12a"/>
      </w:pPr>
      <w:r w:rsidRPr="00D32B8F">
        <w:t>–</w:t>
      </w:r>
      <w:r w:rsidRPr="00D32B8F">
        <w:tab/>
        <w:t>atsižvelgdamas į Biudžeto komiteto pranešimą (A10-0084/2026),</w:t>
      </w:r>
    </w:p>
    <w:p w14:paraId="1C325E73" w14:textId="77777777" w:rsidR="00506EED" w:rsidRPr="00D32B8F" w:rsidRDefault="00506EED" w:rsidP="00506EED">
      <w:pPr>
        <w:pStyle w:val="NormalHanging12a"/>
        <w:rPr>
          <w:noProof/>
        </w:rPr>
      </w:pPr>
      <w:r w:rsidRPr="00D32B8F">
        <w:t>A.</w:t>
      </w:r>
      <w:r w:rsidRPr="00D32B8F">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w:t>
      </w:r>
    </w:p>
    <w:p w14:paraId="535E1DDE" w14:textId="77777777" w:rsidR="00506EED" w:rsidRPr="00D32B8F" w:rsidRDefault="00506EED" w:rsidP="00506EED">
      <w:pPr>
        <w:pStyle w:val="NormalHanging12a"/>
        <w:rPr>
          <w:bCs/>
          <w:iCs/>
          <w:noProof/>
        </w:rPr>
      </w:pPr>
      <w:r w:rsidRPr="00D32B8F">
        <w:t>B.</w:t>
      </w:r>
      <w:r w:rsidRPr="00D32B8F">
        <w:tab/>
        <w:t>kadangi parama turėtų būti nukreipta į greitą darbuotojų reintegraciją ir padėti užtikrinti, kad pasitelkiant mokymą, perkvalifikavimą ir profesinį mokymą darbuotojai įgytų įgūdžių, atitinkančių darbo rinkos poreikius;</w:t>
      </w:r>
    </w:p>
    <w:p w14:paraId="5CACC169" w14:textId="77777777" w:rsidR="00506EED" w:rsidRPr="00D32B8F" w:rsidRDefault="00506EED" w:rsidP="00506EED">
      <w:pPr>
        <w:pStyle w:val="NormalHanging12a"/>
      </w:pPr>
      <w:r w:rsidRPr="00D32B8F">
        <w:t>C.</w:t>
      </w:r>
      <w:r w:rsidRPr="00D32B8F">
        <w:tab/>
        <w:t>kadangi Belgija pateikė paraišką EGF/2025/008 BE/</w:t>
      </w:r>
      <w:proofErr w:type="spellStart"/>
      <w:r w:rsidRPr="00D32B8F">
        <w:t>Liberty</w:t>
      </w:r>
      <w:proofErr w:type="spellEnd"/>
      <w:r w:rsidRPr="00D32B8F">
        <w:t xml:space="preserve"> dėl finansinės paramos iš EGF po to, kai per ataskaitinį laikotarpį nuo 2025 m. balandžio 24 d. iki 2025 m. rugpjūčio 24 d. iš įmonės „</w:t>
      </w:r>
      <w:proofErr w:type="spellStart"/>
      <w:r w:rsidRPr="00D32B8F">
        <w:t>Liberty</w:t>
      </w:r>
      <w:proofErr w:type="spellEnd"/>
      <w:r w:rsidRPr="00D32B8F">
        <w:t xml:space="preserve"> </w:t>
      </w:r>
      <w:proofErr w:type="spellStart"/>
      <w:r w:rsidRPr="00D32B8F">
        <w:t>Galaţi</w:t>
      </w:r>
      <w:proofErr w:type="spellEnd"/>
      <w:r w:rsidRPr="00D32B8F">
        <w:t xml:space="preserve"> </w:t>
      </w:r>
      <w:proofErr w:type="spellStart"/>
      <w:r w:rsidRPr="00D32B8F">
        <w:t>Belgian</w:t>
      </w:r>
      <w:proofErr w:type="spellEnd"/>
      <w:r w:rsidRPr="00D32B8F">
        <w:t xml:space="preserve"> </w:t>
      </w:r>
      <w:proofErr w:type="spellStart"/>
      <w:r w:rsidRPr="00D32B8F">
        <w:t>Branch</w:t>
      </w:r>
      <w:proofErr w:type="spellEnd"/>
      <w:r w:rsidRPr="00D32B8F">
        <w:t>“ (toliau – „</w:t>
      </w:r>
      <w:proofErr w:type="spellStart"/>
      <w:r w:rsidRPr="00D32B8F">
        <w:t>Liberty</w:t>
      </w:r>
      <w:proofErr w:type="spellEnd"/>
      <w:r w:rsidRPr="00D32B8F">
        <w:t xml:space="preserve">“), veikusios ekonomikos sektoriuje, kuris priskiriamas NACE 2 red. 24 skyriui (Pagrindinių metalų gamyba), Lježo provincijos (BE33) </w:t>
      </w:r>
      <w:proofErr w:type="spellStart"/>
      <w:r w:rsidRPr="00D32B8F">
        <w:t>Valonijos</w:t>
      </w:r>
      <w:proofErr w:type="spellEnd"/>
      <w:r w:rsidRPr="00D32B8F">
        <w:t xml:space="preserve"> regione buvo atleisti 507 darbuotojai</w:t>
      </w:r>
      <w:r w:rsidRPr="00D32B8F">
        <w:rPr>
          <w:vertAlign w:val="superscript"/>
        </w:rPr>
        <w:footnoteReference w:id="5"/>
      </w:r>
      <w:r w:rsidRPr="00D32B8F">
        <w:t>;</w:t>
      </w:r>
    </w:p>
    <w:p w14:paraId="6A84CB55" w14:textId="153CC0E0" w:rsidR="00506EED" w:rsidRPr="00D32B8F" w:rsidRDefault="00506EED" w:rsidP="00506EED">
      <w:pPr>
        <w:pStyle w:val="NormalHanging12a"/>
      </w:pPr>
      <w:r w:rsidRPr="00D32B8F">
        <w:t>D.</w:t>
      </w:r>
      <w:r w:rsidRPr="00D32B8F">
        <w:tab/>
        <w:t>kadangi paraiška grindžiama EGF reglamento 4 straipsnio 2 dalies a punkte nustatytais intervencijos kriterijais</w:t>
      </w:r>
      <w:r w:rsidR="00EC1508">
        <w:t>; š</w:t>
      </w:r>
      <w:r w:rsidRPr="00D32B8F">
        <w:t>iame punkte reikalaujama, kad per ataskaitinį keturių mėnesių laikotarpį valstybės narės įmonėje būtų sustabdyta ne mažiau kaip 200 atleistų darbuotojų arba savarankiškai dirbančių asmenų veikla;</w:t>
      </w:r>
    </w:p>
    <w:p w14:paraId="03797531" w14:textId="77777777" w:rsidR="00506EED" w:rsidRPr="00D32B8F" w:rsidRDefault="00506EED" w:rsidP="00506EED">
      <w:pPr>
        <w:pStyle w:val="NormalHanging12a"/>
        <w:rPr>
          <w:noProof/>
        </w:rPr>
      </w:pPr>
      <w:r w:rsidRPr="00D32B8F">
        <w:t>E.</w:t>
      </w:r>
      <w:r w:rsidRPr="00D32B8F">
        <w:tab/>
        <w:t>kadangi 2025 m. balandžio 22 d. Lježo komercinių bylų teismas paskelbė įmonės „</w:t>
      </w:r>
      <w:proofErr w:type="spellStart"/>
      <w:r w:rsidRPr="00D32B8F">
        <w:t>Liberty</w:t>
      </w:r>
      <w:proofErr w:type="spellEnd"/>
      <w:r w:rsidRPr="00D32B8F">
        <w:t>“ bankrotą; kadangi Belgijoje nuo 2022 m. bankrotų daugėja;</w:t>
      </w:r>
    </w:p>
    <w:p w14:paraId="65918F32" w14:textId="77777777" w:rsidR="00506EED" w:rsidRPr="00D32B8F" w:rsidRDefault="00506EED" w:rsidP="00506EED">
      <w:pPr>
        <w:pStyle w:val="NormalHanging12a"/>
      </w:pPr>
      <w:r w:rsidRPr="00D32B8F">
        <w:t>F.</w:t>
      </w:r>
      <w:r w:rsidRPr="00D32B8F">
        <w:tab/>
        <w:t xml:space="preserve">kadangi </w:t>
      </w:r>
      <w:proofErr w:type="spellStart"/>
      <w:r w:rsidRPr="00D32B8F">
        <w:t>Valonijos</w:t>
      </w:r>
      <w:proofErr w:type="spellEnd"/>
      <w:r w:rsidRPr="00D32B8F">
        <w:t xml:space="preserve"> regionas ir Regioninė valstybinė užimtumo ir profesinio mokymo tarnyba (</w:t>
      </w:r>
      <w:proofErr w:type="spellStart"/>
      <w:r w:rsidRPr="00D32B8F">
        <w:t>pranc</w:t>
      </w:r>
      <w:proofErr w:type="spellEnd"/>
      <w:r w:rsidRPr="00D32B8F">
        <w:t>. </w:t>
      </w:r>
      <w:proofErr w:type="spellStart"/>
      <w:r w:rsidRPr="00D32B8F">
        <w:rPr>
          <w:i/>
          <w:iCs/>
        </w:rPr>
        <w:t>Le</w:t>
      </w:r>
      <w:proofErr w:type="spellEnd"/>
      <w:r w:rsidRPr="00D32B8F">
        <w:rPr>
          <w:i/>
          <w:iCs/>
        </w:rPr>
        <w:t xml:space="preserve"> </w:t>
      </w:r>
      <w:proofErr w:type="spellStart"/>
      <w:r w:rsidRPr="00D32B8F">
        <w:rPr>
          <w:i/>
          <w:iCs/>
        </w:rPr>
        <w:t>Forem</w:t>
      </w:r>
      <w:proofErr w:type="spellEnd"/>
      <w:r w:rsidRPr="00D32B8F">
        <w:t>) teikia nacionalinį išankstinį ir bendrą priemonių finansavimą;</w:t>
      </w:r>
    </w:p>
    <w:p w14:paraId="1C2F6C6C" w14:textId="77777777" w:rsidR="00506EED" w:rsidRPr="00D32B8F" w:rsidRDefault="00506EED" w:rsidP="00506EED">
      <w:pPr>
        <w:pStyle w:val="NormalHanging12a"/>
      </w:pPr>
      <w:r w:rsidRPr="00D32B8F">
        <w:t>G.</w:t>
      </w:r>
      <w:r w:rsidRPr="00D32B8F">
        <w:tab/>
        <w:t>kadangi buvo laikomasi Sąjungos ir nacionalinės teisės aktuose nustatytų su kolektyviniu atleidimu iš darbo susijusių reikalavimų;</w:t>
      </w:r>
    </w:p>
    <w:p w14:paraId="625F3D5B" w14:textId="77777777" w:rsidR="00506EED" w:rsidRPr="00D32B8F" w:rsidRDefault="00506EED" w:rsidP="00506EED">
      <w:pPr>
        <w:pStyle w:val="NormalHanging12a"/>
      </w:pPr>
      <w:r w:rsidRPr="00D32B8F">
        <w:t>H.</w:t>
      </w:r>
      <w:r w:rsidRPr="00D32B8F">
        <w:tab/>
        <w:t xml:space="preserve">kadangi EGF finansiniai įnašai pirmiausia turėtų būti skiriami aktyvios darbo rinkos politikos priemonėms ir prie individualių poreikių pritaikytoms paslaugoms, kuriomis siekiama greitai </w:t>
      </w:r>
      <w:proofErr w:type="spellStart"/>
      <w:r w:rsidRPr="00D32B8F">
        <w:t>reintegruoti</w:t>
      </w:r>
      <w:proofErr w:type="spellEnd"/>
      <w:r w:rsidRPr="00D32B8F">
        <w:t xml:space="preserve"> paramos gavėjus į darbo rinką, siūlant jiems įgūdžių tobulinimo mokymus, kad jie turėtų geresnes galimybes įsidarbinti;</w:t>
      </w:r>
    </w:p>
    <w:p w14:paraId="7AC1A8E4" w14:textId="77777777" w:rsidR="00506EED" w:rsidRPr="00D32B8F" w:rsidRDefault="00506EED" w:rsidP="00506EED">
      <w:pPr>
        <w:pStyle w:val="NormalHanging12a"/>
      </w:pPr>
      <w:r w:rsidRPr="00D32B8F">
        <w:t>I.</w:t>
      </w:r>
      <w:r w:rsidRPr="00D32B8F">
        <w:tab/>
        <w:t>kadangi EGF didžiausia metinė suma neviršija 30 mln. EUR (2018 m. kainomis)</w:t>
      </w:r>
      <w:r w:rsidRPr="00D32B8F">
        <w:rPr>
          <w:rStyle w:val="FootnoteReference"/>
        </w:rPr>
        <w:footnoteReference w:id="6"/>
      </w:r>
      <w:r w:rsidRPr="00D32B8F">
        <w:t>;</w:t>
      </w:r>
    </w:p>
    <w:p w14:paraId="7279350D" w14:textId="77777777" w:rsidR="00506EED" w:rsidRPr="00D32B8F" w:rsidRDefault="00506EED" w:rsidP="00506EED">
      <w:pPr>
        <w:pStyle w:val="NormalHanging12a"/>
      </w:pPr>
      <w:r w:rsidRPr="00D32B8F">
        <w:t>1.</w:t>
      </w:r>
      <w:r w:rsidRPr="00D32B8F">
        <w:tab/>
        <w:t xml:space="preserve">pritaria Komisijai, kad tenkinamos EGF reglamento ir ypač jo 4 straipsnio 2 dalies a punkte nustatytos sąlygos ir kad Belgija turi teisę pagal šį reglamentą gauti 2 033 869 EUR finansinę paramą, kuri sudaro 85 proc. visų išlaidų, siekiančių 2 392 788 EUR ir apimančių prie individualių poreikių pritaikytų paslaugų išlaidas (2 358 922 EUR) ir parengiamosios, valdymo, informavimo ir viešinimo, kontrolės ir </w:t>
      </w:r>
      <w:r w:rsidRPr="00D32B8F">
        <w:lastRenderedPageBreak/>
        <w:t>ataskaitų teikimo veiklos išlaidas (33 866 EUR);</w:t>
      </w:r>
    </w:p>
    <w:p w14:paraId="2EF5283D" w14:textId="77777777" w:rsidR="00506EED" w:rsidRPr="00D32B8F" w:rsidRDefault="00506EED" w:rsidP="00506EED">
      <w:pPr>
        <w:pStyle w:val="NormalHanging12a"/>
      </w:pPr>
      <w:r w:rsidRPr="00D32B8F">
        <w:t>2.</w:t>
      </w:r>
      <w:r w:rsidRPr="00D32B8F">
        <w:tab/>
        <w:t xml:space="preserve">pažymi, kad Belgijos valdžios institucijos paraišką pateikė 2025 m. lapkričio 13 d. ir kad, gavusi papildomos informacijos iš Belgijos, Komisija baigė savo vertinimą ir 2026 m. kovo 2 d. informavo Parlamentą; pabrėžia, kad reikia sutrumpinti laikotarpį nuo EGF paraiškos pateikimo iki finansavimo sprendimo priėmimo, kartu išsaugant Parlamento su biudžetu susijusias teises; </w:t>
      </w:r>
    </w:p>
    <w:p w14:paraId="0E157106" w14:textId="77777777" w:rsidR="00506EED" w:rsidRPr="00D32B8F" w:rsidRDefault="00506EED" w:rsidP="00506EED">
      <w:pPr>
        <w:pStyle w:val="NormalHanging12a"/>
      </w:pPr>
      <w:r w:rsidRPr="00D32B8F">
        <w:t>3.</w:t>
      </w:r>
      <w:r w:rsidRPr="00D32B8F">
        <w:tab/>
        <w:t>pažymi, kad paraiška yra susijusi su 507 tiksliniais paramos gavėjais – darbuotojais, kurie buvo atleisti iš įmonės „</w:t>
      </w:r>
      <w:proofErr w:type="spellStart"/>
      <w:r w:rsidRPr="00D32B8F">
        <w:t>Liberty</w:t>
      </w:r>
      <w:proofErr w:type="spellEnd"/>
      <w:r w:rsidRPr="00D32B8F">
        <w:t>“;</w:t>
      </w:r>
    </w:p>
    <w:p w14:paraId="679DA3E2" w14:textId="77777777" w:rsidR="00506EED" w:rsidRPr="00D32B8F" w:rsidRDefault="00506EED" w:rsidP="00506EED">
      <w:pPr>
        <w:pStyle w:val="NormalHanging12a"/>
      </w:pPr>
      <w:r w:rsidRPr="00D32B8F">
        <w:t>4.</w:t>
      </w:r>
      <w:r w:rsidRPr="00D32B8F">
        <w:tab/>
        <w:t>pažymi, kad dėl nepalankių plieno rinkos sąlygų, su COVID-19 susijusių tiekimo grandinės sutrikimų ir didelių energijos kainų Rusijai pradėjus agresijos karą prieš Ukrainą kartu su Sąjungos priklausomybe nuo importuojamo iškastinio kuro ir nepakankamo pigesnių švarios energijos išteklių diegimo įmonė „</w:t>
      </w:r>
      <w:proofErr w:type="spellStart"/>
      <w:r w:rsidRPr="00D32B8F">
        <w:t>Liberty</w:t>
      </w:r>
      <w:proofErr w:type="spellEnd"/>
      <w:r w:rsidRPr="00D32B8F">
        <w:t>“ kelerius metus iki bankroto paskelbimo susidūrė su finansiniais sunkumais; pažymi, kad bendrovės „</w:t>
      </w:r>
      <w:proofErr w:type="spellStart"/>
      <w:r w:rsidRPr="00D32B8F">
        <w:t>Liberty</w:t>
      </w:r>
      <w:proofErr w:type="spellEnd"/>
      <w:r w:rsidRPr="00D32B8F">
        <w:t xml:space="preserve"> </w:t>
      </w:r>
      <w:proofErr w:type="spellStart"/>
      <w:r w:rsidRPr="00D32B8F">
        <w:t>Steel</w:t>
      </w:r>
      <w:proofErr w:type="spellEnd"/>
      <w:r w:rsidRPr="00D32B8F">
        <w:t xml:space="preserve"> </w:t>
      </w:r>
      <w:proofErr w:type="spellStart"/>
      <w:r w:rsidRPr="00D32B8F">
        <w:t>Liège</w:t>
      </w:r>
      <w:proofErr w:type="spellEnd"/>
      <w:r w:rsidRPr="00D32B8F">
        <w:t>“ galvanizavimo linijos nenaudojamos nuo 2021 m. gruodžio mėn., daugiausia dėl žaliavų trūkumo, todėl buvo pradėta restruktūrizavimo operacija, kurios metu 2023 m. ji buvo teisiškai perduota bendrovei „</w:t>
      </w:r>
      <w:proofErr w:type="spellStart"/>
      <w:r w:rsidRPr="00D32B8F">
        <w:t>Liberty</w:t>
      </w:r>
      <w:proofErr w:type="spellEnd"/>
      <w:r w:rsidRPr="00D32B8F">
        <w:t xml:space="preserve"> </w:t>
      </w:r>
      <w:proofErr w:type="spellStart"/>
      <w:r w:rsidRPr="00D32B8F">
        <w:t>Galaţi</w:t>
      </w:r>
      <w:proofErr w:type="spellEnd"/>
      <w:r w:rsidRPr="00D32B8F">
        <w:t>“; apgailestauja, kad, nepaisant bendrovės perėmimo, gamybos veikla nebuvo atnaujinta ir galiausiai paskelbtas bankrotas;</w:t>
      </w:r>
    </w:p>
    <w:p w14:paraId="25A4F17D" w14:textId="77777777" w:rsidR="00506EED" w:rsidRPr="00D32B8F" w:rsidRDefault="00506EED" w:rsidP="00506EED">
      <w:pPr>
        <w:pStyle w:val="NormalHanging12a"/>
        <w:rPr>
          <w:noProof/>
        </w:rPr>
      </w:pPr>
      <w:r w:rsidRPr="00D32B8F">
        <w:t>5.</w:t>
      </w:r>
      <w:r w:rsidRPr="00D32B8F">
        <w:tab/>
        <w:t>pažymi, kad sunkumai, su kuriais susidūrė bendrovė „</w:t>
      </w:r>
      <w:proofErr w:type="spellStart"/>
      <w:r w:rsidRPr="00D32B8F">
        <w:t>Liberty</w:t>
      </w:r>
      <w:proofErr w:type="spellEnd"/>
      <w:r w:rsidRPr="00D32B8F">
        <w:t xml:space="preserve"> </w:t>
      </w:r>
      <w:proofErr w:type="spellStart"/>
      <w:r w:rsidRPr="00D32B8F">
        <w:t>Steel</w:t>
      </w:r>
      <w:proofErr w:type="spellEnd"/>
      <w:r w:rsidRPr="00D32B8F">
        <w:t>“, taip pat yra konkrečiai susiję su įmone po to, kai ją iš bendrovės „</w:t>
      </w:r>
      <w:proofErr w:type="spellStart"/>
      <w:r w:rsidRPr="00D32B8F">
        <w:t>ArcelorMittal</w:t>
      </w:r>
      <w:proofErr w:type="spellEnd"/>
      <w:r w:rsidRPr="00D32B8F">
        <w:t xml:space="preserve">“ įsigijo bendrovė „GFG </w:t>
      </w:r>
      <w:proofErr w:type="spellStart"/>
      <w:r w:rsidRPr="00D32B8F">
        <w:t>Alliance</w:t>
      </w:r>
      <w:proofErr w:type="spellEnd"/>
      <w:r w:rsidRPr="00D32B8F">
        <w:t>“; pabrėžia, kad yra labai susirūpinęs dėl verslo modelio finansinio tvarumo ir dėl to, kad neįvykdyti investicijų įsipareigojimai, nes tai prisidėjo prie gamyklos ekonominės padėties blogėjimo ir su tuo susijusio darbuotojų atleidimo;</w:t>
      </w:r>
    </w:p>
    <w:p w14:paraId="43D120D3" w14:textId="77777777" w:rsidR="00506EED" w:rsidRPr="00D32B8F" w:rsidRDefault="00506EED" w:rsidP="00506EED">
      <w:pPr>
        <w:pStyle w:val="NormalHanging12a"/>
        <w:rPr>
          <w:b/>
          <w:bCs/>
          <w:i/>
          <w:iCs/>
        </w:rPr>
      </w:pPr>
      <w:bookmarkStart w:id="7" w:name="_Hlk225497832"/>
      <w:r w:rsidRPr="00D32B8F">
        <w:t>6.</w:t>
      </w:r>
      <w:r w:rsidRPr="00D32B8F">
        <w:tab/>
        <w:t xml:space="preserve">pažymi, kad </w:t>
      </w:r>
      <w:proofErr w:type="spellStart"/>
      <w:r w:rsidRPr="00D32B8F">
        <w:t>Valonijos</w:t>
      </w:r>
      <w:proofErr w:type="spellEnd"/>
      <w:r w:rsidRPr="00D32B8F">
        <w:t xml:space="preserve"> regione buvo vykdomas deindustrializacijos ir ekonominės transformacijos procesas</w:t>
      </w:r>
      <w:r w:rsidRPr="00D32B8F">
        <w:rPr>
          <w:rStyle w:val="FootnoteReference"/>
        </w:rPr>
        <w:footnoteReference w:id="7"/>
      </w:r>
      <w:r w:rsidRPr="00D32B8F">
        <w:t>; pažymi, kad įmonės „</w:t>
      </w:r>
      <w:proofErr w:type="spellStart"/>
      <w:r w:rsidRPr="00D32B8F">
        <w:t>Liberty</w:t>
      </w:r>
      <w:proofErr w:type="spellEnd"/>
      <w:r w:rsidRPr="00D32B8F">
        <w:t xml:space="preserve">“ bankrotas yra didelis socialinis sukrėtimas </w:t>
      </w:r>
      <w:proofErr w:type="spellStart"/>
      <w:r w:rsidRPr="00D32B8F">
        <w:t>Valonijos</w:t>
      </w:r>
      <w:proofErr w:type="spellEnd"/>
      <w:r w:rsidRPr="00D32B8F">
        <w:t xml:space="preserve"> regionui, kurio darbo rinką jau susilpnino kiti restruktūrizavimo atvejai</w:t>
      </w:r>
      <w:bookmarkEnd w:id="7"/>
      <w:r w:rsidRPr="00D32B8F">
        <w:t>; pabrėžia, kad plieno sektorius tebėra svarbus Belgijos ekonomikos sektorius, o darbo vietų plieno sektoriuje santykis vienam gyventojui tebėra didelis; ragina Belgijos valdžios institucijas teikti specialią paramą, kuri būtų pritaikyta prie šių profilių, siekiant padėti darbuotojams toliau tobulinti būtinus įgūdžius, kad jie galėtų susirasti naują darbą, taip pat imtis priemonių bankrotų skaičiui mažinti ir socialinei nelygybei, dėl kurios darbuotojai atskiriami nuo darbo rinkos, panaikinti; pabrėžia, kad Sąjunga išlaiko verslui palankią aplinką, kuri padeda skatinti ekonomikos augimą, inovacijas, remti technologinę plėtrą, didinti konkurencingumą ir mažinti nereikalingą reglamentavimo naštą bei supaprastinti biurokratines procedūras, ir pabrėžia, kad reikia politikos priemonių, kurios skatintų pramonės konkurencingumą, teritorinę, ekonominę ir socialinę sanglaudą bei regioninę plėtrą; pabrėžia konkurencingo ir atsparaus Europos plieno sektoriaus, kaip tvirtos ir aukštos kokybės pramonės pagrindo bei pagrindinio Sąjungos strateginio savarankiškumo ramsčio, svarbą;</w:t>
      </w:r>
    </w:p>
    <w:p w14:paraId="48E52561" w14:textId="77777777" w:rsidR="00506EED" w:rsidRPr="00D32B8F" w:rsidRDefault="00506EED" w:rsidP="00506EED">
      <w:pPr>
        <w:pStyle w:val="NormalHanging12a"/>
      </w:pPr>
      <w:r w:rsidRPr="00D32B8F">
        <w:t>7.</w:t>
      </w:r>
      <w:r w:rsidRPr="00D32B8F">
        <w:tab/>
        <w:t xml:space="preserve">primena, kad vienas iš keturių registruotų darbo ieškančių asmenų </w:t>
      </w:r>
      <w:proofErr w:type="spellStart"/>
      <w:r w:rsidRPr="00D32B8F">
        <w:t>Valonijoje</w:t>
      </w:r>
      <w:proofErr w:type="spellEnd"/>
      <w:r w:rsidRPr="00D32B8F">
        <w:t xml:space="preserve"> yra vyresnis nei 50 metų ir susiduria su didesnėmis kliūtimis grįžti į darbo rinką; pažymi, kad, nepaisant to, jog įmonės „</w:t>
      </w:r>
      <w:proofErr w:type="spellStart"/>
      <w:r w:rsidRPr="00D32B8F">
        <w:t>Liberty</w:t>
      </w:r>
      <w:proofErr w:type="spellEnd"/>
      <w:r w:rsidRPr="00D32B8F">
        <w:t xml:space="preserve">“ darbuotojų specializacija yra aukšta, darbo keitimas jų atveju yra sudėtingas dėl vyresnio amžiaus (52 proc. darbuotojų yra 55 metų </w:t>
      </w:r>
      <w:r w:rsidRPr="00D32B8F">
        <w:lastRenderedPageBreak/>
        <w:t>ar vyresni); pažymi, kad 69 proc. atleistų darbuotojų išsilavinimo lygis yra žemas;</w:t>
      </w:r>
    </w:p>
    <w:p w14:paraId="19D7D534" w14:textId="77777777" w:rsidR="00506EED" w:rsidRPr="00D32B8F" w:rsidRDefault="00506EED" w:rsidP="00506EED">
      <w:pPr>
        <w:pStyle w:val="NormalHanging12a"/>
      </w:pPr>
      <w:bookmarkStart w:id="8" w:name="_Hlk226546977"/>
      <w:r w:rsidRPr="00D32B8F">
        <w:t>8.</w:t>
      </w:r>
      <w:r w:rsidRPr="00D32B8F">
        <w:tab/>
        <w:t>primena, kad pagal susitarimą su profesinėmis sąjungomis ir regiono valdžios institucijomis prie individualių poreikių pritaikytas paslaugas, kurios turi būti teikiamos darbuotojams, sudaro šios priemonės: perdarbinimas ir profesinis orientavimas; mokymas, perkvalifikavimas ir profesinis mokymas, įskaitant IT įgūdžius; pagalba verslui kurti; parama verslui steigti; paskatos ir kitos išmokos; pabrėžia, kad svarbu didinti investicijas į inovacijas, įgūdžius ir pramonės modernizavimą, siekiant sustiprinti Europos pramonės konkurencingumą ir užtikrinti, kad darbuotojai būtų pasirengę kintantiems darbo rinkos poreikiams;</w:t>
      </w:r>
      <w:bookmarkEnd w:id="8"/>
    </w:p>
    <w:p w14:paraId="081AF300" w14:textId="77777777" w:rsidR="00506EED" w:rsidRPr="00D32B8F" w:rsidRDefault="00506EED" w:rsidP="00506EED">
      <w:pPr>
        <w:pStyle w:val="NormalHanging12a"/>
      </w:pPr>
      <w:r w:rsidRPr="00D32B8F">
        <w:t>9.</w:t>
      </w:r>
      <w:r w:rsidRPr="00D32B8F">
        <w:tab/>
        <w:t>pabrėžia, kad svarbu skatinti aukštos kokybės, į ateitį orientuotų darbo vietų, kuriomis stiprinamas konkurencingumas, skatinama skaitmeninė transformacija ir tenkinami darbo rinkos poreikiai, kūrimą, siekiant užtikrinti ilgalaikį ekonominį ir socialinį atsparumą; todėl mano, kad EGF lėšų mobilizavimas turi būti įtrauktas į platesnio masto politinį atsaką visais politiniais lygmenimis, siekiant užtikrinti, kad nukentėję darbuotojai turėtų tinkamas galimybes, atitinkančias jų kvalifikaciją ir įgūdžius; atkreipia dėmesį į tai, kad EGF yra solidarumo ir teisingos pertvarkos priemonė ir kad pagrindinė Sąjungos užduotis turi būti visų pirma užkirsti kelią tokiam įmonių uždarymui;</w:t>
      </w:r>
    </w:p>
    <w:p w14:paraId="0CE908F1" w14:textId="77777777" w:rsidR="00506EED" w:rsidRPr="00D32B8F" w:rsidRDefault="00506EED" w:rsidP="00506EED">
      <w:pPr>
        <w:pStyle w:val="NormalHanging12a"/>
      </w:pPr>
      <w:r w:rsidRPr="00D32B8F">
        <w:t>10.</w:t>
      </w:r>
      <w:r w:rsidRPr="00D32B8F">
        <w:tab/>
        <w:t>pabrėžia, kad svarbu stiprinti Sąjungos pramonės konkurencingumą ir skatinti investicijas į strateginius pramonės sektorius, siekiant užkirsti kelią tolesnei deindustrializacijai ir atleidimams iš darbo, taip pat remti darbo vietų kūrimą; pabrėžia, kad kartu su kitomis priemonėmis reikia pereiti prie atsinaujinančiųjų išteklių energijos, kad būtų užtikrintos prieinamos energijos kainos;</w:t>
      </w:r>
    </w:p>
    <w:p w14:paraId="6308B308" w14:textId="1F1F7586" w:rsidR="00506EED" w:rsidRPr="00D32B8F" w:rsidRDefault="00506EED" w:rsidP="00506EED">
      <w:pPr>
        <w:pStyle w:val="NormalHanging12a"/>
        <w:rPr>
          <w:bCs/>
          <w:iCs/>
        </w:rPr>
      </w:pPr>
      <w:r w:rsidRPr="00D32B8F">
        <w:t>11.</w:t>
      </w:r>
      <w:r w:rsidRPr="00D32B8F">
        <w:tab/>
        <w:t>pabrėžia, kad Belgijos valdžios institucijos užtikrin</w:t>
      </w:r>
      <w:r w:rsidR="00EC1508">
        <w:t>s</w:t>
      </w:r>
      <w:r w:rsidRPr="00D32B8F">
        <w:t xml:space="preserve"> Sąjungos finansavimo matomumą ir pabrė</w:t>
      </w:r>
      <w:r w:rsidR="00EC1508">
        <w:t xml:space="preserve">š </w:t>
      </w:r>
      <w:r w:rsidRPr="00D32B8F">
        <w:t>jo pridėtinę vertę teikdamos veiksmingą ir tikslinę informaciją paramos gavėjams, regioninėms ir vietos valdžios institucijoms, socialiniams partneriams ir plačiajai visuomenei;</w:t>
      </w:r>
    </w:p>
    <w:p w14:paraId="5FC91D8F" w14:textId="77777777" w:rsidR="00506EED" w:rsidRPr="00D32B8F" w:rsidRDefault="00506EED" w:rsidP="00506EED">
      <w:pPr>
        <w:pStyle w:val="NormalHanging12a"/>
      </w:pPr>
      <w:r w:rsidRPr="00D32B8F">
        <w:t>12.</w:t>
      </w:r>
      <w:r w:rsidRPr="00D32B8F">
        <w:tab/>
        <w:t>ragina kartu su socialiniais partneriais atlikti išsamius galutinius įgyvendintų priemonių vertinimus, įskaitant aiškią ir skaidrią informaciją apie tai, kaip buvo panaudotos lėšos, apie darbuotojų reintegraciją į darbo rinką ir tai, ar buvo pasiekti EGF tikslai; atsižvelgdamas į tai pabrėžia, kad svarbu reguliariai stebėti EGF finansuojamas priemones, kad būtų galima įvertinti jų veiksmingumą;</w:t>
      </w:r>
    </w:p>
    <w:p w14:paraId="417FE71E" w14:textId="77777777" w:rsidR="00506EED" w:rsidRPr="00D32B8F" w:rsidRDefault="00506EED" w:rsidP="00506EED">
      <w:pPr>
        <w:pStyle w:val="NormalHanging12a"/>
      </w:pPr>
      <w:r w:rsidRPr="00D32B8F">
        <w:t>13.</w:t>
      </w:r>
      <w:r w:rsidRPr="00D32B8F">
        <w:tab/>
        <w:t>pažymi, kad Belgija tiksliniams paramos gavėjams prie individualių poreikių pritaikytas paslaugas pradėjo teikti 2025 m. birželio 1 d. ir joms skirtos išlaidos bus laikomos tinkamomis finansuoti iš EGF finansinės paramos nuo tos dienos iki tada, kai sueis 24 mėnesiai nuo finansavimo sprendimo įsigaliojimo dienos;</w:t>
      </w:r>
    </w:p>
    <w:p w14:paraId="62D24084" w14:textId="77777777" w:rsidR="00506EED" w:rsidRPr="00D32B8F" w:rsidRDefault="00506EED" w:rsidP="00506EED">
      <w:pPr>
        <w:pStyle w:val="NormalHanging12a"/>
        <w:rPr>
          <w:sz w:val="23"/>
          <w:szCs w:val="23"/>
        </w:rPr>
      </w:pPr>
      <w:r w:rsidRPr="00D32B8F">
        <w:t>14.</w:t>
      </w:r>
      <w:r w:rsidRPr="00D32B8F">
        <w:tab/>
        <w:t>pažymi, kad pirmąsias administracines išlaidas, susijusias su EGF paramos įgyvendinimu, Belgija patyrė 2025 m. balandžio 22 d. ir todėl šios išlaidos bus laikomos tinkamomis finansuoti iš EGF finansinės paramos nuo tos dienos iki tada, kai sueis 31 mėnuo nuo finansavimo sprendimo įsigaliojimo dienos;</w:t>
      </w:r>
    </w:p>
    <w:p w14:paraId="3701E0E5" w14:textId="77777777" w:rsidR="00506EED" w:rsidRPr="00D32B8F" w:rsidRDefault="00506EED" w:rsidP="00506EED">
      <w:pPr>
        <w:pStyle w:val="NormalHanging12a"/>
      </w:pPr>
      <w:r w:rsidRPr="00D32B8F">
        <w:t>15.</w:t>
      </w:r>
      <w:r w:rsidRPr="00D32B8F">
        <w:tab/>
        <w:t>atkreipia dėmesį į tai, kad Belgijos valdžios institucijos patvirtino, jog suteikiant galimybę naudotis siūlomais veiksmais ir juos įgyvendinant bus laikomasi vienodo požiūrio ir nediskriminavimo principų ir kad bus išvengta bet kokio dvigubo finansavimo;</w:t>
      </w:r>
    </w:p>
    <w:p w14:paraId="5E1D7BF8" w14:textId="77777777" w:rsidR="00506EED" w:rsidRPr="00D32B8F" w:rsidRDefault="00506EED" w:rsidP="00506EED">
      <w:pPr>
        <w:pStyle w:val="NormalHanging12a"/>
      </w:pPr>
      <w:r w:rsidRPr="00D32B8F">
        <w:lastRenderedPageBreak/>
        <w:t>16.</w:t>
      </w:r>
      <w:r w:rsidRPr="00D32B8F">
        <w:tab/>
        <w:t>pakartoja, kad EGF parama neturi pakeisti veiksmų, už kuriuos valdžios institucijos ar bendrovės yra atsakingos pagal nacionalinę teisę ar kolektyvines sutartis; primena, kad EGF yra ribotas, tikslinis ir papildomas mechanizmas ir negali pakeisti struktūrinės ekonominės politikos, kuri visų pirma priklauso valstybių narių kompetencijai;</w:t>
      </w:r>
    </w:p>
    <w:p w14:paraId="2C29BD93" w14:textId="77777777" w:rsidR="00506EED" w:rsidRPr="00D32B8F" w:rsidRDefault="00506EED" w:rsidP="00506EED">
      <w:pPr>
        <w:pStyle w:val="NormalHanging12a"/>
      </w:pPr>
      <w:r w:rsidRPr="00D32B8F">
        <w:t>17.</w:t>
      </w:r>
      <w:r w:rsidRPr="00D32B8F">
        <w:tab/>
        <w:t>pritaria prie šios rezoliucijos pridedamam sprendimui;</w:t>
      </w:r>
    </w:p>
    <w:p w14:paraId="585A7A21" w14:textId="77777777" w:rsidR="00506EED" w:rsidRPr="00D32B8F" w:rsidRDefault="00506EED" w:rsidP="00506EED">
      <w:pPr>
        <w:pStyle w:val="NormalHanging12a"/>
      </w:pPr>
      <w:r w:rsidRPr="00D32B8F">
        <w:t>18.</w:t>
      </w:r>
      <w:r w:rsidRPr="00D32B8F">
        <w:tab/>
        <w:t xml:space="preserve">paveda Pirmininkei pasirašyti šį sprendimą su Tarybos pirmininku ir užtikrinti, kad jis būtų paskelbtas </w:t>
      </w:r>
      <w:r w:rsidRPr="00D32B8F">
        <w:rPr>
          <w:i/>
          <w:iCs/>
        </w:rPr>
        <w:t>Europos Sąjungos oficialiajame leidinyje</w:t>
      </w:r>
      <w:r w:rsidRPr="00D32B8F">
        <w:t>;</w:t>
      </w:r>
    </w:p>
    <w:p w14:paraId="220C3A01" w14:textId="77777777" w:rsidR="00506EED" w:rsidRPr="00D32B8F" w:rsidRDefault="00506EED" w:rsidP="00506EED">
      <w:pPr>
        <w:pStyle w:val="NormalHanging12a"/>
      </w:pPr>
      <w:r w:rsidRPr="00D32B8F">
        <w:t>19.</w:t>
      </w:r>
      <w:r w:rsidRPr="00D32B8F">
        <w:tab/>
        <w:t>paveda Pirmininkei perduoti šią rezoliuciją ir jos priedą Tarybai ir Komisijai.</w:t>
      </w:r>
    </w:p>
    <w:p w14:paraId="4A19EF10" w14:textId="77777777" w:rsidR="00506EED" w:rsidRPr="00D32B8F" w:rsidRDefault="00506EED" w:rsidP="00506EED">
      <w:pPr>
        <w:pStyle w:val="EPComma"/>
        <w:rPr>
          <w:noProof/>
        </w:rPr>
        <w:sectPr w:rsidR="00506EED" w:rsidRPr="00D32B8F" w:rsidSect="00D32B8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F50337" w14:textId="77777777" w:rsidR="00506EED" w:rsidRPr="00D32B8F" w:rsidRDefault="00506EED" w:rsidP="00506EED">
      <w:pPr>
        <w:pStyle w:val="PageHeading"/>
        <w:rPr>
          <w:noProof/>
        </w:rPr>
      </w:pPr>
      <w:bookmarkStart w:id="9" w:name="_Toc227861617"/>
      <w:r w:rsidRPr="00D32B8F">
        <w:lastRenderedPageBreak/>
        <w:t>PRIEDAS. EUROPOS PARLAMENTO IR TARYBOS SPRENDIMAS</w:t>
      </w:r>
      <w:bookmarkEnd w:id="9"/>
    </w:p>
    <w:p w14:paraId="55893CFB" w14:textId="77777777" w:rsidR="00506EED" w:rsidRPr="00D32B8F" w:rsidRDefault="00506EED" w:rsidP="00506EED">
      <w:pPr>
        <w:pStyle w:val="NormalHanging12a"/>
        <w:rPr>
          <w:b/>
          <w:bCs/>
        </w:rPr>
      </w:pPr>
      <w:r w:rsidRPr="00D32B8F">
        <w:rPr>
          <w:b/>
        </w:rPr>
        <w:t>dėl Europos prisitaikymo prie globalizacijos padarinių fondo atleistiems darbuotojams lėšų mobilizavimo pagal Belgijos paraišką EGF/2025/008 BE/</w:t>
      </w:r>
      <w:proofErr w:type="spellStart"/>
      <w:r w:rsidRPr="00D32B8F">
        <w:rPr>
          <w:b/>
        </w:rPr>
        <w:t>Liberty</w:t>
      </w:r>
      <w:proofErr w:type="spellEnd"/>
    </w:p>
    <w:p w14:paraId="6DA9B325" w14:textId="275F9DC9" w:rsidR="00FB6565" w:rsidRDefault="00554C64" w:rsidP="00554C64">
      <w:pPr>
        <w:pStyle w:val="Institutionquiagit"/>
        <w:jc w:val="left"/>
      </w:pPr>
      <w:r w:rsidRPr="00554C64">
        <w:rPr>
          <w:i/>
        </w:rPr>
        <w:t xml:space="preserve">(Šio priedo tekstas čia nepateikiamas, nes jis atitinka galutinį aktą – Sprendimą </w:t>
      </w:r>
      <w:r w:rsidRPr="00554C64">
        <w:rPr>
          <w:i/>
          <w:iCs/>
        </w:rPr>
        <w:t>(ES) 2026/</w:t>
      </w:r>
      <w:r>
        <w:rPr>
          <w:i/>
          <w:iCs/>
        </w:rPr>
        <w:t>1134</w:t>
      </w:r>
      <w:r w:rsidRPr="00554C64">
        <w:rPr>
          <w:i/>
        </w:rPr>
        <w:t>.)</w:t>
      </w:r>
    </w:p>
    <w:sectPr w:rsidR="00FB6565" w:rsidSect="00D32B8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C3509" w14:textId="77777777" w:rsidR="00CF599D" w:rsidRPr="00D32B8F" w:rsidRDefault="00CF599D">
      <w:r w:rsidRPr="00D32B8F">
        <w:separator/>
      </w:r>
    </w:p>
  </w:endnote>
  <w:endnote w:type="continuationSeparator" w:id="0">
    <w:p w14:paraId="5EA65BBE" w14:textId="77777777" w:rsidR="00CF599D" w:rsidRPr="00D32B8F" w:rsidRDefault="00CF599D">
      <w:r w:rsidRPr="00D32B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8B08" w14:textId="77777777" w:rsidR="00506EED" w:rsidRPr="00D32B8F" w:rsidRDefault="00506EED" w:rsidP="00A567AC">
    <w:pPr>
      <w:pStyle w:val="EPFooter"/>
    </w:pPr>
    <w:r w:rsidRPr="00D32B8F">
      <w:t>PE</w:t>
    </w:r>
    <w:r w:rsidRPr="00D32B8F">
      <w:rPr>
        <w:rStyle w:val="HideTWBExt"/>
      </w:rPr>
      <w:t>&lt;</w:t>
    </w:r>
    <w:proofErr w:type="spellStart"/>
    <w:r w:rsidRPr="00D32B8F">
      <w:rPr>
        <w:rStyle w:val="HideTWBExt"/>
      </w:rPr>
      <w:t>NoPE</w:t>
    </w:r>
    <w:proofErr w:type="spellEnd"/>
    <w:r w:rsidRPr="00D32B8F">
      <w:rPr>
        <w:rStyle w:val="HideTWBExt"/>
      </w:rPr>
      <w:t>&gt;</w:t>
    </w:r>
    <w:r w:rsidRPr="00D32B8F">
      <w:t>785.333</w:t>
    </w:r>
    <w:r w:rsidRPr="00D32B8F">
      <w:rPr>
        <w:rStyle w:val="HideTWBExt"/>
      </w:rPr>
      <w:t>&lt;/</w:t>
    </w:r>
    <w:proofErr w:type="spellStart"/>
    <w:r w:rsidRPr="00D32B8F">
      <w:rPr>
        <w:rStyle w:val="HideTWBExt"/>
      </w:rPr>
      <w:t>NoPE</w:t>
    </w:r>
    <w:proofErr w:type="spellEnd"/>
    <w:r w:rsidRPr="00D32B8F">
      <w:rPr>
        <w:rStyle w:val="HideTWBExt"/>
      </w:rPr>
      <w:t>&gt;&lt;Version&gt;</w:t>
    </w:r>
    <w:r w:rsidRPr="00D32B8F">
      <w:t>v03-00</w:t>
    </w:r>
    <w:r w:rsidRPr="00D32B8F">
      <w:rPr>
        <w:rStyle w:val="HideTWBExt"/>
      </w:rPr>
      <w:t>&lt;/</w:t>
    </w:r>
    <w:proofErr w:type="spellStart"/>
    <w:r w:rsidRPr="00D32B8F">
      <w:rPr>
        <w:rStyle w:val="HideTWBExt"/>
      </w:rPr>
      <w:t>Version</w:t>
    </w:r>
    <w:proofErr w:type="spellEnd"/>
    <w:r w:rsidRPr="00D32B8F">
      <w:rPr>
        <w:rStyle w:val="HideTWBExt"/>
      </w:rPr>
      <w:t>&gt;</w:t>
    </w:r>
    <w:r w:rsidRPr="00D32B8F">
      <w:tab/>
    </w:r>
    <w:r w:rsidRPr="00D32B8F">
      <w:fldChar w:fldCharType="begin"/>
    </w:r>
    <w:r w:rsidRPr="00D32B8F">
      <w:instrText xml:space="preserve"> PAGE  \* MERGEFORMAT </w:instrText>
    </w:r>
    <w:r w:rsidRPr="00D32B8F">
      <w:fldChar w:fldCharType="separate"/>
    </w:r>
    <w:r w:rsidRPr="00D32B8F">
      <w:rPr>
        <w:noProof/>
      </w:rPr>
      <w:t>2</w:t>
    </w:r>
    <w:r w:rsidRPr="00D32B8F">
      <w:fldChar w:fldCharType="end"/>
    </w:r>
    <w:r w:rsidRPr="00D32B8F">
      <w:t>/</w:t>
    </w:r>
    <w:fldSimple w:instr=" NUMPAGES  \* MERGEFORMAT ">
      <w:r w:rsidRPr="00D32B8F">
        <w:rPr>
          <w:noProof/>
        </w:rPr>
        <w:t>20</w:t>
      </w:r>
    </w:fldSimple>
    <w:r w:rsidRPr="00D32B8F">
      <w:tab/>
    </w:r>
    <w:r w:rsidRPr="00D32B8F">
      <w:rPr>
        <w:rStyle w:val="HideTWBExt"/>
      </w:rPr>
      <w:t>&lt;PathFdR&gt;</w:t>
    </w:r>
    <w:r w:rsidRPr="00D32B8F">
      <w:t>RR\1341391LT.docx</w:t>
    </w:r>
    <w:r w:rsidRPr="00D32B8F">
      <w:rPr>
        <w:rStyle w:val="HideTWBExt"/>
      </w:rPr>
      <w:t>&lt;/</w:t>
    </w:r>
    <w:proofErr w:type="spellStart"/>
    <w:r w:rsidRPr="00D32B8F">
      <w:rPr>
        <w:rStyle w:val="HideTWBExt"/>
      </w:rPr>
      <w:t>PathFdR</w:t>
    </w:r>
    <w:proofErr w:type="spellEnd"/>
    <w:r w:rsidRPr="00D32B8F">
      <w:rPr>
        <w:rStyle w:val="HideTWBExt"/>
      </w:rPr>
      <w:t>&gt;</w:t>
    </w:r>
  </w:p>
  <w:p w14:paraId="34857677" w14:textId="77777777" w:rsidR="00506EED" w:rsidRPr="00D32B8F" w:rsidRDefault="00506EED" w:rsidP="00A567AC">
    <w:pPr>
      <w:pStyle w:val="EPFooter2"/>
    </w:pPr>
    <w:r w:rsidRPr="00D32B8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9649" w14:textId="77777777" w:rsidR="00506EED" w:rsidRPr="00D32B8F" w:rsidRDefault="00506EED" w:rsidP="00A567AC">
    <w:pPr>
      <w:pStyle w:val="EPFooter"/>
    </w:pPr>
    <w:r w:rsidRPr="00D32B8F">
      <w:rPr>
        <w:rStyle w:val="HideTWBExt"/>
      </w:rPr>
      <w:t>&lt;PathFdR&gt;</w:t>
    </w:r>
    <w:r w:rsidRPr="00D32B8F">
      <w:t>RR\1341391LT.docx</w:t>
    </w:r>
    <w:r w:rsidRPr="00D32B8F">
      <w:rPr>
        <w:rStyle w:val="HideTWBExt"/>
      </w:rPr>
      <w:t>&lt;/</w:t>
    </w:r>
    <w:proofErr w:type="spellStart"/>
    <w:r w:rsidRPr="00D32B8F">
      <w:rPr>
        <w:rStyle w:val="HideTWBExt"/>
      </w:rPr>
      <w:t>PathFdR</w:t>
    </w:r>
    <w:proofErr w:type="spellEnd"/>
    <w:r w:rsidRPr="00D32B8F">
      <w:rPr>
        <w:rStyle w:val="HideTWBExt"/>
      </w:rPr>
      <w:t>&gt;</w:t>
    </w:r>
    <w:r w:rsidRPr="00D32B8F">
      <w:tab/>
    </w:r>
    <w:r w:rsidRPr="00D32B8F">
      <w:tab/>
      <w:t>PE</w:t>
    </w:r>
    <w:r w:rsidRPr="00D32B8F">
      <w:rPr>
        <w:rStyle w:val="HideTWBExt"/>
      </w:rPr>
      <w:t>&lt;</w:t>
    </w:r>
    <w:proofErr w:type="spellStart"/>
    <w:r w:rsidRPr="00D32B8F">
      <w:rPr>
        <w:rStyle w:val="HideTWBExt"/>
      </w:rPr>
      <w:t>NoPE</w:t>
    </w:r>
    <w:proofErr w:type="spellEnd"/>
    <w:r w:rsidRPr="00D32B8F">
      <w:rPr>
        <w:rStyle w:val="HideTWBExt"/>
      </w:rPr>
      <w:t>&gt;</w:t>
    </w:r>
    <w:r w:rsidRPr="00D32B8F">
      <w:t>785.333</w:t>
    </w:r>
    <w:r w:rsidRPr="00D32B8F">
      <w:rPr>
        <w:rStyle w:val="HideTWBExt"/>
      </w:rPr>
      <w:t>&lt;/</w:t>
    </w:r>
    <w:proofErr w:type="spellStart"/>
    <w:r w:rsidRPr="00D32B8F">
      <w:rPr>
        <w:rStyle w:val="HideTWBExt"/>
      </w:rPr>
      <w:t>NoPE</w:t>
    </w:r>
    <w:proofErr w:type="spellEnd"/>
    <w:r w:rsidRPr="00D32B8F">
      <w:rPr>
        <w:rStyle w:val="HideTWBExt"/>
      </w:rPr>
      <w:t>&gt;&lt;Version&gt;</w:t>
    </w:r>
    <w:r w:rsidRPr="00D32B8F">
      <w:t>v03-00</w:t>
    </w:r>
    <w:r w:rsidRPr="00D32B8F">
      <w:rPr>
        <w:rStyle w:val="HideTWBExt"/>
      </w:rPr>
      <w:t>&lt;/</w:t>
    </w:r>
    <w:proofErr w:type="spellStart"/>
    <w:r w:rsidRPr="00D32B8F">
      <w:rPr>
        <w:rStyle w:val="HideTWBExt"/>
      </w:rPr>
      <w:t>Version</w:t>
    </w:r>
    <w:proofErr w:type="spellEnd"/>
    <w:r w:rsidRPr="00D32B8F">
      <w:rPr>
        <w:rStyle w:val="HideTWBExt"/>
      </w:rPr>
      <w:t>&gt;</w:t>
    </w:r>
  </w:p>
  <w:p w14:paraId="1BAF23DF" w14:textId="77777777" w:rsidR="00506EED" w:rsidRPr="00D32B8F" w:rsidRDefault="00506EED" w:rsidP="00A567AC">
    <w:pPr>
      <w:pStyle w:val="EPFooter2"/>
    </w:pPr>
    <w:r w:rsidRPr="00D32B8F">
      <w:t>LT</w:t>
    </w:r>
    <w:r w:rsidRPr="00D32B8F">
      <w:tab/>
    </w:r>
    <w:r w:rsidRPr="00D32B8F">
      <w:rPr>
        <w:b w:val="0"/>
        <w:i/>
        <w:color w:val="C0C0C0"/>
        <w:sz w:val="22"/>
      </w:rPr>
      <w:t>Suvienijusi įvairovę</w:t>
    </w:r>
    <w:r w:rsidRPr="00D32B8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98E5A" w14:textId="77777777" w:rsidR="00064002" w:rsidRPr="00D32B8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54AA" w14:textId="77777777" w:rsidR="00064002" w:rsidRPr="00D32B8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D1D46" w14:textId="77777777" w:rsidR="00064002" w:rsidRPr="00D32B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CD300" w14:textId="77777777" w:rsidR="00CF599D" w:rsidRPr="00D32B8F" w:rsidRDefault="00CF599D">
      <w:r w:rsidRPr="00D32B8F">
        <w:separator/>
      </w:r>
    </w:p>
  </w:footnote>
  <w:footnote w:type="continuationSeparator" w:id="0">
    <w:p w14:paraId="0EB05C77" w14:textId="77777777" w:rsidR="00CF599D" w:rsidRPr="00D32B8F" w:rsidRDefault="00CF599D">
      <w:r w:rsidRPr="00D32B8F">
        <w:continuationSeparator/>
      </w:r>
    </w:p>
  </w:footnote>
  <w:footnote w:id="1">
    <w:p w14:paraId="283DE6C0" w14:textId="43BEA2DF"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r w:rsidRPr="00D32B8F">
        <w:rPr>
          <w:sz w:val="24"/>
          <w:lang w:val="lt-LT"/>
        </w:rPr>
        <w:t xml:space="preserve">OL L 153, 2021 5 3, p. 48, ELI: </w:t>
      </w:r>
      <w:hyperlink r:id="rId1" w:history="1">
        <w:r w:rsidRPr="00D32B8F">
          <w:rPr>
            <w:rStyle w:val="Hyperlink"/>
            <w:sz w:val="24"/>
            <w:lang w:val="lt-LT"/>
          </w:rPr>
          <w:t>http://data.europa.eu/eli/reg/2021/691/oj</w:t>
        </w:r>
      </w:hyperlink>
      <w:r w:rsidRPr="00D32B8F">
        <w:rPr>
          <w:sz w:val="24"/>
          <w:lang w:val="lt-LT"/>
        </w:rPr>
        <w:t>.</w:t>
      </w:r>
    </w:p>
  </w:footnote>
  <w:footnote w:id="2">
    <w:p w14:paraId="69CA18D5" w14:textId="27FC049B"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r w:rsidRPr="00D32B8F">
        <w:rPr>
          <w:sz w:val="24"/>
          <w:lang w:val="lt-LT"/>
        </w:rPr>
        <w:t xml:space="preserve">OL L 433 I, 2020 12 22, p. 11, ELI: </w:t>
      </w:r>
      <w:hyperlink r:id="rId2" w:history="1">
        <w:r w:rsidRPr="00D32B8F">
          <w:rPr>
            <w:rStyle w:val="Hyperlink"/>
            <w:sz w:val="24"/>
            <w:lang w:val="lt-LT"/>
          </w:rPr>
          <w:t>http://data.europa.eu/eli/reg/2020/2093/oj</w:t>
        </w:r>
      </w:hyperlink>
      <w:r w:rsidRPr="00D32B8F">
        <w:rPr>
          <w:sz w:val="24"/>
          <w:lang w:val="lt-LT"/>
        </w:rPr>
        <w:t>.</w:t>
      </w:r>
    </w:p>
  </w:footnote>
  <w:footnote w:id="3">
    <w:p w14:paraId="09278F5B" w14:textId="411E754E"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shd w:val="clear" w:color="auto" w:fill="FFFFFF"/>
          <w:lang w:val="lt-LT"/>
        </w:rPr>
        <w:t xml:space="preserve"> </w:t>
      </w:r>
      <w:r w:rsidR="00D32B8F" w:rsidRPr="00D32B8F">
        <w:rPr>
          <w:sz w:val="24"/>
          <w:shd w:val="clear" w:color="auto" w:fill="FFFFFF"/>
          <w:lang w:val="lt-LT"/>
        </w:rPr>
        <w:tab/>
      </w:r>
      <w:r w:rsidRPr="00D32B8F">
        <w:rPr>
          <w:sz w:val="24"/>
          <w:shd w:val="clear" w:color="auto" w:fill="FFFFFF"/>
          <w:lang w:val="lt-LT"/>
        </w:rPr>
        <w:t>2024 m. vasario 29 d. Tarybos reglamentas (ES, Euratomas) 2024/765, kuriuo iš dalies keičiamas Reglamentas (ES, Euratomas) 2020/2093, kuriuo nustatoma 2021–2027 m. daugiametė finansinė programa (OL L, 2024/765, 2024 2 29, ELI:</w:t>
      </w:r>
      <w:r w:rsidRPr="00D32B8F">
        <w:rPr>
          <w:color w:val="333333"/>
          <w:sz w:val="24"/>
          <w:shd w:val="clear" w:color="auto" w:fill="FFFFFF"/>
          <w:lang w:val="lt-LT"/>
        </w:rPr>
        <w:t xml:space="preserve"> </w:t>
      </w:r>
      <w:hyperlink r:id="rId3" w:history="1">
        <w:r w:rsidRPr="00D32B8F">
          <w:rPr>
            <w:rStyle w:val="Hyperlink"/>
            <w:sz w:val="24"/>
            <w:shd w:val="clear" w:color="auto" w:fill="FFFFFF"/>
            <w:lang w:val="lt-LT"/>
          </w:rPr>
          <w:t>http://data.europa.eu/eli/reg/2024/765/oj</w:t>
        </w:r>
      </w:hyperlink>
      <w:r w:rsidRPr="00D32B8F">
        <w:rPr>
          <w:i/>
          <w:color w:val="333333"/>
          <w:sz w:val="24"/>
          <w:shd w:val="clear" w:color="auto" w:fill="FFFFFF"/>
          <w:lang w:val="lt-LT"/>
        </w:rPr>
        <w:t>).</w:t>
      </w:r>
    </w:p>
  </w:footnote>
  <w:footnote w:id="4">
    <w:p w14:paraId="4DB33FB8" w14:textId="00A4C4F0"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r w:rsidRPr="00D32B8F">
        <w:rPr>
          <w:sz w:val="24"/>
          <w:lang w:val="lt-LT"/>
        </w:rPr>
        <w:t xml:space="preserve">OL L 433 I, 2020 12 22, p. 28, ELI: </w:t>
      </w:r>
      <w:hyperlink r:id="rId4" w:history="1">
        <w:r w:rsidRPr="00D32B8F">
          <w:rPr>
            <w:rStyle w:val="Hyperlink"/>
            <w:sz w:val="24"/>
            <w:lang w:val="lt-LT"/>
          </w:rPr>
          <w:t>http://data.europa.eu/eli/agree_interinstit/2020/1222/oj</w:t>
        </w:r>
      </w:hyperlink>
      <w:r w:rsidRPr="00D32B8F">
        <w:rPr>
          <w:sz w:val="24"/>
          <w:lang w:val="lt-LT"/>
        </w:rPr>
        <w:t>.</w:t>
      </w:r>
    </w:p>
  </w:footnote>
  <w:footnote w:id="5">
    <w:p w14:paraId="70A04F61" w14:textId="14E30B4D"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r w:rsidRPr="00D32B8F">
        <w:rPr>
          <w:sz w:val="24"/>
          <w:lang w:val="lt-LT"/>
        </w:rPr>
        <w:t>Pagal EGF reglamento 3 straipsnį.</w:t>
      </w:r>
    </w:p>
  </w:footnote>
  <w:footnote w:id="6">
    <w:p w14:paraId="51123EC3" w14:textId="450C8895"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r w:rsidRPr="00D32B8F">
        <w:rPr>
          <w:sz w:val="24"/>
          <w:lang w:val="lt-LT"/>
        </w:rPr>
        <w:t>DFP reglamento 8 straipsnis.</w:t>
      </w:r>
    </w:p>
  </w:footnote>
  <w:footnote w:id="7">
    <w:p w14:paraId="43FEA8DD" w14:textId="347A7F6A" w:rsidR="00506EED" w:rsidRPr="00D32B8F" w:rsidRDefault="00506EED" w:rsidP="00D32B8F">
      <w:pPr>
        <w:pStyle w:val="FootnoteText"/>
        <w:ind w:left="567" w:hanging="567"/>
        <w:rPr>
          <w:sz w:val="24"/>
          <w:lang w:val="lt-LT"/>
        </w:rPr>
      </w:pPr>
      <w:r w:rsidRPr="00D32B8F">
        <w:rPr>
          <w:rStyle w:val="FootnoteReference"/>
          <w:sz w:val="24"/>
          <w:lang w:val="lt-LT"/>
        </w:rPr>
        <w:footnoteRef/>
      </w:r>
      <w:r w:rsidR="00D32B8F" w:rsidRPr="00D32B8F">
        <w:rPr>
          <w:sz w:val="24"/>
          <w:lang w:val="lt-LT"/>
        </w:rPr>
        <w:t xml:space="preserve"> </w:t>
      </w:r>
      <w:r w:rsidR="00D32B8F" w:rsidRPr="00D32B8F">
        <w:rPr>
          <w:sz w:val="24"/>
          <w:lang w:val="lt-LT"/>
        </w:rPr>
        <w:tab/>
      </w:r>
      <w:hyperlink r:id="rId5" w:history="1">
        <w:r w:rsidRPr="00D32B8F">
          <w:rPr>
            <w:rStyle w:val="Hyperlink"/>
            <w:sz w:val="24"/>
            <w:lang w:val="lt-LT"/>
          </w:rPr>
          <w:t>Belgijos nacionalinis bankas.</w:t>
        </w:r>
      </w:hyperlink>
      <w:r w:rsidRPr="00D32B8F">
        <w:rPr>
          <w:sz w:val="24"/>
          <w:lang w:val="lt-LT"/>
        </w:rPr>
        <w:t xml:space="preserve"> </w:t>
      </w:r>
      <w:hyperlink r:id="rId6" w:history="1">
        <w:r w:rsidRPr="00D32B8F">
          <w:rPr>
            <w:rStyle w:val="Hyperlink"/>
            <w:sz w:val="24"/>
            <w:lang w:val="lt-LT"/>
          </w:rPr>
          <w:t>2024 m. ekonominė apžvalga</w:t>
        </w:r>
      </w:hyperlink>
      <w:r w:rsidRPr="00D32B8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354B" w14:textId="77777777" w:rsidR="00064002" w:rsidRPr="00D32B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A2206" w14:textId="77777777" w:rsidR="00064002" w:rsidRPr="00D32B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C37F" w14:textId="77777777" w:rsidR="00064002" w:rsidRPr="00D32B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5996868">
    <w:abstractNumId w:val="9"/>
  </w:num>
  <w:num w:numId="2" w16cid:durableId="1230193025">
    <w:abstractNumId w:val="9"/>
  </w:num>
  <w:num w:numId="3" w16cid:durableId="1166287297">
    <w:abstractNumId w:val="7"/>
  </w:num>
  <w:num w:numId="4" w16cid:durableId="656886771">
    <w:abstractNumId w:val="7"/>
  </w:num>
  <w:num w:numId="5" w16cid:durableId="12609932">
    <w:abstractNumId w:val="6"/>
  </w:num>
  <w:num w:numId="6" w16cid:durableId="497160367">
    <w:abstractNumId w:val="6"/>
  </w:num>
  <w:num w:numId="7" w16cid:durableId="192501351">
    <w:abstractNumId w:val="5"/>
  </w:num>
  <w:num w:numId="8" w16cid:durableId="1632206693">
    <w:abstractNumId w:val="5"/>
  </w:num>
  <w:num w:numId="9" w16cid:durableId="671447409">
    <w:abstractNumId w:val="4"/>
  </w:num>
  <w:num w:numId="10" w16cid:durableId="148980551">
    <w:abstractNumId w:val="4"/>
  </w:num>
  <w:num w:numId="11" w16cid:durableId="2144813269">
    <w:abstractNumId w:val="8"/>
  </w:num>
  <w:num w:numId="12" w16cid:durableId="1359508560">
    <w:abstractNumId w:val="8"/>
  </w:num>
  <w:num w:numId="13" w16cid:durableId="1425801417">
    <w:abstractNumId w:val="3"/>
  </w:num>
  <w:num w:numId="14" w16cid:durableId="1377467740">
    <w:abstractNumId w:val="3"/>
  </w:num>
  <w:num w:numId="15" w16cid:durableId="510685005">
    <w:abstractNumId w:val="2"/>
  </w:num>
  <w:num w:numId="16" w16cid:durableId="1729307306">
    <w:abstractNumId w:val="2"/>
  </w:num>
  <w:num w:numId="17" w16cid:durableId="1513295733">
    <w:abstractNumId w:val="1"/>
  </w:num>
  <w:num w:numId="18" w16cid:durableId="977103622">
    <w:abstractNumId w:val="1"/>
  </w:num>
  <w:num w:numId="19" w16cid:durableId="1519738281">
    <w:abstractNumId w:val="0"/>
  </w:num>
  <w:num w:numId="20" w16cid:durableId="2123451009">
    <w:abstractNumId w:val="0"/>
  </w:num>
  <w:num w:numId="21" w16cid:durableId="624310369">
    <w:abstractNumId w:val="9"/>
  </w:num>
  <w:num w:numId="22" w16cid:durableId="1300308304">
    <w:abstractNumId w:val="7"/>
  </w:num>
  <w:num w:numId="23" w16cid:durableId="2125997639">
    <w:abstractNumId w:val="6"/>
  </w:num>
  <w:num w:numId="24" w16cid:durableId="66149653">
    <w:abstractNumId w:val="5"/>
  </w:num>
  <w:num w:numId="25" w16cid:durableId="1728455863">
    <w:abstractNumId w:val="4"/>
  </w:num>
  <w:num w:numId="26" w16cid:durableId="487208654">
    <w:abstractNumId w:val="8"/>
  </w:num>
  <w:num w:numId="27" w16cid:durableId="760177712">
    <w:abstractNumId w:val="3"/>
  </w:num>
  <w:num w:numId="28" w16cid:durableId="1800681292">
    <w:abstractNumId w:val="2"/>
  </w:num>
  <w:num w:numId="29" w16cid:durableId="1776517029">
    <w:abstractNumId w:val="1"/>
  </w:num>
  <w:num w:numId="30" w16cid:durableId="733086404">
    <w:abstractNumId w:val="0"/>
  </w:num>
  <w:num w:numId="31" w16cid:durableId="901914731">
    <w:abstractNumId w:val="9"/>
  </w:num>
  <w:num w:numId="32" w16cid:durableId="1671565639">
    <w:abstractNumId w:val="7"/>
  </w:num>
  <w:num w:numId="33" w16cid:durableId="521088633">
    <w:abstractNumId w:val="6"/>
  </w:num>
  <w:num w:numId="34" w16cid:durableId="648747786">
    <w:abstractNumId w:val="5"/>
  </w:num>
  <w:num w:numId="35" w16cid:durableId="1372269661">
    <w:abstractNumId w:val="4"/>
  </w:num>
  <w:num w:numId="36" w16cid:durableId="255986342">
    <w:abstractNumId w:val="8"/>
  </w:num>
  <w:num w:numId="37" w16cid:durableId="2081824485">
    <w:abstractNumId w:val="3"/>
  </w:num>
  <w:num w:numId="38" w16cid:durableId="862128491">
    <w:abstractNumId w:val="2"/>
  </w:num>
  <w:num w:numId="39" w16cid:durableId="1635598892">
    <w:abstractNumId w:val="1"/>
  </w:num>
  <w:num w:numId="40" w16cid:durableId="1841656628">
    <w:abstractNumId w:val="0"/>
  </w:num>
  <w:num w:numId="41" w16cid:durableId="1358657882">
    <w:abstractNumId w:val="10"/>
  </w:num>
  <w:num w:numId="42" w16cid:durableId="32580560">
    <w:abstractNumId w:val="10"/>
  </w:num>
  <w:num w:numId="43" w16cid:durableId="733896947">
    <w:abstractNumId w:val="10"/>
  </w:num>
  <w:num w:numId="44" w16cid:durableId="1375691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LT"/>
    <w:docVar w:name="dvnumam" w:val="0"/>
    <w:docVar w:name="dvpe" w:val="785.333"/>
    <w:docVar w:name="dvrapporteur" w:val="Pranešėjas: "/>
    <w:docVar w:name="dvtitre" w:val="2026 m. ... ... d. Europos Parlamento rezoliucija dėl pasiūlymo dėl Europos Parlamento ir Tarybos sprendimo dėl Europos prisitaikymo prie globalizacijos padarinių fondo atleistiems darbuotojams lėšų mobilizavimo pagal Belgijos paraišką EGF/2025/008 BE/Liberty(COM(2026)0004 – C10-0062/2026 – 2026/0066(BUD))"/>
  </w:docVars>
  <w:rsids>
    <w:rsidRoot w:val="00CF599D"/>
    <w:rsid w:val="00002272"/>
    <w:rsid w:val="00064002"/>
    <w:rsid w:val="000677B9"/>
    <w:rsid w:val="000831BA"/>
    <w:rsid w:val="000A42CC"/>
    <w:rsid w:val="000E7DD9"/>
    <w:rsid w:val="0010095E"/>
    <w:rsid w:val="00125B37"/>
    <w:rsid w:val="00187494"/>
    <w:rsid w:val="001D068B"/>
    <w:rsid w:val="001F32AE"/>
    <w:rsid w:val="002767FF"/>
    <w:rsid w:val="002B18FE"/>
    <w:rsid w:val="002B5493"/>
    <w:rsid w:val="00324C56"/>
    <w:rsid w:val="00343214"/>
    <w:rsid w:val="00361C00"/>
    <w:rsid w:val="00395FA1"/>
    <w:rsid w:val="003E15D4"/>
    <w:rsid w:val="00411CCE"/>
    <w:rsid w:val="0041666E"/>
    <w:rsid w:val="00421060"/>
    <w:rsid w:val="00471C19"/>
    <w:rsid w:val="004867E3"/>
    <w:rsid w:val="00494A28"/>
    <w:rsid w:val="004C0004"/>
    <w:rsid w:val="004C5D52"/>
    <w:rsid w:val="0050519A"/>
    <w:rsid w:val="005057D2"/>
    <w:rsid w:val="00506EED"/>
    <w:rsid w:val="005072A1"/>
    <w:rsid w:val="00514517"/>
    <w:rsid w:val="0054178A"/>
    <w:rsid w:val="00545827"/>
    <w:rsid w:val="00554C64"/>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28F"/>
    <w:rsid w:val="00817416"/>
    <w:rsid w:val="00842779"/>
    <w:rsid w:val="00863CC5"/>
    <w:rsid w:val="00865F67"/>
    <w:rsid w:val="00881A7B"/>
    <w:rsid w:val="008840E5"/>
    <w:rsid w:val="00887B3E"/>
    <w:rsid w:val="008C2AC6"/>
    <w:rsid w:val="0092746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99D"/>
    <w:rsid w:val="00D058B8"/>
    <w:rsid w:val="00D32B8F"/>
    <w:rsid w:val="00D56C11"/>
    <w:rsid w:val="00D834A0"/>
    <w:rsid w:val="00D872DF"/>
    <w:rsid w:val="00D91E21"/>
    <w:rsid w:val="00DA7FCD"/>
    <w:rsid w:val="00E04A56"/>
    <w:rsid w:val="00E365E1"/>
    <w:rsid w:val="00E820A4"/>
    <w:rsid w:val="00EB006A"/>
    <w:rsid w:val="00EB4772"/>
    <w:rsid w:val="00EC1508"/>
    <w:rsid w:val="00ED169E"/>
    <w:rsid w:val="00ED4235"/>
    <w:rsid w:val="00F04346"/>
    <w:rsid w:val="00F075DC"/>
    <w:rsid w:val="00F149E9"/>
    <w:rsid w:val="00F41135"/>
    <w:rsid w:val="00F5134D"/>
    <w:rsid w:val="00F74202"/>
    <w:rsid w:val="00F87713"/>
    <w:rsid w:val="00FB4360"/>
    <w:rsid w:val="00FB656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C7010"/>
  <w15:chartTrackingRefBased/>
  <w15:docId w15:val="{A86620B2-C1A3-4BF9-B7A5-574C567CB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6EE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06EED"/>
    <w:pPr>
      <w:keepNext/>
      <w:spacing w:after="480"/>
      <w:jc w:val="center"/>
    </w:pPr>
    <w:rPr>
      <w:rFonts w:ascii="Arial" w:hAnsi="Arial" w:cs="Arial"/>
      <w:b/>
    </w:rPr>
  </w:style>
  <w:style w:type="paragraph" w:customStyle="1" w:styleId="NormalHanging12a">
    <w:name w:val="NormalHanging12a"/>
    <w:basedOn w:val="Normal"/>
    <w:link w:val="NormalHanging12aChar"/>
    <w:rsid w:val="00506EED"/>
    <w:pPr>
      <w:spacing w:after="240"/>
      <w:ind w:left="567" w:hanging="567"/>
    </w:pPr>
  </w:style>
  <w:style w:type="paragraph" w:styleId="Header">
    <w:name w:val="header"/>
    <w:basedOn w:val="Normal"/>
    <w:link w:val="HeaderChar"/>
    <w:rsid w:val="00506EED"/>
    <w:pPr>
      <w:tabs>
        <w:tab w:val="center" w:pos="4513"/>
        <w:tab w:val="right" w:pos="9026"/>
      </w:tabs>
    </w:pPr>
  </w:style>
  <w:style w:type="character" w:customStyle="1" w:styleId="HeaderChar">
    <w:name w:val="Header Char"/>
    <w:basedOn w:val="DefaultParagraphFont"/>
    <w:link w:val="Header"/>
    <w:rsid w:val="00506EED"/>
    <w:rPr>
      <w:sz w:val="24"/>
      <w:lang w:val="lt-LT"/>
    </w:rPr>
  </w:style>
  <w:style w:type="paragraph" w:customStyle="1" w:styleId="EPFooter">
    <w:name w:val="EPFooter"/>
    <w:basedOn w:val="Normal"/>
    <w:rsid w:val="00506EED"/>
    <w:pPr>
      <w:tabs>
        <w:tab w:val="center" w:pos="4535"/>
        <w:tab w:val="right" w:pos="9071"/>
      </w:tabs>
      <w:spacing w:before="240" w:after="240"/>
    </w:pPr>
    <w:rPr>
      <w:color w:val="010000"/>
      <w:sz w:val="22"/>
    </w:rPr>
  </w:style>
  <w:style w:type="paragraph" w:customStyle="1" w:styleId="EPComma">
    <w:name w:val="EPComma"/>
    <w:basedOn w:val="Normal"/>
    <w:rsid w:val="00506EED"/>
    <w:pPr>
      <w:spacing w:before="480" w:after="240"/>
    </w:pPr>
  </w:style>
  <w:style w:type="character" w:styleId="Hyperlink">
    <w:name w:val="Hyperlink"/>
    <w:basedOn w:val="DefaultParagraphFont"/>
    <w:uiPriority w:val="99"/>
    <w:rsid w:val="00506EED"/>
    <w:rPr>
      <w:color w:val="0563C1" w:themeColor="hyperlink"/>
      <w:u w:val="single"/>
    </w:rPr>
  </w:style>
  <w:style w:type="character" w:customStyle="1" w:styleId="NormalHanging12aChar">
    <w:name w:val="NormalHanging12a Char"/>
    <w:basedOn w:val="DefaultParagraphFont"/>
    <w:link w:val="NormalHanging12a"/>
    <w:locked/>
    <w:rsid w:val="00506EED"/>
    <w:rPr>
      <w:sz w:val="24"/>
      <w:lang w:val="lt-LT"/>
    </w:rPr>
  </w:style>
  <w:style w:type="paragraph" w:customStyle="1" w:styleId="Institutionquisigne">
    <w:name w:val="Institution qui signe"/>
    <w:basedOn w:val="Normal"/>
    <w:next w:val="Personnequisigne"/>
    <w:rsid w:val="00506EE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06EE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06EE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06EE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06EE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06EED"/>
    <w:pPr>
      <w:widowControl/>
      <w:tabs>
        <w:tab w:val="left" w:pos="4252"/>
      </w:tabs>
    </w:pPr>
    <w:rPr>
      <w:rFonts w:eastAsiaTheme="minorHAnsi"/>
      <w:i/>
      <w:szCs w:val="22"/>
      <w:lang w:eastAsia="en-US"/>
    </w:rPr>
  </w:style>
  <w:style w:type="paragraph" w:customStyle="1" w:styleId="ManualConsidrant">
    <w:name w:val="Manual Considérant"/>
    <w:basedOn w:val="Normal"/>
    <w:rsid w:val="00506EED"/>
    <w:pPr>
      <w:widowControl/>
      <w:spacing w:before="120" w:after="120"/>
      <w:ind w:left="709" w:hanging="709"/>
      <w:jc w:val="both"/>
    </w:pPr>
    <w:rPr>
      <w:rFonts w:eastAsiaTheme="minorHAnsi"/>
      <w:szCs w:val="22"/>
      <w:lang w:eastAsia="en-US"/>
    </w:rPr>
  </w:style>
  <w:style w:type="paragraph" w:customStyle="1" w:styleId="Lignefinal">
    <w:name w:val="Ligne final"/>
    <w:basedOn w:val="Normal"/>
    <w:next w:val="Normal"/>
    <w:rsid w:val="00506EED"/>
    <w:pPr>
      <w:widowControl/>
      <w:pBdr>
        <w:bottom w:val="single" w:sz="4" w:space="0" w:color="000000"/>
      </w:pBdr>
      <w:spacing w:before="360" w:after="120" w:line="360" w:lineRule="auto"/>
      <w:ind w:left="3400" w:right="3400"/>
      <w:jc w:val="center"/>
    </w:pPr>
    <w:rPr>
      <w:rFonts w:eastAsiaTheme="minorHAnsi"/>
      <w:b/>
      <w:szCs w:val="22"/>
      <w:lang w:eastAsia="lt-LT" w:bidi="lt-LT"/>
    </w:rPr>
  </w:style>
  <w:style w:type="character" w:customStyle="1" w:styleId="PageHeadingChar">
    <w:name w:val="PageHeading Char"/>
    <w:basedOn w:val="DefaultParagraphFont"/>
    <w:link w:val="PageHeading"/>
    <w:locked/>
    <w:rsid w:val="00506EED"/>
    <w:rPr>
      <w:rFonts w:ascii="Arial" w:hAnsi="Arial" w:cs="Arial"/>
      <w:b/>
      <w:sz w:val="24"/>
      <w:lang w:val="lt-LT"/>
    </w:rPr>
  </w:style>
  <w:style w:type="paragraph" w:styleId="Footer">
    <w:name w:val="footer"/>
    <w:basedOn w:val="Normal"/>
    <w:link w:val="FooterChar"/>
    <w:rsid w:val="00E04A56"/>
    <w:pPr>
      <w:tabs>
        <w:tab w:val="center" w:pos="4513"/>
        <w:tab w:val="right" w:pos="9026"/>
      </w:tabs>
    </w:pPr>
  </w:style>
  <w:style w:type="character" w:customStyle="1" w:styleId="FooterChar">
    <w:name w:val="Footer Char"/>
    <w:basedOn w:val="DefaultParagraphFont"/>
    <w:link w:val="Footer"/>
    <w:rsid w:val="00E04A56"/>
    <w:rPr>
      <w:sz w:val="24"/>
      <w:lang w:val="lt-LT"/>
    </w:rPr>
  </w:style>
  <w:style w:type="paragraph" w:styleId="Revision">
    <w:name w:val="Revision"/>
    <w:hidden/>
    <w:uiPriority w:val="99"/>
    <w:semiHidden/>
    <w:rsid w:val="00E04A5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1542</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2026-07-07T12:12:00Z</dcterms:created>
  <dcterms:modified xsi:type="dcterms:W3CDTF">2026-07-07T12:12:00Z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P10_TA(2026)0145_</vt:lpwstr>
  </property>
  <property fmtid="{D5CDD505-2E9C-101B-9397-08002B2CF9AE}" pid="4" name="&lt;Type&gt;">
    <vt:lpwstr>RR</vt:lpwstr>
  </property>
</Properties>
</file>