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0DE9" w14:paraId="18A4C580" w14:textId="77777777" w:rsidTr="0010095E">
        <w:trPr>
          <w:trHeight w:hRule="exact" w:val="1418"/>
        </w:trPr>
        <w:tc>
          <w:tcPr>
            <w:tcW w:w="6804" w:type="dxa"/>
            <w:shd w:val="clear" w:color="auto" w:fill="auto"/>
            <w:vAlign w:val="center"/>
          </w:tcPr>
          <w:p w14:paraId="7C3E999B" w14:textId="7E92730F" w:rsidR="00751A4A" w:rsidRPr="00300DE9" w:rsidRDefault="00966348" w:rsidP="0010095E">
            <w:pPr>
              <w:pStyle w:val="EPName"/>
            </w:pPr>
            <w:r w:rsidRPr="00300DE9">
              <w:t>Eiropas Parlaments</w:t>
            </w:r>
          </w:p>
          <w:p w14:paraId="0897D3C9" w14:textId="77777777" w:rsidR="00751A4A" w:rsidRPr="00300DE9" w:rsidRDefault="005F1B17" w:rsidP="005F1B17">
            <w:pPr>
              <w:pStyle w:val="EPTerm"/>
              <w:rPr>
                <w:rStyle w:val="HideTWBExt"/>
                <w:noProof w:val="0"/>
                <w:vanish w:val="0"/>
                <w:color w:val="auto"/>
              </w:rPr>
            </w:pPr>
            <w:r w:rsidRPr="00300DE9">
              <w:t>2024</w:t>
            </w:r>
            <w:r w:rsidR="00817416" w:rsidRPr="00300DE9">
              <w:t>-202</w:t>
            </w:r>
            <w:r w:rsidRPr="00300DE9">
              <w:t>9</w:t>
            </w:r>
          </w:p>
        </w:tc>
        <w:tc>
          <w:tcPr>
            <w:tcW w:w="2268" w:type="dxa"/>
            <w:shd w:val="clear" w:color="auto" w:fill="auto"/>
          </w:tcPr>
          <w:p w14:paraId="43A47EE4" w14:textId="77777777" w:rsidR="00751A4A" w:rsidRPr="00300DE9" w:rsidRDefault="00187494" w:rsidP="0010095E">
            <w:pPr>
              <w:pStyle w:val="EPLogo"/>
            </w:pPr>
            <w:r w:rsidRPr="00300DE9">
              <w:rPr>
                <w:noProof/>
                <w:lang w:eastAsia="ja-JP"/>
              </w:rPr>
              <w:drawing>
                <wp:inline distT="0" distB="0" distL="0" distR="0" wp14:anchorId="7F04A704" wp14:editId="708839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397CB8" w14:textId="77777777" w:rsidR="00D058B8" w:rsidRPr="00300DE9" w:rsidRDefault="00D058B8" w:rsidP="004C5D52">
      <w:pPr>
        <w:pStyle w:val="LineTop"/>
      </w:pPr>
    </w:p>
    <w:p w14:paraId="2C7261AE" w14:textId="7E9415EE" w:rsidR="00680577" w:rsidRPr="00300DE9" w:rsidRDefault="00966348" w:rsidP="00680577">
      <w:pPr>
        <w:pStyle w:val="EPBodyTA1"/>
      </w:pPr>
      <w:r w:rsidRPr="00300DE9">
        <w:t>PIEŅEMTIE TEKSTI</w:t>
      </w:r>
    </w:p>
    <w:p w14:paraId="3B1A2AF3" w14:textId="77777777" w:rsidR="00D058B8" w:rsidRPr="00300DE9" w:rsidRDefault="00D058B8" w:rsidP="00D058B8">
      <w:pPr>
        <w:pStyle w:val="LineBottom"/>
      </w:pPr>
    </w:p>
    <w:p w14:paraId="16B909B5" w14:textId="04490AAF" w:rsidR="00966348" w:rsidRPr="00300DE9" w:rsidRDefault="00966348" w:rsidP="00966348">
      <w:pPr>
        <w:pStyle w:val="ATHeading1"/>
      </w:pPr>
      <w:bookmarkStart w:id="0" w:name="TANumber"/>
      <w:r w:rsidRPr="00300DE9">
        <w:t>P10_TA(2026)0</w:t>
      </w:r>
      <w:r w:rsidR="00300DE9" w:rsidRPr="00300DE9">
        <w:t>145</w:t>
      </w:r>
      <w:bookmarkEnd w:id="0"/>
    </w:p>
    <w:p w14:paraId="5874A239" w14:textId="27265187" w:rsidR="00966348" w:rsidRPr="00300DE9" w:rsidRDefault="00796F42" w:rsidP="00796F42">
      <w:pPr>
        <w:pStyle w:val="ATHeading2"/>
      </w:pPr>
      <w:bookmarkStart w:id="1" w:name="title"/>
      <w:r w:rsidRPr="00300DE9">
        <w:t>Eiropas Globalizācijas pielāgošanās fonda darbu zaudējušiem darba ņēmējiem izmantošana: pieteikums EGF/2025/008 BE</w:t>
      </w:r>
      <w:r w:rsidRPr="00300DE9">
        <w:rPr>
          <w:i/>
          <w:iCs/>
        </w:rPr>
        <w:t>/</w:t>
      </w:r>
      <w:proofErr w:type="spellStart"/>
      <w:r w:rsidRPr="00300DE9">
        <w:rPr>
          <w:i/>
          <w:iCs/>
        </w:rPr>
        <w:t>Liberty</w:t>
      </w:r>
      <w:proofErr w:type="spellEnd"/>
      <w:r w:rsidRPr="00300DE9">
        <w:t xml:space="preserve"> - Beļģija</w:t>
      </w:r>
      <w:bookmarkEnd w:id="1"/>
    </w:p>
    <w:p w14:paraId="519CEBA3" w14:textId="77777777" w:rsidR="00966348" w:rsidRPr="00300DE9" w:rsidRDefault="00966348" w:rsidP="00966348">
      <w:pPr>
        <w:rPr>
          <w:i/>
          <w:vanish/>
        </w:rPr>
      </w:pPr>
      <w:r w:rsidRPr="00300DE9">
        <w:rPr>
          <w:i/>
        </w:rPr>
        <w:fldChar w:fldCharType="begin"/>
      </w:r>
      <w:r w:rsidRPr="00300DE9">
        <w:rPr>
          <w:i/>
        </w:rPr>
        <w:instrText xml:space="preserve"> TC"(</w:instrText>
      </w:r>
      <w:bookmarkStart w:id="2" w:name="DocNumber"/>
      <w:r w:rsidRPr="00300DE9">
        <w:rPr>
          <w:i/>
        </w:rPr>
        <w:instrText>A10-0084/2026</w:instrText>
      </w:r>
      <w:bookmarkEnd w:id="2"/>
      <w:r w:rsidRPr="00300DE9">
        <w:rPr>
          <w:i/>
        </w:rPr>
        <w:instrText xml:space="preserve"> - Referents: Matthias Ecke)"\l3 \n&gt; \* MERGEFORMAT </w:instrText>
      </w:r>
      <w:r w:rsidRPr="00300DE9">
        <w:rPr>
          <w:i/>
        </w:rPr>
        <w:fldChar w:fldCharType="end"/>
      </w:r>
    </w:p>
    <w:p w14:paraId="35876B59" w14:textId="77777777" w:rsidR="00966348" w:rsidRPr="00300DE9" w:rsidRDefault="00966348" w:rsidP="00966348">
      <w:pPr>
        <w:rPr>
          <w:vanish/>
        </w:rPr>
      </w:pPr>
      <w:bookmarkStart w:id="3" w:name="Commission"/>
      <w:r w:rsidRPr="00300DE9">
        <w:rPr>
          <w:vanish/>
        </w:rPr>
        <w:t>Budžeta komiteja</w:t>
      </w:r>
      <w:bookmarkEnd w:id="3"/>
    </w:p>
    <w:p w14:paraId="3C3F42B8" w14:textId="77777777" w:rsidR="00966348" w:rsidRPr="00300DE9" w:rsidRDefault="00966348" w:rsidP="00966348">
      <w:pPr>
        <w:rPr>
          <w:vanish/>
        </w:rPr>
      </w:pPr>
      <w:bookmarkStart w:id="4" w:name="PE"/>
      <w:r w:rsidRPr="00300DE9">
        <w:rPr>
          <w:vanish/>
        </w:rPr>
        <w:t>PE785.333</w:t>
      </w:r>
      <w:bookmarkEnd w:id="4"/>
    </w:p>
    <w:p w14:paraId="097CA0CF" w14:textId="31DCF2DB" w:rsidR="00966348" w:rsidRPr="00300DE9" w:rsidRDefault="00966348" w:rsidP="00966348">
      <w:pPr>
        <w:pStyle w:val="ATHeading3"/>
      </w:pPr>
      <w:bookmarkStart w:id="5" w:name="Sujet"/>
      <w:r w:rsidRPr="00300DE9">
        <w:t xml:space="preserve">Eiropas Parlamenta 2026. gada </w:t>
      </w:r>
      <w:r w:rsidR="00796F42" w:rsidRPr="00300DE9">
        <w:t>29. aprīļa</w:t>
      </w:r>
      <w:r w:rsidRPr="00300DE9">
        <w:t xml:space="preserve"> rezolūcija par priekšlikumu Eiropas Parlamenta un Padomes lēmumam par Eiropas Globalizācijas pielāgošanās fonda darbu zaudējušiem darba ņēmējiem izmantošanu saistībā ar Beļģijas iesniegto pieteikumu (EGF/2025/008 BE/</w:t>
      </w:r>
      <w:proofErr w:type="spellStart"/>
      <w:r w:rsidRPr="00300DE9">
        <w:rPr>
          <w:i/>
          <w:iCs/>
        </w:rPr>
        <w:t>Liberty</w:t>
      </w:r>
      <w:proofErr w:type="spellEnd"/>
      <w:r w:rsidRPr="00300DE9">
        <w:t>)</w:t>
      </w:r>
      <w:bookmarkEnd w:id="5"/>
      <w:r w:rsidRPr="00300DE9">
        <w:t xml:space="preserve"> </w:t>
      </w:r>
      <w:bookmarkStart w:id="6" w:name="References"/>
      <w:r w:rsidRPr="00300DE9">
        <w:t>(COM(2026)0004 – C10-0062/2026 – 2026/0066(BUD))</w:t>
      </w:r>
      <w:bookmarkEnd w:id="6"/>
    </w:p>
    <w:p w14:paraId="74D9F8B0" w14:textId="77777777" w:rsidR="00277346" w:rsidRPr="00300DE9" w:rsidRDefault="00277346" w:rsidP="00277346">
      <w:pPr>
        <w:pStyle w:val="EPComma"/>
        <w:rPr>
          <w:noProof/>
        </w:rPr>
      </w:pPr>
      <w:r w:rsidRPr="00300DE9">
        <w:rPr>
          <w:i/>
        </w:rPr>
        <w:t>Eiropas Parlaments</w:t>
      </w:r>
      <w:r w:rsidRPr="00300DE9">
        <w:t>,</w:t>
      </w:r>
    </w:p>
    <w:p w14:paraId="69266DB9" w14:textId="77777777" w:rsidR="00277346" w:rsidRPr="00300DE9" w:rsidRDefault="00277346" w:rsidP="00277346">
      <w:pPr>
        <w:pStyle w:val="NormalHanging12a"/>
        <w:rPr>
          <w:noProof/>
        </w:rPr>
      </w:pPr>
      <w:r w:rsidRPr="00300DE9">
        <w:t>–</w:t>
      </w:r>
      <w:r w:rsidRPr="00300DE9">
        <w:tab/>
        <w:t>ņemot vērā Komisijas priekšlikumu Eiropas Parlamentam un Padomei (COM(2026)0004 – C10</w:t>
      </w:r>
      <w:r w:rsidRPr="00300DE9">
        <w:noBreakHyphen/>
        <w:t>0062/2026),</w:t>
      </w:r>
    </w:p>
    <w:p w14:paraId="024C40BB" w14:textId="77777777" w:rsidR="00277346" w:rsidRPr="00300DE9" w:rsidRDefault="00277346" w:rsidP="00277346">
      <w:pPr>
        <w:pStyle w:val="NormalHanging12a"/>
      </w:pPr>
      <w:r w:rsidRPr="00300DE9">
        <w:t>–</w:t>
      </w:r>
      <w:r w:rsidRPr="00300DE9">
        <w:tab/>
        <w:t>ņemot vērā Eiropas Parlamenta un Padomes 2021. gada 28. aprīļa Regulu (ES) 2021/691 par Eiropas Globalizācijas pielāgošanās fondu darbu zaudējušiem darba ņēmējiem (EGF) un ar ko atceļ Regulu (ES) Nr. 1309/2013</w:t>
      </w:r>
      <w:r w:rsidRPr="00300DE9">
        <w:rPr>
          <w:vertAlign w:val="superscript"/>
        </w:rPr>
        <w:footnoteReference w:id="1"/>
      </w:r>
      <w:r w:rsidRPr="00300DE9">
        <w:t xml:space="preserve"> (“EGF regula”), </w:t>
      </w:r>
    </w:p>
    <w:p w14:paraId="425BF656" w14:textId="77777777" w:rsidR="00277346" w:rsidRPr="00300DE9" w:rsidRDefault="00277346" w:rsidP="00277346">
      <w:pPr>
        <w:pStyle w:val="NormalHanging12a"/>
        <w:rPr>
          <w:noProof/>
        </w:rPr>
      </w:pPr>
      <w:r w:rsidRPr="00300DE9">
        <w:t>–</w:t>
      </w:r>
      <w:r w:rsidRPr="00300DE9">
        <w:tab/>
        <w:t xml:space="preserve">ņemot vērā Padomes 2020. gada 17. decembra Regulu (ES, </w:t>
      </w:r>
      <w:r w:rsidRPr="00300DE9">
        <w:rPr>
          <w:i/>
          <w:iCs/>
        </w:rPr>
        <w:t>Euratom</w:t>
      </w:r>
      <w:r w:rsidRPr="00300DE9">
        <w:t>) 2020/2093, ar ko nosaka daudzgadu finanšu shēmu 2021.–2027. gadam (“DFS regula”)</w:t>
      </w:r>
      <w:r w:rsidRPr="00300DE9">
        <w:rPr>
          <w:noProof/>
          <w:vertAlign w:val="superscript"/>
        </w:rPr>
        <w:footnoteReference w:id="2"/>
      </w:r>
      <w:r w:rsidRPr="00300DE9">
        <w:t xml:space="preserve">, kurā izdarīti grozījumi ar Regulu (ES, </w:t>
      </w:r>
      <w:r w:rsidRPr="00300DE9">
        <w:rPr>
          <w:i/>
          <w:iCs/>
        </w:rPr>
        <w:t>Euratom</w:t>
      </w:r>
      <w:r w:rsidRPr="00300DE9">
        <w:t>) 2024/765</w:t>
      </w:r>
      <w:r w:rsidRPr="00300DE9">
        <w:rPr>
          <w:noProof/>
          <w:vertAlign w:val="superscript"/>
        </w:rPr>
        <w:footnoteReference w:id="3"/>
      </w:r>
      <w:r w:rsidRPr="00300DE9">
        <w:t xml:space="preserve">, un jo īpaši tās 8. pantu, </w:t>
      </w:r>
    </w:p>
    <w:p w14:paraId="5D06281F" w14:textId="77777777" w:rsidR="00277346" w:rsidRPr="00300DE9" w:rsidRDefault="00277346" w:rsidP="00277346">
      <w:pPr>
        <w:pStyle w:val="NormalHanging12a"/>
        <w:rPr>
          <w:noProof/>
        </w:rPr>
      </w:pPr>
      <w:r w:rsidRPr="00300DE9">
        <w:t>–</w:t>
      </w:r>
      <w:r w:rsidRPr="00300DE9">
        <w:tab/>
        <w:t xml:space="preserve">ņemot vērā 2020. gada 16. decembra Iestāžu nolīgumu starp Eiropas Parlamentu, Eiropas Savienības Padomi un Eiropas Komisiju par budžeta disciplīnu, sadarbību budžeta jautājumos un pareizu finanšu pārvaldību, kā arī par jauniem pašu resursiem, </w:t>
      </w:r>
      <w:r w:rsidRPr="00300DE9">
        <w:lastRenderedPageBreak/>
        <w:t>tostarp par ceļvedi jaunu pašu resursu ieviešanai</w:t>
      </w:r>
      <w:r w:rsidRPr="00300DE9">
        <w:rPr>
          <w:rStyle w:val="FootnoteReference"/>
          <w:noProof/>
        </w:rPr>
        <w:footnoteReference w:id="4"/>
      </w:r>
      <w:r w:rsidRPr="00300DE9">
        <w:t>, un jo īpaši tā 9. punktu,</w:t>
      </w:r>
    </w:p>
    <w:p w14:paraId="503E06CD" w14:textId="77777777" w:rsidR="00277346" w:rsidRPr="00300DE9" w:rsidRDefault="00277346" w:rsidP="00277346">
      <w:pPr>
        <w:pStyle w:val="NormalHanging12a"/>
      </w:pPr>
      <w:r w:rsidRPr="00300DE9">
        <w:t>–</w:t>
      </w:r>
      <w:r w:rsidRPr="00300DE9">
        <w:tab/>
        <w:t>ņemot vērā Eiropas sociālo tiesību pīlāru,</w:t>
      </w:r>
    </w:p>
    <w:p w14:paraId="7697C2A2" w14:textId="77777777" w:rsidR="00277346" w:rsidRPr="00300DE9" w:rsidRDefault="00277346" w:rsidP="00277346">
      <w:pPr>
        <w:pStyle w:val="NormalHanging12a"/>
      </w:pPr>
      <w:r w:rsidRPr="00300DE9">
        <w:t>–</w:t>
      </w:r>
      <w:r w:rsidRPr="00300DE9">
        <w:tab/>
        <w:t>ņemot vērā Nodarbinātības un sociālo lietu komitejas vēstuli,</w:t>
      </w:r>
    </w:p>
    <w:p w14:paraId="3712AABA" w14:textId="77777777" w:rsidR="00277346" w:rsidRPr="00300DE9" w:rsidRDefault="00277346" w:rsidP="00277346">
      <w:pPr>
        <w:pStyle w:val="NormalHanging12a"/>
      </w:pPr>
      <w:r w:rsidRPr="00300DE9">
        <w:t>–</w:t>
      </w:r>
      <w:r w:rsidRPr="00300DE9">
        <w:tab/>
        <w:t>ņemot vērā Budžeta komitejas ziņojumu (A10-0084/2026),</w:t>
      </w:r>
    </w:p>
    <w:p w14:paraId="622C6E5F" w14:textId="77777777" w:rsidR="00277346" w:rsidRPr="00300DE9" w:rsidRDefault="00277346" w:rsidP="00277346">
      <w:pPr>
        <w:pStyle w:val="NormalHanging12a"/>
        <w:rPr>
          <w:noProof/>
        </w:rPr>
      </w:pPr>
      <w:r w:rsidRPr="00300DE9">
        <w:t>A.</w:t>
      </w:r>
      <w:r w:rsidRPr="00300DE9">
        <w:tab/>
        <w:t>tā kā Savienība ir izveidojusi likumdošanas un budžeta instrumentus, lai sniegtu papildu atbalstu darba ņēmējiem, kurus nelabvēlīgi ietekmē būtiskas strukturālas norises un pārmaiņas pasaules tirdzniecības modeļos, un lai palīdzētu viņiem no jauna iekļauties darba tirgū; tā kā šī palīdzība tiek nodrošināta, sniedzot finansiālu atbalstu darba ņēmējiem;</w:t>
      </w:r>
    </w:p>
    <w:p w14:paraId="5D931351" w14:textId="77777777" w:rsidR="00277346" w:rsidRPr="00300DE9" w:rsidRDefault="00277346" w:rsidP="00277346">
      <w:pPr>
        <w:pStyle w:val="NormalHanging12a"/>
        <w:rPr>
          <w:bCs/>
          <w:iCs/>
          <w:noProof/>
        </w:rPr>
      </w:pPr>
      <w:r w:rsidRPr="00300DE9">
        <w:t>B.</w:t>
      </w:r>
      <w:r w:rsidRPr="00300DE9">
        <w:tab/>
        <w:t xml:space="preserve">tā kā atbalsts būtu jānovirza darba ņēmēju ātrai reintegrācijai un tam, lai nodrošinātu, ka apmācība, </w:t>
      </w:r>
      <w:proofErr w:type="spellStart"/>
      <w:r w:rsidRPr="00300DE9">
        <w:t>pārkvalifikācija</w:t>
      </w:r>
      <w:proofErr w:type="spellEnd"/>
      <w:r w:rsidRPr="00300DE9">
        <w:t xml:space="preserve"> un arodmācības labāk nodrošina darba ņēmējiem prasmes, kas atbilst darba tirgus vajadzībām;</w:t>
      </w:r>
    </w:p>
    <w:p w14:paraId="6E58FE56" w14:textId="77777777" w:rsidR="00277346" w:rsidRPr="00300DE9" w:rsidRDefault="00277346" w:rsidP="00277346">
      <w:pPr>
        <w:pStyle w:val="NormalHanging12a"/>
      </w:pPr>
      <w:r w:rsidRPr="00300DE9">
        <w:t>C.</w:t>
      </w:r>
      <w:r w:rsidRPr="00300DE9">
        <w:tab/>
        <w:t>tā kā Beļģija ir iesniegusi pieteikumu EGF/2025/008 BE/</w:t>
      </w:r>
      <w:proofErr w:type="spellStart"/>
      <w:r w:rsidRPr="00300DE9">
        <w:rPr>
          <w:i/>
          <w:iCs/>
        </w:rPr>
        <w:t>Liberty</w:t>
      </w:r>
      <w:proofErr w:type="spellEnd"/>
      <w:r w:rsidRPr="00300DE9">
        <w:t xml:space="preserve">, lai saņemtu finansiālu ieguldījumu no EGF saistībā ar to, ka pārskata periodā no 2025. gada 24. aprīļa līdz 2025. gada 24. augustam uzņēmuma </w:t>
      </w:r>
      <w:proofErr w:type="spellStart"/>
      <w:r w:rsidRPr="00300DE9">
        <w:rPr>
          <w:i/>
          <w:iCs/>
        </w:rPr>
        <w:t>Liberty</w:t>
      </w:r>
      <w:proofErr w:type="spellEnd"/>
      <w:r w:rsidRPr="00300DE9">
        <w:rPr>
          <w:i/>
          <w:iCs/>
        </w:rPr>
        <w:t xml:space="preserve"> </w:t>
      </w:r>
      <w:proofErr w:type="spellStart"/>
      <w:r w:rsidRPr="00300DE9">
        <w:rPr>
          <w:i/>
          <w:iCs/>
        </w:rPr>
        <w:t>Galaţi</w:t>
      </w:r>
      <w:proofErr w:type="spellEnd"/>
      <w:r w:rsidRPr="00300DE9">
        <w:t xml:space="preserve"> Beļģijas filiālē (</w:t>
      </w:r>
      <w:proofErr w:type="spellStart"/>
      <w:r w:rsidRPr="00300DE9">
        <w:rPr>
          <w:i/>
          <w:iCs/>
        </w:rPr>
        <w:t>Liberty</w:t>
      </w:r>
      <w:proofErr w:type="spellEnd"/>
      <w:r w:rsidRPr="00300DE9">
        <w:t xml:space="preserve">), kas darbojas NACE 2. redakcijas 24. nodaļā klasificētajā saimnieciskās darbības nozarē (Metālu ražošana) </w:t>
      </w:r>
      <w:proofErr w:type="spellStart"/>
      <w:r w:rsidRPr="00300DE9">
        <w:t>Ljēžas</w:t>
      </w:r>
      <w:proofErr w:type="spellEnd"/>
      <w:r w:rsidRPr="00300DE9">
        <w:t xml:space="preserve"> provinces reģionā (BE33) </w:t>
      </w:r>
      <w:proofErr w:type="spellStart"/>
      <w:r w:rsidRPr="00300DE9">
        <w:t>Valonijā</w:t>
      </w:r>
      <w:proofErr w:type="spellEnd"/>
      <w:r w:rsidRPr="00300DE9">
        <w:t>, darbu ir zaudējuši 507 darba ņēmēji</w:t>
      </w:r>
      <w:r w:rsidRPr="00300DE9">
        <w:rPr>
          <w:vertAlign w:val="superscript"/>
        </w:rPr>
        <w:footnoteReference w:id="5"/>
      </w:r>
      <w:r w:rsidRPr="00300DE9">
        <w:t>;</w:t>
      </w:r>
    </w:p>
    <w:p w14:paraId="6722295E" w14:textId="77777777" w:rsidR="00277346" w:rsidRPr="00300DE9" w:rsidRDefault="00277346" w:rsidP="00277346">
      <w:pPr>
        <w:pStyle w:val="NormalHanging12a"/>
      </w:pPr>
      <w:r w:rsidRPr="00300DE9">
        <w:t>D.</w:t>
      </w:r>
      <w:r w:rsidRPr="00300DE9">
        <w:tab/>
        <w:t xml:space="preserve">tā kā pieteikums pamatojas uz intervences kritērijiem, kas izklāstīti EGF regulas 4. panta 2. punkta a) apakšpunktā, kurā paredzēts nosacījums, ka četru mēnešu atsauces periodā darbība beigusies vismaz 200 darbu zaudējušiem darba ņēmējiem vai </w:t>
      </w:r>
      <w:proofErr w:type="spellStart"/>
      <w:r w:rsidRPr="00300DE9">
        <w:t>pašnodarbinātām</w:t>
      </w:r>
      <w:proofErr w:type="spellEnd"/>
      <w:r w:rsidRPr="00300DE9">
        <w:t xml:space="preserve"> personām kādā dalībvalsts uzņēmumā;</w:t>
      </w:r>
    </w:p>
    <w:p w14:paraId="2499EC5E" w14:textId="77777777" w:rsidR="00277346" w:rsidRPr="00300DE9" w:rsidRDefault="00277346" w:rsidP="00277346">
      <w:pPr>
        <w:pStyle w:val="NormalHanging12a"/>
        <w:rPr>
          <w:noProof/>
        </w:rPr>
      </w:pPr>
      <w:r w:rsidRPr="00300DE9">
        <w:t>E.</w:t>
      </w:r>
      <w:r w:rsidRPr="00300DE9">
        <w:tab/>
        <w:t xml:space="preserve">tā kā </w:t>
      </w:r>
      <w:proofErr w:type="spellStart"/>
      <w:r w:rsidRPr="00300DE9">
        <w:t>Ljēžas</w:t>
      </w:r>
      <w:proofErr w:type="spellEnd"/>
      <w:r w:rsidRPr="00300DE9">
        <w:t xml:space="preserve"> </w:t>
      </w:r>
      <w:proofErr w:type="spellStart"/>
      <w:r w:rsidRPr="00300DE9">
        <w:t>Komerclietu</w:t>
      </w:r>
      <w:proofErr w:type="spellEnd"/>
      <w:r w:rsidRPr="00300DE9">
        <w:t xml:space="preserve"> tiesa 2025. gada 22. aprīlī pasludināja </w:t>
      </w:r>
      <w:proofErr w:type="spellStart"/>
      <w:r w:rsidRPr="00300DE9">
        <w:rPr>
          <w:i/>
          <w:iCs/>
        </w:rPr>
        <w:t>Liberty</w:t>
      </w:r>
      <w:proofErr w:type="spellEnd"/>
      <w:r w:rsidRPr="00300DE9">
        <w:t xml:space="preserve"> bankrotu; tā kā Beļģijā kopš 2022. gada pieaug bankrotu skaits;</w:t>
      </w:r>
    </w:p>
    <w:p w14:paraId="400D973C" w14:textId="77777777" w:rsidR="00277346" w:rsidRPr="00300DE9" w:rsidRDefault="00277346" w:rsidP="00277346">
      <w:pPr>
        <w:pStyle w:val="NormalHanging12a"/>
      </w:pPr>
      <w:r w:rsidRPr="00300DE9">
        <w:t>F.</w:t>
      </w:r>
      <w:r w:rsidRPr="00300DE9">
        <w:tab/>
        <w:t xml:space="preserve">tā kā </w:t>
      </w:r>
      <w:proofErr w:type="spellStart"/>
      <w:r w:rsidRPr="00300DE9">
        <w:t>Valonijas</w:t>
      </w:r>
      <w:proofErr w:type="spellEnd"/>
      <w:r w:rsidRPr="00300DE9">
        <w:t xml:space="preserve"> reģions un Reģionālais valsts nodarbinātības un profesionālās izglītības dienests </w:t>
      </w:r>
      <w:proofErr w:type="spellStart"/>
      <w:r w:rsidRPr="00300DE9">
        <w:rPr>
          <w:i/>
          <w:iCs/>
        </w:rPr>
        <w:t>Le</w:t>
      </w:r>
      <w:proofErr w:type="spellEnd"/>
      <w:r w:rsidRPr="00300DE9">
        <w:rPr>
          <w:i/>
          <w:iCs/>
        </w:rPr>
        <w:t> </w:t>
      </w:r>
      <w:proofErr w:type="spellStart"/>
      <w:r w:rsidRPr="00300DE9">
        <w:rPr>
          <w:i/>
          <w:iCs/>
        </w:rPr>
        <w:t>Forem</w:t>
      </w:r>
      <w:proofErr w:type="spellEnd"/>
      <w:r w:rsidRPr="00300DE9">
        <w:t xml:space="preserve"> nodrošina valsts </w:t>
      </w:r>
      <w:proofErr w:type="spellStart"/>
      <w:r w:rsidRPr="00300DE9">
        <w:t>priekšfinansējumu</w:t>
      </w:r>
      <w:proofErr w:type="spellEnd"/>
      <w:r w:rsidRPr="00300DE9">
        <w:t xml:space="preserve"> un līdzfinansējumu minētajiem pasākumiem;</w:t>
      </w:r>
    </w:p>
    <w:p w14:paraId="646F9E67" w14:textId="77777777" w:rsidR="00277346" w:rsidRPr="00300DE9" w:rsidRDefault="00277346" w:rsidP="00277346">
      <w:pPr>
        <w:pStyle w:val="NormalHanging12a"/>
      </w:pPr>
      <w:r w:rsidRPr="00300DE9">
        <w:t>G.</w:t>
      </w:r>
      <w:r w:rsidRPr="00300DE9">
        <w:tab/>
        <w:t>tā kā ir ievērotas Savienības un valsts tiesību aktos paredzētās prasības attiecībā uz kolektīvo atlaišanu;</w:t>
      </w:r>
    </w:p>
    <w:p w14:paraId="291CCBCE" w14:textId="77777777" w:rsidR="00277346" w:rsidRPr="00300DE9" w:rsidRDefault="00277346" w:rsidP="00277346">
      <w:pPr>
        <w:pStyle w:val="NormalHanging12a"/>
      </w:pPr>
      <w:r w:rsidRPr="00300DE9">
        <w:t>H.</w:t>
      </w:r>
      <w:r w:rsidRPr="00300DE9">
        <w:tab/>
        <w:t>tā kā EGF finansiālajam ieguldījumam galvenokārt vajadzētu būt vērstam uz aktīviem darba tirgus politikas pasākumiem un individualizētiem pakalpojumiem, kuru mērķis ir panākt, lai atbalsta saņēmēji pēc iespējas ātrāk atgrieztos darba tirgū, piedāvājot viņiem prasmju apmācību nolūkā atvieglot viņu piekļuvi darba tirgum;</w:t>
      </w:r>
    </w:p>
    <w:p w14:paraId="50C37760" w14:textId="77777777" w:rsidR="00277346" w:rsidRPr="00300DE9" w:rsidRDefault="00277346" w:rsidP="00277346">
      <w:pPr>
        <w:pStyle w:val="NormalHanging12a"/>
      </w:pPr>
      <w:r w:rsidRPr="00300DE9">
        <w:t>I.</w:t>
      </w:r>
      <w:r w:rsidRPr="00300DE9">
        <w:tab/>
        <w:t>tā kā EGF ikgadējais apjoms nedrīkst pārsniegt 30 miljonus EUR (2018. gada cenās)</w:t>
      </w:r>
      <w:r w:rsidRPr="00300DE9">
        <w:rPr>
          <w:rStyle w:val="FootnoteReference"/>
        </w:rPr>
        <w:footnoteReference w:id="6"/>
      </w:r>
      <w:r w:rsidRPr="00300DE9">
        <w:t>,</w:t>
      </w:r>
    </w:p>
    <w:p w14:paraId="75C77A09" w14:textId="77777777" w:rsidR="00277346" w:rsidRPr="00300DE9" w:rsidRDefault="00277346" w:rsidP="00277346">
      <w:pPr>
        <w:pStyle w:val="NormalHanging12a"/>
      </w:pPr>
      <w:r w:rsidRPr="00300DE9">
        <w:lastRenderedPageBreak/>
        <w:t>1.</w:t>
      </w:r>
      <w:r w:rsidRPr="00300DE9">
        <w:tab/>
        <w:t>piekrīt Komisijai, ka EGF regulā un jo īpaši tās 4. panta 2. punkta a) apakšpunktā paredzētie nosacījumi ir izpildīti un ka Beļģija saskaņā ar minēto regulu ir tiesīga saņemt 2 033 869 EUR lielu finansiālu ieguldījumu, kas atbilst 85 % no kopējām izmaksām 2 392 788 EUR apmērā, kuras ietver izdevumus par individualizētiem pakalpojumiem 2 358 922 EUR apmērā un izdevumus par sagatavošanās, pārvaldības, informācijas un publicitātes, kontroles un ziņošanas darbībām 33 866 EUR apmērā;</w:t>
      </w:r>
    </w:p>
    <w:p w14:paraId="00A19526" w14:textId="77777777" w:rsidR="00277346" w:rsidRPr="00300DE9" w:rsidRDefault="00277346" w:rsidP="00277346">
      <w:pPr>
        <w:pStyle w:val="NormalHanging12a"/>
      </w:pPr>
      <w:r w:rsidRPr="00300DE9">
        <w:t>2.</w:t>
      </w:r>
      <w:r w:rsidRPr="00300DE9">
        <w:tab/>
        <w:t xml:space="preserve">norāda, ka Beļģijas iestādes pieteikumu iesniedza 2025. gada 13. novembrī un pēc tam, kad Beļģija bija sniegusi papildu informāciju, Komisija pabeidza pieteikuma novērtēšanu un 2026. gada 2. martā par to paziņoja Parlamentam; uzsver, ka ir jāsaīsina laiks starp EGF pieteikuma iesniegšanu un finansēšanas lēmumu un vienlaikus jāaizsargā Parlamenta tiesības budžeta jomā; </w:t>
      </w:r>
    </w:p>
    <w:p w14:paraId="51E3793E" w14:textId="77777777" w:rsidR="00277346" w:rsidRPr="00300DE9" w:rsidRDefault="00277346" w:rsidP="00277346">
      <w:pPr>
        <w:pStyle w:val="NormalHanging12a"/>
      </w:pPr>
      <w:r w:rsidRPr="00300DE9">
        <w:t>3.</w:t>
      </w:r>
      <w:r w:rsidRPr="00300DE9">
        <w:tab/>
        <w:t xml:space="preserve">norāda, ka pieteikums attiecas uz 507 labuma guvējiem, kurus atlaida uzņēmums </w:t>
      </w:r>
      <w:proofErr w:type="spellStart"/>
      <w:r w:rsidRPr="00300DE9">
        <w:rPr>
          <w:i/>
          <w:iCs/>
        </w:rPr>
        <w:t>Liberty</w:t>
      </w:r>
      <w:proofErr w:type="spellEnd"/>
      <w:r w:rsidRPr="00300DE9">
        <w:t>;</w:t>
      </w:r>
    </w:p>
    <w:p w14:paraId="1EAF2056" w14:textId="77777777" w:rsidR="00277346" w:rsidRPr="00300DE9" w:rsidRDefault="00277346" w:rsidP="00277346">
      <w:pPr>
        <w:pStyle w:val="NormalHanging12a"/>
      </w:pPr>
      <w:r w:rsidRPr="00300DE9">
        <w:t>4.</w:t>
      </w:r>
      <w:r w:rsidRPr="00300DE9">
        <w:tab/>
        <w:t xml:space="preserve">norāda, ka </w:t>
      </w:r>
      <w:proofErr w:type="spellStart"/>
      <w:r w:rsidRPr="00300DE9">
        <w:rPr>
          <w:i/>
          <w:iCs/>
        </w:rPr>
        <w:t>Liberty</w:t>
      </w:r>
      <w:proofErr w:type="spellEnd"/>
      <w:r w:rsidRPr="00300DE9">
        <w:t xml:space="preserve"> vairākus gadus pirms bankrota pasludināšanas </w:t>
      </w:r>
      <w:proofErr w:type="spellStart"/>
      <w:r w:rsidRPr="00300DE9">
        <w:t>saskārās</w:t>
      </w:r>
      <w:proofErr w:type="spellEnd"/>
      <w:r w:rsidRPr="00300DE9">
        <w:t xml:space="preserve"> ar finansiālām grūtībām nelabvēlīgu tērauda tirgus apstākļu, ar Covid-19 saistītu piegādes ķēdes traucējumu un augsto enerģijas cenu dēļ pēc Krievijas agresijas kara pret Ukrainu sākšanās, un minētos faktorus pastiprināja Savienības atkarība no importēta fosilā kurināmā un nepietiekama lētāku enerģijas avotu izmantošana; norāda, ka </w:t>
      </w:r>
      <w:proofErr w:type="spellStart"/>
      <w:r w:rsidRPr="00300DE9">
        <w:rPr>
          <w:i/>
          <w:iCs/>
        </w:rPr>
        <w:t>Liberty</w:t>
      </w:r>
      <w:proofErr w:type="spellEnd"/>
      <w:r w:rsidRPr="00300DE9">
        <w:rPr>
          <w:i/>
          <w:iCs/>
        </w:rPr>
        <w:t> Steel </w:t>
      </w:r>
      <w:proofErr w:type="spellStart"/>
      <w:r w:rsidRPr="00300DE9">
        <w:rPr>
          <w:i/>
          <w:iCs/>
        </w:rPr>
        <w:t>Liège</w:t>
      </w:r>
      <w:proofErr w:type="spellEnd"/>
      <w:r w:rsidRPr="00300DE9">
        <w:t xml:space="preserve"> galvanizācijas līnijas ir dīkstāvē kopš 2021. gada decembra galvenokārt izejvielu trūkuma dēļ un 2023. gadā tika sākts pārstrukturēšanas pasākums, kura rezultātā uzņēmums tika likumīgi nodots </w:t>
      </w:r>
      <w:proofErr w:type="spellStart"/>
      <w:r w:rsidRPr="00300DE9">
        <w:rPr>
          <w:i/>
          <w:iCs/>
        </w:rPr>
        <w:t>Liberty</w:t>
      </w:r>
      <w:proofErr w:type="spellEnd"/>
      <w:r w:rsidRPr="00300DE9">
        <w:rPr>
          <w:i/>
          <w:iCs/>
        </w:rPr>
        <w:t> </w:t>
      </w:r>
      <w:proofErr w:type="spellStart"/>
      <w:r w:rsidRPr="00300DE9">
        <w:rPr>
          <w:i/>
          <w:iCs/>
        </w:rPr>
        <w:t>Galaţi</w:t>
      </w:r>
      <w:proofErr w:type="spellEnd"/>
      <w:r w:rsidRPr="00300DE9">
        <w:t>; pauž nožēlu par to, ka, neraugoties uz pārņemšanu, ražošana netika atsākta un beigās uzņēmums bankrotēja;</w:t>
      </w:r>
    </w:p>
    <w:p w14:paraId="3F7835E5" w14:textId="77777777" w:rsidR="00277346" w:rsidRPr="00300DE9" w:rsidRDefault="00277346" w:rsidP="00277346">
      <w:pPr>
        <w:pStyle w:val="NormalHanging12a"/>
        <w:rPr>
          <w:noProof/>
        </w:rPr>
      </w:pPr>
      <w:r w:rsidRPr="00300DE9">
        <w:t>5.</w:t>
      </w:r>
      <w:r w:rsidRPr="00300DE9">
        <w:tab/>
        <w:t xml:space="preserve">norāda, ka grūtības, ar kurām saskaras </w:t>
      </w:r>
      <w:proofErr w:type="spellStart"/>
      <w:r w:rsidRPr="00300DE9">
        <w:rPr>
          <w:i/>
          <w:iCs/>
        </w:rPr>
        <w:t>Liberty</w:t>
      </w:r>
      <w:proofErr w:type="spellEnd"/>
      <w:r w:rsidRPr="00300DE9">
        <w:rPr>
          <w:i/>
          <w:iCs/>
        </w:rPr>
        <w:t> Steel</w:t>
      </w:r>
      <w:r w:rsidRPr="00300DE9">
        <w:t xml:space="preserve">, ir saistītas arī ar uzņēmumam raksturīgiem faktoriem pēc tam, kad </w:t>
      </w:r>
      <w:r w:rsidRPr="00300DE9">
        <w:rPr>
          <w:i/>
          <w:iCs/>
        </w:rPr>
        <w:t>GFG Alliance</w:t>
      </w:r>
      <w:r w:rsidRPr="00300DE9">
        <w:t xml:space="preserve"> to pārņēma no </w:t>
      </w:r>
      <w:proofErr w:type="spellStart"/>
      <w:r w:rsidRPr="00300DE9">
        <w:rPr>
          <w:i/>
          <w:iCs/>
        </w:rPr>
        <w:t>ArcelorMittal</w:t>
      </w:r>
      <w:proofErr w:type="spellEnd"/>
      <w:r w:rsidRPr="00300DE9">
        <w:t>; uzsver nopietnas bažas par uzņēmējdarbības modeļa finansiālo ilgtspēju un investīciju saistību nepildīšanu, kas veicināja ražotnes ekonomiskā stāvokļa pasliktināšanos un no tā izrietošo atlaišanu;</w:t>
      </w:r>
    </w:p>
    <w:p w14:paraId="01B863F1" w14:textId="77777777" w:rsidR="00277346" w:rsidRPr="00300DE9" w:rsidRDefault="00277346" w:rsidP="00277346">
      <w:pPr>
        <w:pStyle w:val="NormalHanging12a"/>
        <w:rPr>
          <w:b/>
          <w:bCs/>
          <w:i/>
          <w:iCs/>
        </w:rPr>
      </w:pPr>
      <w:bookmarkStart w:id="7" w:name="_Hlk225497832"/>
      <w:r w:rsidRPr="00300DE9">
        <w:t>6.</w:t>
      </w:r>
      <w:r w:rsidRPr="00300DE9">
        <w:tab/>
        <w:t xml:space="preserve">norāda, ka </w:t>
      </w:r>
      <w:proofErr w:type="spellStart"/>
      <w:r w:rsidRPr="00300DE9">
        <w:t>Valonijas</w:t>
      </w:r>
      <w:proofErr w:type="spellEnd"/>
      <w:r w:rsidRPr="00300DE9">
        <w:t xml:space="preserve"> reģionā notika deindustrializācijas un ekonomikas pārveides process</w:t>
      </w:r>
      <w:r w:rsidRPr="00300DE9">
        <w:rPr>
          <w:rStyle w:val="FootnoteReference"/>
        </w:rPr>
        <w:footnoteReference w:id="7"/>
      </w:r>
      <w:r w:rsidRPr="00300DE9">
        <w:t>; norāda</w:t>
      </w:r>
      <w:bookmarkEnd w:id="7"/>
      <w:r w:rsidRPr="00300DE9">
        <w:t xml:space="preserve">, ka </w:t>
      </w:r>
      <w:proofErr w:type="spellStart"/>
      <w:r w:rsidRPr="00300DE9">
        <w:rPr>
          <w:i/>
          <w:iCs/>
        </w:rPr>
        <w:t>Liberty</w:t>
      </w:r>
      <w:proofErr w:type="spellEnd"/>
      <w:r w:rsidRPr="00300DE9">
        <w:t xml:space="preserve"> bankrots ir milzīgs sociāls satricinājums </w:t>
      </w:r>
      <w:proofErr w:type="spellStart"/>
      <w:r w:rsidRPr="00300DE9">
        <w:t>Valonijai</w:t>
      </w:r>
      <w:proofErr w:type="spellEnd"/>
      <w:r w:rsidRPr="00300DE9">
        <w:t xml:space="preserve"> — reģionam, kura darba tirgu jau ir novājinājuši citi pārstrukturēšanas pasākumi; uzsver, ka tērauda nozare joprojām ir svarīga Beļģijas ekonomikas nozare, kurā joprojām ir augsts ar tēraudu saistīto darbvietu īpatsvars uz vienu iedzīvotāju; aicina Beļģijas iestādes sniegt īpaši šiem specializācijas profiliem pielāgotu atbalstu, kas palīdzētu attiecīgajiem darba ņēmējiem attīstīt nepieciešamās prasmes, lai atrastu jaunu, kvalitatīvu darbu, un vienlaikus veikt pasākumus nolūkā samazināt bankrota gadījumu skaitu un novērst sociālās atšķirības, kas noved pie darba ņēmēju izslēgšanas no darba tirgus; uzsver, ka Savienība uztur uzņēmējdarbībai labvēlīgu vidi, kas līdzsvaro ekonomikas izaugsmi, sekmē inovāciju, atbalsta tehnoloģiju attīstību, stiprina konkurētspēju, mazina nevajadzīgu regulatīvo slogu un vienkāršo birokrātiskās procedūras, un uzsver, ka ir vajadzīga politika, kas veicina industriālo konkurētspēju, teritoriālo, ekonomisko un sociālo kohēziju un reģionālo attīstību; uzsver, ka konkurētspējīga un noturīga Eiropas tērauda nozare ir nozīmīga kā spēcīgas un kvalitatīvas rūpniecības nozares pamats un Savienības stratēģiskās autonomijas svarīgs </w:t>
      </w:r>
      <w:r w:rsidRPr="00300DE9">
        <w:lastRenderedPageBreak/>
        <w:t>balsts;</w:t>
      </w:r>
    </w:p>
    <w:p w14:paraId="19DECE8C" w14:textId="77777777" w:rsidR="00277346" w:rsidRPr="00300DE9" w:rsidRDefault="00277346" w:rsidP="00277346">
      <w:pPr>
        <w:pStyle w:val="NormalHanging12a"/>
      </w:pPr>
      <w:r w:rsidRPr="00300DE9">
        <w:t>7.</w:t>
      </w:r>
      <w:r w:rsidRPr="00300DE9">
        <w:tab/>
        <w:t xml:space="preserve">atgādina, ka katrs ceturtais reģistrētais darba meklētājs </w:t>
      </w:r>
      <w:proofErr w:type="spellStart"/>
      <w:r w:rsidRPr="00300DE9">
        <w:t>Valonijā</w:t>
      </w:r>
      <w:proofErr w:type="spellEnd"/>
      <w:r w:rsidRPr="00300DE9">
        <w:t xml:space="preserve"> ir vecāks par 50 gadiem un saskaras ar lielākiem šķēršļiem, lai atgrieztos darba tirgū; norāda, ka, neraugoties uz </w:t>
      </w:r>
      <w:proofErr w:type="spellStart"/>
      <w:r w:rsidRPr="00300DE9">
        <w:rPr>
          <w:i/>
          <w:iCs/>
        </w:rPr>
        <w:t>Liberty</w:t>
      </w:r>
      <w:proofErr w:type="spellEnd"/>
      <w:r w:rsidRPr="00300DE9">
        <w:t xml:space="preserve"> darba ņēmēju augsto specializāciju, viņu darba maiņu apgrūtina vecums (52 % darba ņēmēju ir 55 gadi vai vairāk); norāda, ka 69 % atlaisto darbinieku ir zems izglītības līmenis;</w:t>
      </w:r>
    </w:p>
    <w:p w14:paraId="13A69AF8" w14:textId="77777777" w:rsidR="00277346" w:rsidRPr="00300DE9" w:rsidRDefault="00277346" w:rsidP="00277346">
      <w:pPr>
        <w:pStyle w:val="NormalHanging12a"/>
      </w:pPr>
      <w:bookmarkStart w:id="8" w:name="_Hlk226546977"/>
      <w:r w:rsidRPr="00300DE9">
        <w:t>8.</w:t>
      </w:r>
      <w:r w:rsidRPr="00300DE9">
        <w:tab/>
        <w:t xml:space="preserve">atgādina, ka saskaņā ar vienošanos ar arodbiedrībām un reģionālajām iestādēm individualizētie pakalpojumi, kas sniedzami darba ņēmējiem, ietver šādus pasākumus: profesionālā pāreja un profesionālā orientācija; apmācība, </w:t>
      </w:r>
      <w:proofErr w:type="spellStart"/>
      <w:r w:rsidRPr="00300DE9">
        <w:t>pārkvalifikācija</w:t>
      </w:r>
      <w:proofErr w:type="spellEnd"/>
      <w:r w:rsidRPr="00300DE9">
        <w:t xml:space="preserve"> un arodmācības, tostarp IT prasmju apguve; uzņēmējdarbības veicināšana; ieguldījums jaunu uzņēmumu izveidē; stimuli un citi pabalsti; uzsver, ka ir svarīgi stiprināt ieguldījumus inovācijā, prasmēs un rūpniecības modernizācijā, lai stiprinātu Eiropas rūpniecības konkurētspēju un nodrošinātu, ka darba ņēmēji ir sagatavoti mainīgajām darba tirgus vajadzībām;</w:t>
      </w:r>
      <w:bookmarkEnd w:id="8"/>
    </w:p>
    <w:p w14:paraId="7993D8DB" w14:textId="77777777" w:rsidR="00277346" w:rsidRPr="00300DE9" w:rsidRDefault="00277346" w:rsidP="00277346">
      <w:pPr>
        <w:pStyle w:val="NormalHanging12a"/>
      </w:pPr>
      <w:r w:rsidRPr="00300DE9">
        <w:t>9.</w:t>
      </w:r>
      <w:r w:rsidRPr="00300DE9">
        <w:tab/>
        <w:t>uzsver, ka nolūkā nodrošināt ilgtermiņa ekonomisko un sociālo noturību ir svarīgi veicināt tādu kvalitatīvu un uz nākotni vērstu darbvietu izveidi, kas stiprina konkurētspēju, veicina digitālo pārveidi un atbilst darba tirgus prasībām; tādēļ uzskata, ka EGF līdzekļu izmantošana ir jāiekļauj plašākā politikas pasākumu kopumā visos politiskajos līmeņos, lai nodrošinātu, ka skartie darba ņēmēji atrod piemērotas iespējas, kas atbilst viņu kvalifikācijai un prasmēm; uzsver, ka EGF ir solidaritātes un taisnīgas pārkārtošanās instruments un ka Savienības galvenajam uzdevumam pirmkārt jābūt šādu slēgšanas gadījumu novēršanai;</w:t>
      </w:r>
    </w:p>
    <w:p w14:paraId="37F355AD" w14:textId="77777777" w:rsidR="00277346" w:rsidRPr="00300DE9" w:rsidRDefault="00277346" w:rsidP="00277346">
      <w:pPr>
        <w:pStyle w:val="NormalHanging12a"/>
      </w:pPr>
      <w:r w:rsidRPr="00300DE9">
        <w:t>10.</w:t>
      </w:r>
      <w:r w:rsidRPr="00300DE9">
        <w:tab/>
        <w:t xml:space="preserve">uzsver, ka ir svarīgi stiprināt Savienības rūpniecības konkurētspēju un veicināt investīcijas stratēģiskās rūpniecības nozarēs, lai novērstu turpmāku deindustrializāciju un atlaišanas un sekmētu darbvietu radīšanu; uzsver, ka ir vajadzīga pāreja uz </w:t>
      </w:r>
      <w:proofErr w:type="spellStart"/>
      <w:r w:rsidRPr="00300DE9">
        <w:t>atjaunīgo</w:t>
      </w:r>
      <w:proofErr w:type="spellEnd"/>
      <w:r w:rsidRPr="00300DE9">
        <w:t xml:space="preserve"> energoresursu enerģiju, kas jāīsteno kopā ar citiem pasākumiem cenas ziņā pieejamu enerģijas cenu nodrošināšanai;</w:t>
      </w:r>
    </w:p>
    <w:p w14:paraId="0D2A9B1A" w14:textId="77777777" w:rsidR="00277346" w:rsidRPr="00300DE9" w:rsidRDefault="00277346" w:rsidP="00277346">
      <w:pPr>
        <w:pStyle w:val="NormalHanging12a"/>
        <w:rPr>
          <w:bCs/>
          <w:iCs/>
        </w:rPr>
      </w:pPr>
      <w:r w:rsidRPr="00300DE9">
        <w:t>11.</w:t>
      </w:r>
      <w:r w:rsidRPr="00300DE9">
        <w:tab/>
        <w:t xml:space="preserve">uzsver, ka Beļģijas iestādēm ir jānodrošina Savienības finansējuma </w:t>
      </w:r>
      <w:proofErr w:type="spellStart"/>
      <w:r w:rsidRPr="00300DE9">
        <w:t>pamanāmība</w:t>
      </w:r>
      <w:proofErr w:type="spellEnd"/>
      <w:r w:rsidRPr="00300DE9">
        <w:t xml:space="preserve"> un jāuzsver tā pievienotā vērtība, sniedzot efektīvu un </w:t>
      </w:r>
      <w:proofErr w:type="spellStart"/>
      <w:r w:rsidRPr="00300DE9">
        <w:t>mērķorientētu</w:t>
      </w:r>
      <w:proofErr w:type="spellEnd"/>
      <w:r w:rsidRPr="00300DE9">
        <w:t xml:space="preserve"> informāciju atbalsta saņēmējiem, reģionālajām un vietējām iestādēm, sociālajiem partneriem un plašākai sabiedrībai;</w:t>
      </w:r>
    </w:p>
    <w:p w14:paraId="368CF256" w14:textId="77777777" w:rsidR="00277346" w:rsidRPr="00300DE9" w:rsidRDefault="00277346" w:rsidP="00277346">
      <w:pPr>
        <w:pStyle w:val="NormalHanging12a"/>
      </w:pPr>
      <w:r w:rsidRPr="00300DE9">
        <w:t>12.</w:t>
      </w:r>
      <w:r w:rsidRPr="00300DE9">
        <w:tab/>
        <w:t>prasa kopā ar sociālajiem partneriem veikt visaptverošus īstenoto pasākumu galīgos novērtējumus, tostarp sniegt skaidru un pārredzamu informāciju par to līdzekļu izlietošanu, darba ņēmēju reintegrāciju darba tirgū un to, vai tika sasniegti EGF mērķi; šajā sakarībā uzsver, ka ir svarīgi regulāri uzraudzīt pasākumus, ko finansē no EGF, lai novērtētu to efektivitāti;</w:t>
      </w:r>
    </w:p>
    <w:p w14:paraId="5839A86E" w14:textId="77777777" w:rsidR="00277346" w:rsidRPr="00300DE9" w:rsidRDefault="00277346" w:rsidP="00277346">
      <w:pPr>
        <w:pStyle w:val="NormalHanging12a"/>
      </w:pPr>
      <w:r w:rsidRPr="00300DE9">
        <w:t>13.</w:t>
      </w:r>
      <w:r w:rsidRPr="00300DE9">
        <w:tab/>
        <w:t>pieņem zināšanai to, ka Beļģija sāka sniegt individualizētus pakalpojumus atbilstīgajiem labuma guvējiem 2025. gada 1. jūnijā un ka tiesības saņemt finansiālu ieguldījumu no EGF tiks nodrošinātas laikposmā, kas sākas minētajā dienā un beidzas 24 mēnešus pēc finansēšanas lēmuma spēkā stāšanās dienas;</w:t>
      </w:r>
    </w:p>
    <w:p w14:paraId="36FF5FF9" w14:textId="77777777" w:rsidR="00277346" w:rsidRPr="00300DE9" w:rsidRDefault="00277346" w:rsidP="00277346">
      <w:pPr>
        <w:pStyle w:val="NormalHanging12a"/>
        <w:rPr>
          <w:sz w:val="23"/>
          <w:szCs w:val="23"/>
        </w:rPr>
      </w:pPr>
      <w:r w:rsidRPr="00300DE9">
        <w:t>14.</w:t>
      </w:r>
      <w:r w:rsidRPr="00300DE9">
        <w:tab/>
        <w:t xml:space="preserve">norāda, ka administratīvie izdevumi saistībā ar EGF īstenošanu Beļģijai sāka rasties 2025. gada 22. aprīlī un ka tāpēc attiecībā uz šādiem izdevumiem tiesības saņemt finansiālu ieguldījumu no EGF tiek nodrošinātas laikposmā, kas sākas minētajā datumā </w:t>
      </w:r>
      <w:r w:rsidRPr="00300DE9">
        <w:lastRenderedPageBreak/>
        <w:t>un beidzas 31 mēnesi pēc finansēšanas lēmuma spēkā stāšanās dienas;</w:t>
      </w:r>
    </w:p>
    <w:p w14:paraId="7E11AF64" w14:textId="77777777" w:rsidR="00277346" w:rsidRPr="00300DE9" w:rsidRDefault="00277346" w:rsidP="00277346">
      <w:pPr>
        <w:pStyle w:val="NormalHanging12a"/>
      </w:pPr>
      <w:r w:rsidRPr="00300DE9">
        <w:t>15.</w:t>
      </w:r>
      <w:r w:rsidRPr="00300DE9">
        <w:tab/>
        <w:t xml:space="preserve">pieņem zināšanai, ka Beļģijas iestādes ir sniegušas apstiprinājumu tam, ka piekļuvē ierosinātajām darbībām un to īstenošanā tiks ievēroti vienlīdzīgas attieksmes un </w:t>
      </w:r>
      <w:proofErr w:type="spellStart"/>
      <w:r w:rsidRPr="00300DE9">
        <w:t>nediskriminācijas</w:t>
      </w:r>
      <w:proofErr w:type="spellEnd"/>
      <w:r w:rsidRPr="00300DE9">
        <w:t xml:space="preserve"> principi un novērsta jebkāda dubulta finansēšana;</w:t>
      </w:r>
    </w:p>
    <w:p w14:paraId="07828AAA" w14:textId="77777777" w:rsidR="00277346" w:rsidRPr="00300DE9" w:rsidRDefault="00277346" w:rsidP="00277346">
      <w:pPr>
        <w:pStyle w:val="NormalHanging12a"/>
      </w:pPr>
      <w:r w:rsidRPr="00300DE9">
        <w:t>16.</w:t>
      </w:r>
      <w:r w:rsidRPr="00300DE9">
        <w:tab/>
        <w:t xml:space="preserve">atkārtoti norāda, ka palīdzība no EGF nedrīkst aizstāt darbības, par kurām saskaņā ar attiecīgās valsts tiesību aktiem vai koplīgumiem ir atbildīgas valsts sektora iestādes un uzņēmumi; atgādina, ka EGF ir ierobežots, </w:t>
      </w:r>
      <w:proofErr w:type="spellStart"/>
      <w:r w:rsidRPr="00300DE9">
        <w:t>mērķorientēts</w:t>
      </w:r>
      <w:proofErr w:type="spellEnd"/>
      <w:r w:rsidRPr="00300DE9">
        <w:t xml:space="preserve"> un papildinošs mehānisms un nevar aizstāt strukturālus ekonomikas politikas pasākumus, kuri ir galvenokārt dalībvalstu kompetencē;</w:t>
      </w:r>
    </w:p>
    <w:p w14:paraId="360E4EA3" w14:textId="77777777" w:rsidR="00277346" w:rsidRPr="00300DE9" w:rsidRDefault="00277346" w:rsidP="00277346">
      <w:pPr>
        <w:pStyle w:val="NormalHanging12a"/>
      </w:pPr>
      <w:r w:rsidRPr="00300DE9">
        <w:t>17.</w:t>
      </w:r>
      <w:r w:rsidRPr="00300DE9">
        <w:tab/>
        <w:t>apstiprina šai rezolūcijai pievienoto lēmumu;</w:t>
      </w:r>
    </w:p>
    <w:p w14:paraId="5DEB8380" w14:textId="77777777" w:rsidR="00277346" w:rsidRPr="00300DE9" w:rsidRDefault="00277346" w:rsidP="00277346">
      <w:pPr>
        <w:pStyle w:val="NormalHanging12a"/>
      </w:pPr>
      <w:r w:rsidRPr="00300DE9">
        <w:t>18.</w:t>
      </w:r>
      <w:r w:rsidRPr="00300DE9">
        <w:tab/>
        <w:t xml:space="preserve">uzdod priekšsēdētājai parakstīt šo lēmumu kopā ar Padomes priekšsēdētāju un nodrošināt tā publicēšanu </w:t>
      </w:r>
      <w:r w:rsidRPr="00300DE9">
        <w:rPr>
          <w:i/>
          <w:iCs/>
        </w:rPr>
        <w:t>Eiropas Savienības Oficiālajā Vēstnesī</w:t>
      </w:r>
      <w:r w:rsidRPr="00300DE9">
        <w:t>;</w:t>
      </w:r>
    </w:p>
    <w:p w14:paraId="2F20BFDC" w14:textId="77777777" w:rsidR="00277346" w:rsidRPr="00300DE9" w:rsidRDefault="00277346" w:rsidP="00277346">
      <w:pPr>
        <w:pStyle w:val="NormalHanging12a"/>
        <w:rPr>
          <w:noProof/>
        </w:rPr>
      </w:pPr>
      <w:r w:rsidRPr="00300DE9">
        <w:t>19.</w:t>
      </w:r>
      <w:r w:rsidRPr="00300DE9">
        <w:tab/>
        <w:t>uzdod priekšsēdētājai šo rezolūciju, kā arī tās pielikumu nosūtīt Padomei un Komisijai.</w:t>
      </w:r>
    </w:p>
    <w:p w14:paraId="78670700" w14:textId="77777777" w:rsidR="005624FF" w:rsidRDefault="005624FF" w:rsidP="00277346">
      <w:pPr>
        <w:pStyle w:val="PageHeading"/>
        <w:rPr>
          <w:noProof/>
        </w:rPr>
        <w:sectPr w:rsidR="005624FF" w:rsidSect="00182E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5D67BA" w14:textId="6DEF9C4E" w:rsidR="00277346" w:rsidRPr="00300DE9" w:rsidRDefault="00277346" w:rsidP="00277346">
      <w:pPr>
        <w:pStyle w:val="PageHeading"/>
        <w:rPr>
          <w:noProof/>
        </w:rPr>
      </w:pPr>
      <w:bookmarkStart w:id="9" w:name="_Toc227918435"/>
      <w:r w:rsidRPr="00300DE9">
        <w:lastRenderedPageBreak/>
        <w:t>PIELIKUMS</w:t>
      </w:r>
      <w:r w:rsidR="00796F42" w:rsidRPr="00300DE9">
        <w:t xml:space="preserve">: </w:t>
      </w:r>
      <w:r w:rsidRPr="00300DE9">
        <w:t>EIROPAS PARLAMENTA UN PADOMES LĒMUMS</w:t>
      </w:r>
      <w:bookmarkEnd w:id="9"/>
    </w:p>
    <w:p w14:paraId="3E61484D" w14:textId="77777777" w:rsidR="00277346" w:rsidRDefault="00277346" w:rsidP="00300DE9">
      <w:pPr>
        <w:pStyle w:val="NormalHanging12a"/>
        <w:ind w:left="0" w:firstLine="0"/>
        <w:jc w:val="center"/>
        <w:rPr>
          <w:b/>
        </w:rPr>
      </w:pPr>
      <w:r w:rsidRPr="00300DE9">
        <w:rPr>
          <w:b/>
        </w:rPr>
        <w:t>par Eiropas Globalizācijas pielāgošanās fonda darbu zaudējušiem darba ņēmējiem izmantošanu saistībā ar Beļģijas iesniegto pieteikumu (EGF/2025/008 BE/</w:t>
      </w:r>
      <w:proofErr w:type="spellStart"/>
      <w:r w:rsidRPr="00300DE9">
        <w:rPr>
          <w:b/>
          <w:i/>
        </w:rPr>
        <w:t>Liberty</w:t>
      </w:r>
      <w:proofErr w:type="spellEnd"/>
      <w:r w:rsidRPr="00300DE9">
        <w:rPr>
          <w:b/>
        </w:rPr>
        <w:t>)</w:t>
      </w:r>
    </w:p>
    <w:p w14:paraId="7365876B" w14:textId="4F181DF5" w:rsidR="005624FF" w:rsidRDefault="005624FF" w:rsidP="005624FF">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26</w:t>
      </w:r>
      <w:r w:rsidRPr="00611295">
        <w:rPr>
          <w:b w:val="0"/>
          <w:i/>
          <w:iCs/>
          <w:noProof/>
        </w:rPr>
        <w:t>/</w:t>
      </w:r>
      <w:r>
        <w:rPr>
          <w:b w:val="0"/>
          <w:i/>
          <w:iCs/>
          <w:noProof/>
        </w:rPr>
        <w:t>1134</w:t>
      </w:r>
      <w:r w:rsidRPr="00981C8E">
        <w:rPr>
          <w:b w:val="0"/>
          <w:i/>
          <w:iCs/>
          <w:noProof/>
        </w:rPr>
        <w:t>.</w:t>
      </w:r>
      <w:r w:rsidRPr="00EB02AD">
        <w:rPr>
          <w:b w:val="0"/>
          <w:i/>
          <w:iCs/>
          <w:noProof/>
        </w:rPr>
        <w:t>)</w:t>
      </w:r>
    </w:p>
    <w:p w14:paraId="7B3E0526" w14:textId="77777777" w:rsidR="005624FF" w:rsidRPr="00300DE9" w:rsidRDefault="005624FF" w:rsidP="00300DE9">
      <w:pPr>
        <w:pStyle w:val="NormalHanging12a"/>
        <w:ind w:left="0" w:firstLine="0"/>
        <w:jc w:val="center"/>
        <w:rPr>
          <w:b/>
          <w:bCs/>
        </w:rPr>
      </w:pPr>
    </w:p>
    <w:sectPr w:rsidR="005624FF" w:rsidRPr="00300DE9" w:rsidSect="00182E0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5D3B2" w14:textId="77777777" w:rsidR="00966348" w:rsidRPr="00182E0B" w:rsidRDefault="00966348">
      <w:r w:rsidRPr="00182E0B">
        <w:separator/>
      </w:r>
    </w:p>
  </w:endnote>
  <w:endnote w:type="continuationSeparator" w:id="0">
    <w:p w14:paraId="36312664" w14:textId="77777777" w:rsidR="00966348" w:rsidRPr="00182E0B" w:rsidRDefault="00966348">
      <w:r w:rsidRPr="00182E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AE976" w14:textId="77777777" w:rsidR="00277346" w:rsidRPr="00182E0B" w:rsidRDefault="00277346" w:rsidP="002634A2">
    <w:pPr>
      <w:pStyle w:val="EPFooter"/>
    </w:pPr>
    <w:r w:rsidRPr="00182E0B">
      <w:t>PE</w:t>
    </w:r>
    <w:r w:rsidRPr="00182E0B">
      <w:rPr>
        <w:rStyle w:val="HideTWBExt"/>
      </w:rPr>
      <w:t>&lt;</w:t>
    </w:r>
    <w:proofErr w:type="spellStart"/>
    <w:r w:rsidRPr="00182E0B">
      <w:rPr>
        <w:rStyle w:val="HideTWBExt"/>
      </w:rPr>
      <w:t>NoPE</w:t>
    </w:r>
    <w:proofErr w:type="spellEnd"/>
    <w:r w:rsidRPr="00182E0B">
      <w:rPr>
        <w:rStyle w:val="HideTWBExt"/>
      </w:rPr>
      <w:t>&gt;</w:t>
    </w:r>
    <w:r w:rsidRPr="00182E0B">
      <w:t>785.333</w:t>
    </w:r>
    <w:r w:rsidRPr="00182E0B">
      <w:rPr>
        <w:rStyle w:val="HideTWBExt"/>
      </w:rPr>
      <w:t>&lt;/</w:t>
    </w:r>
    <w:proofErr w:type="spellStart"/>
    <w:r w:rsidRPr="00182E0B">
      <w:rPr>
        <w:rStyle w:val="HideTWBExt"/>
      </w:rPr>
      <w:t>NoPE</w:t>
    </w:r>
    <w:proofErr w:type="spellEnd"/>
    <w:r w:rsidRPr="00182E0B">
      <w:rPr>
        <w:rStyle w:val="HideTWBExt"/>
      </w:rPr>
      <w:t>&gt;&lt;Version&gt;</w:t>
    </w:r>
    <w:r w:rsidRPr="00182E0B">
      <w:t>v03-00</w:t>
    </w:r>
    <w:r w:rsidRPr="00182E0B">
      <w:rPr>
        <w:rStyle w:val="HideTWBExt"/>
      </w:rPr>
      <w:t>&lt;/</w:t>
    </w:r>
    <w:proofErr w:type="spellStart"/>
    <w:r w:rsidRPr="00182E0B">
      <w:rPr>
        <w:rStyle w:val="HideTWBExt"/>
      </w:rPr>
      <w:t>Version</w:t>
    </w:r>
    <w:proofErr w:type="spellEnd"/>
    <w:r w:rsidRPr="00182E0B">
      <w:rPr>
        <w:rStyle w:val="HideTWBExt"/>
      </w:rPr>
      <w:t>&gt;</w:t>
    </w:r>
    <w:r w:rsidRPr="00182E0B">
      <w:tab/>
    </w:r>
    <w:r w:rsidRPr="00182E0B">
      <w:fldChar w:fldCharType="begin"/>
    </w:r>
    <w:r w:rsidRPr="00182E0B">
      <w:instrText xml:space="preserve"> PAGE  \* MERGEFORMAT </w:instrText>
    </w:r>
    <w:r w:rsidRPr="00182E0B">
      <w:fldChar w:fldCharType="separate"/>
    </w:r>
    <w:r w:rsidRPr="00182E0B">
      <w:rPr>
        <w:noProof/>
      </w:rPr>
      <w:t>2</w:t>
    </w:r>
    <w:r w:rsidRPr="00182E0B">
      <w:fldChar w:fldCharType="end"/>
    </w:r>
    <w:r w:rsidRPr="00182E0B">
      <w:t>/</w:t>
    </w:r>
    <w:fldSimple w:instr=" NUMPAGES  \* MERGEFORMAT ">
      <w:r w:rsidRPr="00182E0B">
        <w:rPr>
          <w:noProof/>
        </w:rPr>
        <w:t>19</w:t>
      </w:r>
    </w:fldSimple>
    <w:r w:rsidRPr="00182E0B">
      <w:tab/>
    </w:r>
    <w:r w:rsidRPr="00182E0B">
      <w:rPr>
        <w:rStyle w:val="HideTWBExt"/>
      </w:rPr>
      <w:t>&lt;PathFdR&gt;</w:t>
    </w:r>
    <w:r w:rsidRPr="00182E0B">
      <w:t>RR\1341391LV.docx</w:t>
    </w:r>
    <w:r w:rsidRPr="00182E0B">
      <w:rPr>
        <w:rStyle w:val="HideTWBExt"/>
      </w:rPr>
      <w:t>&lt;/</w:t>
    </w:r>
    <w:proofErr w:type="spellStart"/>
    <w:r w:rsidRPr="00182E0B">
      <w:rPr>
        <w:rStyle w:val="HideTWBExt"/>
      </w:rPr>
      <w:t>PathFdR</w:t>
    </w:r>
    <w:proofErr w:type="spellEnd"/>
    <w:r w:rsidRPr="00182E0B">
      <w:rPr>
        <w:rStyle w:val="HideTWBExt"/>
      </w:rPr>
      <w:t>&gt;</w:t>
    </w:r>
  </w:p>
  <w:p w14:paraId="0A4B46E3" w14:textId="77777777" w:rsidR="00277346" w:rsidRPr="00182E0B" w:rsidRDefault="00277346" w:rsidP="002634A2">
    <w:pPr>
      <w:pStyle w:val="EPFooter2"/>
    </w:pPr>
    <w:r w:rsidRPr="00182E0B">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3628" w14:textId="0D4AA6F8" w:rsidR="00277346" w:rsidRPr="00182E0B" w:rsidRDefault="00277346" w:rsidP="002634A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D7E92" w14:textId="77777777" w:rsidR="00277346" w:rsidRPr="00182E0B" w:rsidRDefault="00277346" w:rsidP="002634A2">
    <w:pPr>
      <w:pStyle w:val="EPFooter"/>
    </w:pPr>
    <w:r w:rsidRPr="00182E0B">
      <w:rPr>
        <w:rStyle w:val="HideTWBExt"/>
      </w:rPr>
      <w:t>&lt;PathFdR&gt;</w:t>
    </w:r>
    <w:r w:rsidRPr="00182E0B">
      <w:t>RR\1341391LV.docx</w:t>
    </w:r>
    <w:r w:rsidRPr="00182E0B">
      <w:rPr>
        <w:rStyle w:val="HideTWBExt"/>
      </w:rPr>
      <w:t>&lt;/</w:t>
    </w:r>
    <w:proofErr w:type="spellStart"/>
    <w:r w:rsidRPr="00182E0B">
      <w:rPr>
        <w:rStyle w:val="HideTWBExt"/>
      </w:rPr>
      <w:t>PathFdR</w:t>
    </w:r>
    <w:proofErr w:type="spellEnd"/>
    <w:r w:rsidRPr="00182E0B">
      <w:rPr>
        <w:rStyle w:val="HideTWBExt"/>
      </w:rPr>
      <w:t>&gt;</w:t>
    </w:r>
    <w:r w:rsidRPr="00182E0B">
      <w:tab/>
    </w:r>
    <w:r w:rsidRPr="00182E0B">
      <w:tab/>
      <w:t>PE</w:t>
    </w:r>
    <w:r w:rsidRPr="00182E0B">
      <w:rPr>
        <w:rStyle w:val="HideTWBExt"/>
      </w:rPr>
      <w:t>&lt;</w:t>
    </w:r>
    <w:proofErr w:type="spellStart"/>
    <w:r w:rsidRPr="00182E0B">
      <w:rPr>
        <w:rStyle w:val="HideTWBExt"/>
      </w:rPr>
      <w:t>NoPE</w:t>
    </w:r>
    <w:proofErr w:type="spellEnd"/>
    <w:r w:rsidRPr="00182E0B">
      <w:rPr>
        <w:rStyle w:val="HideTWBExt"/>
      </w:rPr>
      <w:t>&gt;</w:t>
    </w:r>
    <w:r w:rsidRPr="00182E0B">
      <w:t>785.333</w:t>
    </w:r>
    <w:r w:rsidRPr="00182E0B">
      <w:rPr>
        <w:rStyle w:val="HideTWBExt"/>
      </w:rPr>
      <w:t>&lt;/</w:t>
    </w:r>
    <w:proofErr w:type="spellStart"/>
    <w:r w:rsidRPr="00182E0B">
      <w:rPr>
        <w:rStyle w:val="HideTWBExt"/>
      </w:rPr>
      <w:t>NoPE</w:t>
    </w:r>
    <w:proofErr w:type="spellEnd"/>
    <w:r w:rsidRPr="00182E0B">
      <w:rPr>
        <w:rStyle w:val="HideTWBExt"/>
      </w:rPr>
      <w:t>&gt;&lt;Version&gt;</w:t>
    </w:r>
    <w:r w:rsidRPr="00182E0B">
      <w:t>v03-00</w:t>
    </w:r>
    <w:r w:rsidRPr="00182E0B">
      <w:rPr>
        <w:rStyle w:val="HideTWBExt"/>
      </w:rPr>
      <w:t>&lt;/</w:t>
    </w:r>
    <w:proofErr w:type="spellStart"/>
    <w:r w:rsidRPr="00182E0B">
      <w:rPr>
        <w:rStyle w:val="HideTWBExt"/>
      </w:rPr>
      <w:t>Version</w:t>
    </w:r>
    <w:proofErr w:type="spellEnd"/>
    <w:r w:rsidRPr="00182E0B">
      <w:rPr>
        <w:rStyle w:val="HideTWBExt"/>
      </w:rPr>
      <w:t>&gt;</w:t>
    </w:r>
  </w:p>
  <w:p w14:paraId="69CD843F" w14:textId="77777777" w:rsidR="00277346" w:rsidRPr="00182E0B" w:rsidRDefault="00277346" w:rsidP="002634A2">
    <w:pPr>
      <w:pStyle w:val="EPFooter2"/>
    </w:pPr>
    <w:r w:rsidRPr="00182E0B">
      <w:t>LV</w:t>
    </w:r>
    <w:r w:rsidRPr="00182E0B">
      <w:tab/>
    </w:r>
    <w:r w:rsidRPr="00182E0B">
      <w:rPr>
        <w:b w:val="0"/>
        <w:i/>
        <w:color w:val="C0C0C0"/>
        <w:sz w:val="22"/>
      </w:rPr>
      <w:t>Vienoti daudzveidībā</w:t>
    </w:r>
    <w:r w:rsidRPr="00182E0B">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2EB10" w14:textId="77777777" w:rsidR="00064002" w:rsidRPr="00182E0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DCF78" w14:textId="77777777" w:rsidR="00064002" w:rsidRPr="00182E0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8800" w14:textId="77777777" w:rsidR="00064002" w:rsidRPr="00182E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2075D" w14:textId="77777777" w:rsidR="00966348" w:rsidRPr="00182E0B" w:rsidRDefault="00966348">
      <w:r w:rsidRPr="00182E0B">
        <w:separator/>
      </w:r>
    </w:p>
  </w:footnote>
  <w:footnote w:type="continuationSeparator" w:id="0">
    <w:p w14:paraId="019B5508" w14:textId="77777777" w:rsidR="00966348" w:rsidRPr="00182E0B" w:rsidRDefault="00966348">
      <w:r w:rsidRPr="00182E0B">
        <w:continuationSeparator/>
      </w:r>
    </w:p>
  </w:footnote>
  <w:footnote w:id="1">
    <w:p w14:paraId="1FCF7549" w14:textId="493571D7" w:rsidR="00277346" w:rsidRPr="00182E0B" w:rsidRDefault="00277346" w:rsidP="00182E0B">
      <w:pPr>
        <w:pStyle w:val="FootnoteText"/>
        <w:ind w:left="567" w:hanging="567"/>
        <w:rPr>
          <w:sz w:val="24"/>
          <w:lang w:val="lv-LV"/>
        </w:rPr>
      </w:pPr>
      <w:r w:rsidRPr="00182E0B">
        <w:rPr>
          <w:rStyle w:val="FootnoteReference"/>
          <w:sz w:val="24"/>
          <w:lang w:val="lv-LV"/>
        </w:rPr>
        <w:footnoteRef/>
      </w:r>
      <w:r w:rsidR="00182E0B" w:rsidRPr="00182E0B">
        <w:rPr>
          <w:sz w:val="24"/>
          <w:lang w:val="lv-LV"/>
        </w:rPr>
        <w:t xml:space="preserve"> </w:t>
      </w:r>
      <w:r w:rsidR="00182E0B" w:rsidRPr="00182E0B">
        <w:rPr>
          <w:sz w:val="24"/>
          <w:lang w:val="lv-LV"/>
        </w:rPr>
        <w:tab/>
      </w:r>
      <w:r w:rsidRPr="00182E0B">
        <w:rPr>
          <w:sz w:val="24"/>
          <w:lang w:val="lv-LV"/>
        </w:rPr>
        <w:t xml:space="preserve">OV L 153, 3.5.2021., 48. lpp., ELI: </w:t>
      </w:r>
      <w:r>
        <w:fldChar w:fldCharType="begin"/>
      </w:r>
      <w:r w:rsidRPr="005624FF">
        <w:rPr>
          <w:lang w:val="fi-FI"/>
        </w:rPr>
        <w:instrText>HYPERLINK "http://data.europa.eu/eli/reg/2021/691/oj"</w:instrText>
      </w:r>
      <w:r>
        <w:fldChar w:fldCharType="separate"/>
      </w:r>
      <w:r w:rsidRPr="00182E0B">
        <w:rPr>
          <w:rStyle w:val="Hyperlink"/>
          <w:sz w:val="24"/>
          <w:lang w:val="lv-LV"/>
        </w:rPr>
        <w:t>http://data.europa.eu/eli/reg/2021/691/oj</w:t>
      </w:r>
      <w:r>
        <w:fldChar w:fldCharType="end"/>
      </w:r>
      <w:r w:rsidRPr="00182E0B">
        <w:rPr>
          <w:sz w:val="24"/>
          <w:lang w:val="lv-LV"/>
        </w:rPr>
        <w:t>.</w:t>
      </w:r>
    </w:p>
  </w:footnote>
  <w:footnote w:id="2">
    <w:p w14:paraId="74D3419D" w14:textId="6A05D53F" w:rsidR="00277346" w:rsidRPr="00182E0B" w:rsidRDefault="00277346" w:rsidP="00182E0B">
      <w:pPr>
        <w:pStyle w:val="FootnoteText"/>
        <w:ind w:left="567" w:hanging="567"/>
        <w:rPr>
          <w:sz w:val="24"/>
          <w:lang w:val="lv-LV"/>
        </w:rPr>
      </w:pPr>
      <w:r w:rsidRPr="00182E0B">
        <w:rPr>
          <w:rStyle w:val="FootnoteReference"/>
          <w:sz w:val="24"/>
          <w:lang w:val="lv-LV"/>
        </w:rPr>
        <w:footnoteRef/>
      </w:r>
      <w:r w:rsidR="00182E0B" w:rsidRPr="00182E0B">
        <w:rPr>
          <w:sz w:val="24"/>
          <w:lang w:val="lv-LV"/>
        </w:rPr>
        <w:t xml:space="preserve"> </w:t>
      </w:r>
      <w:r w:rsidR="00182E0B" w:rsidRPr="00182E0B">
        <w:rPr>
          <w:sz w:val="24"/>
          <w:lang w:val="lv-LV"/>
        </w:rPr>
        <w:tab/>
      </w:r>
      <w:r w:rsidRPr="00182E0B">
        <w:rPr>
          <w:sz w:val="24"/>
          <w:lang w:val="lv-LV"/>
        </w:rPr>
        <w:t xml:space="preserve">OV L 433 I, 22.12.2020., 11. lpp., ELI: </w:t>
      </w:r>
      <w:r>
        <w:fldChar w:fldCharType="begin"/>
      </w:r>
      <w:r w:rsidRPr="005624FF">
        <w:rPr>
          <w:lang w:val="lv-LV"/>
        </w:rPr>
        <w:instrText>HYPERLINK "http://data.europa.eu/eli/reg/2020/2093/oj"</w:instrText>
      </w:r>
      <w:r>
        <w:fldChar w:fldCharType="separate"/>
      </w:r>
      <w:r w:rsidRPr="00182E0B">
        <w:rPr>
          <w:rStyle w:val="Hyperlink"/>
          <w:sz w:val="24"/>
          <w:lang w:val="lv-LV"/>
        </w:rPr>
        <w:t>http://data.europa.eu/eli/reg/2020/2093/oj</w:t>
      </w:r>
      <w:r>
        <w:fldChar w:fldCharType="end"/>
      </w:r>
      <w:r w:rsidRPr="00182E0B">
        <w:rPr>
          <w:sz w:val="24"/>
          <w:lang w:val="lv-LV"/>
        </w:rPr>
        <w:t>.</w:t>
      </w:r>
    </w:p>
  </w:footnote>
  <w:footnote w:id="3">
    <w:p w14:paraId="67892AE7" w14:textId="3D3D4043" w:rsidR="00277346" w:rsidRPr="00182E0B" w:rsidRDefault="00277346" w:rsidP="00182E0B">
      <w:pPr>
        <w:pStyle w:val="FootnoteText"/>
        <w:ind w:left="567" w:hanging="567"/>
        <w:rPr>
          <w:sz w:val="24"/>
          <w:lang w:val="lv-LV"/>
        </w:rPr>
      </w:pPr>
      <w:r w:rsidRPr="00182E0B">
        <w:rPr>
          <w:rStyle w:val="FootnoteReference"/>
          <w:sz w:val="24"/>
          <w:lang w:val="lv-LV"/>
        </w:rPr>
        <w:footnoteRef/>
      </w:r>
      <w:r w:rsidR="00182E0B" w:rsidRPr="00182E0B">
        <w:rPr>
          <w:sz w:val="24"/>
          <w:shd w:val="clear" w:color="auto" w:fill="FFFFFF"/>
          <w:lang w:val="lv-LV"/>
        </w:rPr>
        <w:t xml:space="preserve"> </w:t>
      </w:r>
      <w:r w:rsidR="00182E0B" w:rsidRPr="00182E0B">
        <w:rPr>
          <w:sz w:val="24"/>
          <w:shd w:val="clear" w:color="auto" w:fill="FFFFFF"/>
          <w:lang w:val="lv-LV"/>
        </w:rPr>
        <w:tab/>
      </w:r>
      <w:r w:rsidRPr="00182E0B">
        <w:rPr>
          <w:sz w:val="24"/>
          <w:shd w:val="clear" w:color="auto" w:fill="FFFFFF"/>
          <w:lang w:val="lv-LV"/>
        </w:rPr>
        <w:t xml:space="preserve">Padomes Regula (ES, </w:t>
      </w:r>
      <w:r w:rsidRPr="00182E0B">
        <w:rPr>
          <w:i/>
          <w:iCs/>
          <w:sz w:val="24"/>
          <w:shd w:val="clear" w:color="auto" w:fill="FFFFFF"/>
          <w:lang w:val="lv-LV"/>
        </w:rPr>
        <w:t>Euratom</w:t>
      </w:r>
      <w:r w:rsidRPr="00182E0B">
        <w:rPr>
          <w:sz w:val="24"/>
          <w:shd w:val="clear" w:color="auto" w:fill="FFFFFF"/>
          <w:lang w:val="lv-LV"/>
        </w:rPr>
        <w:t xml:space="preserve">) 2024/765 (2024. gada 29. februāris), ar kuru groza Regulu (ES, </w:t>
      </w:r>
      <w:r w:rsidRPr="00182E0B">
        <w:rPr>
          <w:i/>
          <w:iCs/>
          <w:sz w:val="24"/>
          <w:shd w:val="clear" w:color="auto" w:fill="FFFFFF"/>
          <w:lang w:val="lv-LV"/>
        </w:rPr>
        <w:t>Euratom</w:t>
      </w:r>
      <w:r w:rsidRPr="00182E0B">
        <w:rPr>
          <w:sz w:val="24"/>
          <w:shd w:val="clear" w:color="auto" w:fill="FFFFFF"/>
          <w:lang w:val="lv-LV"/>
        </w:rPr>
        <w:t>) 2020/2093, ar ko nosaka daudzgadu finanšu shēmu 2021.–2027. gadam (OV L, 2024/765, 29.2.2024., ELI:</w:t>
      </w:r>
      <w:r w:rsidRPr="00182E0B">
        <w:rPr>
          <w:color w:val="333333"/>
          <w:sz w:val="24"/>
          <w:shd w:val="clear" w:color="auto" w:fill="FFFFFF"/>
          <w:lang w:val="lv-LV"/>
        </w:rPr>
        <w:t xml:space="preserve"> </w:t>
      </w:r>
      <w:r>
        <w:fldChar w:fldCharType="begin"/>
      </w:r>
      <w:r w:rsidRPr="005624FF">
        <w:rPr>
          <w:lang w:val="lv-LV"/>
        </w:rPr>
        <w:instrText>HYPERLINK "http://data.europa.eu/eli/reg/2024/765/oj"</w:instrText>
      </w:r>
      <w:r>
        <w:fldChar w:fldCharType="separate"/>
      </w:r>
      <w:r w:rsidRPr="00182E0B">
        <w:rPr>
          <w:rStyle w:val="Hyperlink"/>
          <w:sz w:val="24"/>
          <w:shd w:val="clear" w:color="auto" w:fill="FFFFFF"/>
          <w:lang w:val="lv-LV"/>
        </w:rPr>
        <w:t>http://data.europa.eu/eli/reg/2024/765/oj</w:t>
      </w:r>
      <w:r>
        <w:fldChar w:fldCharType="end"/>
      </w:r>
      <w:r w:rsidRPr="00182E0B">
        <w:rPr>
          <w:i/>
          <w:color w:val="333333"/>
          <w:sz w:val="24"/>
          <w:shd w:val="clear" w:color="auto" w:fill="FFFFFF"/>
          <w:lang w:val="lv-LV"/>
        </w:rPr>
        <w:t>).</w:t>
      </w:r>
    </w:p>
  </w:footnote>
  <w:footnote w:id="4">
    <w:p w14:paraId="143FDE53" w14:textId="665D0154" w:rsidR="00277346" w:rsidRPr="00182E0B" w:rsidRDefault="00277346" w:rsidP="00182E0B">
      <w:pPr>
        <w:pStyle w:val="FootnoteText"/>
        <w:ind w:left="567" w:hanging="567"/>
        <w:rPr>
          <w:sz w:val="24"/>
          <w:lang w:val="lv-LV"/>
        </w:rPr>
      </w:pPr>
      <w:r w:rsidRPr="00182E0B">
        <w:rPr>
          <w:rStyle w:val="FootnoteReference"/>
          <w:sz w:val="24"/>
          <w:lang w:val="lv-LV"/>
        </w:rPr>
        <w:footnoteRef/>
      </w:r>
      <w:r w:rsidR="00182E0B" w:rsidRPr="00182E0B">
        <w:rPr>
          <w:sz w:val="24"/>
          <w:lang w:val="lv-LV"/>
        </w:rPr>
        <w:t xml:space="preserve"> </w:t>
      </w:r>
      <w:r w:rsidR="00182E0B" w:rsidRPr="00182E0B">
        <w:rPr>
          <w:sz w:val="24"/>
          <w:lang w:val="lv-LV"/>
        </w:rPr>
        <w:tab/>
      </w:r>
      <w:r w:rsidRPr="00182E0B">
        <w:rPr>
          <w:sz w:val="24"/>
          <w:lang w:val="lv-LV"/>
        </w:rPr>
        <w:t xml:space="preserve">OV L 433 I, 22.12.2020., 28. lpp., ELI: </w:t>
      </w:r>
      <w:r>
        <w:fldChar w:fldCharType="begin"/>
      </w:r>
      <w:r w:rsidRPr="005624FF">
        <w:rPr>
          <w:lang w:val="pt-PT"/>
        </w:rPr>
        <w:instrText>HYPERLINK "http://data.europa.eu/eli/agree_interinstit/2020/1222/oj"</w:instrText>
      </w:r>
      <w:r>
        <w:fldChar w:fldCharType="separate"/>
      </w:r>
      <w:r w:rsidRPr="00182E0B">
        <w:rPr>
          <w:rStyle w:val="Hyperlink"/>
          <w:sz w:val="24"/>
          <w:lang w:val="lv-LV"/>
        </w:rPr>
        <w:t>http://data.europa.eu/eli/agree_interinstit/2020/1222/oj</w:t>
      </w:r>
      <w:r>
        <w:fldChar w:fldCharType="end"/>
      </w:r>
      <w:r w:rsidRPr="00182E0B">
        <w:rPr>
          <w:sz w:val="24"/>
          <w:lang w:val="lv-LV"/>
        </w:rPr>
        <w:t>.</w:t>
      </w:r>
    </w:p>
  </w:footnote>
  <w:footnote w:id="5">
    <w:p w14:paraId="7140DA09" w14:textId="046CCEB2" w:rsidR="00277346" w:rsidRPr="00182E0B" w:rsidRDefault="00277346" w:rsidP="00182E0B">
      <w:pPr>
        <w:pStyle w:val="FootnoteText"/>
        <w:ind w:left="567" w:hanging="567"/>
        <w:rPr>
          <w:sz w:val="24"/>
          <w:lang w:val="lv-LV"/>
        </w:rPr>
      </w:pPr>
      <w:r w:rsidRPr="00182E0B">
        <w:rPr>
          <w:rStyle w:val="FootnoteReference"/>
          <w:sz w:val="24"/>
          <w:lang w:val="lv-LV"/>
        </w:rPr>
        <w:footnoteRef/>
      </w:r>
      <w:r w:rsidR="00182E0B" w:rsidRPr="00182E0B">
        <w:rPr>
          <w:sz w:val="24"/>
          <w:lang w:val="lv-LV"/>
        </w:rPr>
        <w:t xml:space="preserve"> </w:t>
      </w:r>
      <w:r w:rsidR="00182E0B" w:rsidRPr="00182E0B">
        <w:rPr>
          <w:sz w:val="24"/>
          <w:lang w:val="lv-LV"/>
        </w:rPr>
        <w:tab/>
      </w:r>
      <w:r w:rsidRPr="00182E0B">
        <w:rPr>
          <w:sz w:val="24"/>
          <w:lang w:val="lv-LV"/>
        </w:rPr>
        <w:t>EGF regulas 3. panta nozīmē.</w:t>
      </w:r>
    </w:p>
  </w:footnote>
  <w:footnote w:id="6">
    <w:p w14:paraId="5FF97AD6" w14:textId="5154870A" w:rsidR="00277346" w:rsidRPr="00182E0B" w:rsidRDefault="00277346" w:rsidP="00182E0B">
      <w:pPr>
        <w:pStyle w:val="FootnoteText"/>
        <w:ind w:left="567" w:hanging="567"/>
        <w:rPr>
          <w:sz w:val="24"/>
          <w:lang w:val="lv-LV"/>
        </w:rPr>
      </w:pPr>
      <w:r w:rsidRPr="00182E0B">
        <w:rPr>
          <w:rStyle w:val="FootnoteReference"/>
          <w:sz w:val="24"/>
          <w:lang w:val="lv-LV"/>
        </w:rPr>
        <w:footnoteRef/>
      </w:r>
      <w:r w:rsidR="00182E0B" w:rsidRPr="00182E0B">
        <w:rPr>
          <w:sz w:val="24"/>
          <w:lang w:val="lv-LV"/>
        </w:rPr>
        <w:t xml:space="preserve"> </w:t>
      </w:r>
      <w:r w:rsidR="00182E0B" w:rsidRPr="00182E0B">
        <w:rPr>
          <w:sz w:val="24"/>
          <w:lang w:val="lv-LV"/>
        </w:rPr>
        <w:tab/>
      </w:r>
      <w:r w:rsidRPr="00182E0B">
        <w:rPr>
          <w:sz w:val="24"/>
          <w:lang w:val="lv-LV"/>
        </w:rPr>
        <w:t>DFS regulas 8. pants.</w:t>
      </w:r>
    </w:p>
  </w:footnote>
  <w:footnote w:id="7">
    <w:p w14:paraId="00EA4F6B" w14:textId="5C442B33" w:rsidR="00277346" w:rsidRPr="00182E0B" w:rsidRDefault="00277346" w:rsidP="00182E0B">
      <w:pPr>
        <w:pStyle w:val="FootnoteText"/>
        <w:ind w:left="567" w:hanging="567"/>
        <w:rPr>
          <w:sz w:val="24"/>
          <w:lang w:val="lv-LV"/>
        </w:rPr>
      </w:pPr>
      <w:r w:rsidRPr="00182E0B">
        <w:rPr>
          <w:rStyle w:val="FootnoteReference"/>
          <w:sz w:val="24"/>
          <w:lang w:val="lv-LV"/>
        </w:rPr>
        <w:footnoteRef/>
      </w:r>
      <w:r w:rsidR="00182E0B" w:rsidRPr="00182E0B">
        <w:rPr>
          <w:sz w:val="24"/>
          <w:lang w:val="lv-LV"/>
        </w:rPr>
        <w:t xml:space="preserve"> </w:t>
      </w:r>
      <w:r w:rsidR="00182E0B" w:rsidRPr="00182E0B">
        <w:rPr>
          <w:sz w:val="24"/>
          <w:lang w:val="lv-LV"/>
        </w:rPr>
        <w:tab/>
      </w:r>
      <w:r>
        <w:fldChar w:fldCharType="begin"/>
      </w:r>
      <w:r w:rsidRPr="005624FF">
        <w:rPr>
          <w:lang w:val="lv-LV"/>
        </w:rPr>
        <w:instrText>HYPERLINK "https://www.nbb.be/doc/ts/publications/economicreview/2024/ecorevi2024_h02.pdf"</w:instrText>
      </w:r>
      <w:r>
        <w:fldChar w:fldCharType="separate"/>
      </w:r>
      <w:proofErr w:type="spellStart"/>
      <w:r w:rsidRPr="00182E0B">
        <w:rPr>
          <w:rStyle w:val="Hyperlink"/>
          <w:sz w:val="24"/>
          <w:lang w:val="lv-LV"/>
        </w:rPr>
        <w:t>Belģijas</w:t>
      </w:r>
      <w:proofErr w:type="spellEnd"/>
      <w:r w:rsidRPr="00182E0B">
        <w:rPr>
          <w:rStyle w:val="Hyperlink"/>
          <w:sz w:val="24"/>
          <w:lang w:val="lv-LV"/>
        </w:rPr>
        <w:t xml:space="preserve"> Valsts banka,</w:t>
      </w:r>
      <w:r>
        <w:fldChar w:fldCharType="end"/>
      </w:r>
      <w:r w:rsidRPr="00182E0B">
        <w:rPr>
          <w:sz w:val="24"/>
          <w:lang w:val="lv-LV"/>
        </w:rPr>
        <w:t xml:space="preserve"> </w:t>
      </w:r>
      <w:r>
        <w:fldChar w:fldCharType="begin"/>
      </w:r>
      <w:r w:rsidRPr="005624FF">
        <w:rPr>
          <w:lang w:val="lv-LV"/>
        </w:rPr>
        <w:instrText>HYPERLINK "https://www.nbb.be/doc/ts/publications/economicreview/2024/ecorevi2024_h02.pdf"</w:instrText>
      </w:r>
      <w:r>
        <w:fldChar w:fldCharType="separate"/>
      </w:r>
      <w:proofErr w:type="spellStart"/>
      <w:r w:rsidRPr="00182E0B">
        <w:rPr>
          <w:rStyle w:val="Hyperlink"/>
          <w:i/>
          <w:iCs/>
          <w:sz w:val="24"/>
          <w:lang w:val="lv-LV"/>
        </w:rPr>
        <w:t>Economic</w:t>
      </w:r>
      <w:proofErr w:type="spellEnd"/>
      <w:r w:rsidRPr="00182E0B">
        <w:rPr>
          <w:rStyle w:val="Hyperlink"/>
          <w:i/>
          <w:iCs/>
          <w:sz w:val="24"/>
          <w:lang w:val="lv-LV"/>
        </w:rPr>
        <w:t xml:space="preserve"> </w:t>
      </w:r>
      <w:proofErr w:type="spellStart"/>
      <w:r w:rsidRPr="00182E0B">
        <w:rPr>
          <w:rStyle w:val="Hyperlink"/>
          <w:i/>
          <w:iCs/>
          <w:sz w:val="24"/>
          <w:lang w:val="lv-LV"/>
        </w:rPr>
        <w:t>Review</w:t>
      </w:r>
      <w:proofErr w:type="spellEnd"/>
      <w:r w:rsidRPr="00182E0B">
        <w:rPr>
          <w:rStyle w:val="Hyperlink"/>
          <w:i/>
          <w:iCs/>
          <w:sz w:val="24"/>
          <w:lang w:val="lv-LV"/>
        </w:rPr>
        <w:t xml:space="preserve"> 2024</w:t>
      </w:r>
      <w:r>
        <w:fldChar w:fldCharType="end"/>
      </w:r>
      <w:r w:rsidRPr="00182E0B">
        <w:rPr>
          <w:sz w:val="24"/>
          <w:lang w:val="lv-LV"/>
        </w:rPr>
        <w:t xml:space="preserve"> (2024. gada ekonomikas pārskats).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B0C9" w14:textId="77777777" w:rsidR="00277346" w:rsidRPr="00182E0B" w:rsidRDefault="00277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4CF36" w14:textId="77777777" w:rsidR="00277346" w:rsidRPr="00182E0B" w:rsidRDefault="002773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D981" w14:textId="77777777" w:rsidR="00277346" w:rsidRPr="00182E0B" w:rsidRDefault="002773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4C60" w14:textId="77777777" w:rsidR="00064002" w:rsidRPr="00182E0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F763" w14:textId="77777777" w:rsidR="00064002" w:rsidRPr="00182E0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FD42D" w14:textId="77777777" w:rsidR="00064002" w:rsidRPr="00182E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0634582">
    <w:abstractNumId w:val="9"/>
  </w:num>
  <w:num w:numId="2" w16cid:durableId="1190756309">
    <w:abstractNumId w:val="9"/>
  </w:num>
  <w:num w:numId="3" w16cid:durableId="1956911671">
    <w:abstractNumId w:val="7"/>
  </w:num>
  <w:num w:numId="4" w16cid:durableId="2021543163">
    <w:abstractNumId w:val="7"/>
  </w:num>
  <w:num w:numId="5" w16cid:durableId="815338518">
    <w:abstractNumId w:val="6"/>
  </w:num>
  <w:num w:numId="6" w16cid:durableId="1680085013">
    <w:abstractNumId w:val="6"/>
  </w:num>
  <w:num w:numId="7" w16cid:durableId="1800682161">
    <w:abstractNumId w:val="5"/>
  </w:num>
  <w:num w:numId="8" w16cid:durableId="1119110708">
    <w:abstractNumId w:val="5"/>
  </w:num>
  <w:num w:numId="9" w16cid:durableId="1456176776">
    <w:abstractNumId w:val="4"/>
  </w:num>
  <w:num w:numId="10" w16cid:durableId="1522819638">
    <w:abstractNumId w:val="4"/>
  </w:num>
  <w:num w:numId="11" w16cid:durableId="825778986">
    <w:abstractNumId w:val="8"/>
  </w:num>
  <w:num w:numId="12" w16cid:durableId="1684044150">
    <w:abstractNumId w:val="8"/>
  </w:num>
  <w:num w:numId="13" w16cid:durableId="1501391052">
    <w:abstractNumId w:val="3"/>
  </w:num>
  <w:num w:numId="14" w16cid:durableId="1131441063">
    <w:abstractNumId w:val="3"/>
  </w:num>
  <w:num w:numId="15" w16cid:durableId="1646349121">
    <w:abstractNumId w:val="2"/>
  </w:num>
  <w:num w:numId="16" w16cid:durableId="1460874983">
    <w:abstractNumId w:val="2"/>
  </w:num>
  <w:num w:numId="17" w16cid:durableId="1342972131">
    <w:abstractNumId w:val="1"/>
  </w:num>
  <w:num w:numId="18" w16cid:durableId="1836258242">
    <w:abstractNumId w:val="1"/>
  </w:num>
  <w:num w:numId="19" w16cid:durableId="29890208">
    <w:abstractNumId w:val="0"/>
  </w:num>
  <w:num w:numId="20" w16cid:durableId="1301955936">
    <w:abstractNumId w:val="0"/>
  </w:num>
  <w:num w:numId="21" w16cid:durableId="473833948">
    <w:abstractNumId w:val="9"/>
  </w:num>
  <w:num w:numId="22" w16cid:durableId="892885491">
    <w:abstractNumId w:val="7"/>
  </w:num>
  <w:num w:numId="23" w16cid:durableId="1838380986">
    <w:abstractNumId w:val="6"/>
  </w:num>
  <w:num w:numId="24" w16cid:durableId="571739254">
    <w:abstractNumId w:val="5"/>
  </w:num>
  <w:num w:numId="25" w16cid:durableId="1276408004">
    <w:abstractNumId w:val="4"/>
  </w:num>
  <w:num w:numId="26" w16cid:durableId="1746873587">
    <w:abstractNumId w:val="8"/>
  </w:num>
  <w:num w:numId="27" w16cid:durableId="858739816">
    <w:abstractNumId w:val="3"/>
  </w:num>
  <w:num w:numId="28" w16cid:durableId="1631134629">
    <w:abstractNumId w:val="2"/>
  </w:num>
  <w:num w:numId="29" w16cid:durableId="1927028948">
    <w:abstractNumId w:val="1"/>
  </w:num>
  <w:num w:numId="30" w16cid:durableId="281351953">
    <w:abstractNumId w:val="0"/>
  </w:num>
  <w:num w:numId="31" w16cid:durableId="2050689569">
    <w:abstractNumId w:val="9"/>
  </w:num>
  <w:num w:numId="32" w16cid:durableId="961301517">
    <w:abstractNumId w:val="7"/>
  </w:num>
  <w:num w:numId="33" w16cid:durableId="1431924317">
    <w:abstractNumId w:val="6"/>
  </w:num>
  <w:num w:numId="34" w16cid:durableId="786971868">
    <w:abstractNumId w:val="5"/>
  </w:num>
  <w:num w:numId="35" w16cid:durableId="551966414">
    <w:abstractNumId w:val="4"/>
  </w:num>
  <w:num w:numId="36" w16cid:durableId="1014192868">
    <w:abstractNumId w:val="8"/>
  </w:num>
  <w:num w:numId="37" w16cid:durableId="1046174602">
    <w:abstractNumId w:val="3"/>
  </w:num>
  <w:num w:numId="38" w16cid:durableId="670067728">
    <w:abstractNumId w:val="2"/>
  </w:num>
  <w:num w:numId="39" w16cid:durableId="1046762885">
    <w:abstractNumId w:val="1"/>
  </w:num>
  <w:num w:numId="40" w16cid:durableId="362092698">
    <w:abstractNumId w:val="0"/>
  </w:num>
  <w:num w:numId="41" w16cid:durableId="1867981291">
    <w:abstractNumId w:val="10"/>
  </w:num>
  <w:num w:numId="42" w16cid:durableId="623116466">
    <w:abstractNumId w:val="10"/>
  </w:num>
  <w:num w:numId="43" w16cid:durableId="1602251975">
    <w:abstractNumId w:val="10"/>
  </w:num>
  <w:num w:numId="44" w16cid:durableId="10252515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LV"/>
    <w:docVar w:name="dvnumam" w:val="0"/>
    <w:docVar w:name="dvpe" w:val="785.333"/>
    <w:docVar w:name="dvrapporteur" w:val="Referents: "/>
    <w:docVar w:name="dvtitre" w:val="Eiropas Parlamenta 2026. gada XX. XXX  rezolūcija par priekšlikumu Eiropas Parlamenta un Padomes lēmumam par Eiropas Globalizācijas pielāgošanās fonda darbu zaudējušiem darba ņēmējiem izmantošanu saistībā ar Beļģijas iesniegto pieteikumu (EGF/2025/008 BE/Liberty)(COM(2026)0004 – C10-0062/2026 – 2026/0066(BUD))"/>
  </w:docVars>
  <w:rsids>
    <w:rsidRoot w:val="00966348"/>
    <w:rsid w:val="00002272"/>
    <w:rsid w:val="00064002"/>
    <w:rsid w:val="000677B9"/>
    <w:rsid w:val="000831BA"/>
    <w:rsid w:val="000A42CC"/>
    <w:rsid w:val="000E7DD9"/>
    <w:rsid w:val="0010095E"/>
    <w:rsid w:val="00125B37"/>
    <w:rsid w:val="00182E0B"/>
    <w:rsid w:val="00187494"/>
    <w:rsid w:val="001F32AE"/>
    <w:rsid w:val="002767FF"/>
    <w:rsid w:val="00277346"/>
    <w:rsid w:val="002B18FE"/>
    <w:rsid w:val="002B5493"/>
    <w:rsid w:val="00300DE9"/>
    <w:rsid w:val="00343214"/>
    <w:rsid w:val="00361C00"/>
    <w:rsid w:val="00395FA1"/>
    <w:rsid w:val="003E15D4"/>
    <w:rsid w:val="00411CCE"/>
    <w:rsid w:val="0041666E"/>
    <w:rsid w:val="00421060"/>
    <w:rsid w:val="00467872"/>
    <w:rsid w:val="00471C19"/>
    <w:rsid w:val="004867E3"/>
    <w:rsid w:val="00494A28"/>
    <w:rsid w:val="004C0004"/>
    <w:rsid w:val="004C5D52"/>
    <w:rsid w:val="0050519A"/>
    <w:rsid w:val="005072A1"/>
    <w:rsid w:val="00514517"/>
    <w:rsid w:val="00545827"/>
    <w:rsid w:val="00560270"/>
    <w:rsid w:val="005624FF"/>
    <w:rsid w:val="005C2568"/>
    <w:rsid w:val="005F1B17"/>
    <w:rsid w:val="006037C0"/>
    <w:rsid w:val="006631B6"/>
    <w:rsid w:val="00680577"/>
    <w:rsid w:val="006F74FA"/>
    <w:rsid w:val="00731ADD"/>
    <w:rsid w:val="00734777"/>
    <w:rsid w:val="00747932"/>
    <w:rsid w:val="00751A4A"/>
    <w:rsid w:val="00756632"/>
    <w:rsid w:val="00762C74"/>
    <w:rsid w:val="00786EC0"/>
    <w:rsid w:val="00796F42"/>
    <w:rsid w:val="007D1690"/>
    <w:rsid w:val="007E22AD"/>
    <w:rsid w:val="00817416"/>
    <w:rsid w:val="00842779"/>
    <w:rsid w:val="00865F67"/>
    <w:rsid w:val="00881A7B"/>
    <w:rsid w:val="008840E5"/>
    <w:rsid w:val="00887B3E"/>
    <w:rsid w:val="008C2AC6"/>
    <w:rsid w:val="00930C23"/>
    <w:rsid w:val="0093193B"/>
    <w:rsid w:val="009509D8"/>
    <w:rsid w:val="00950B64"/>
    <w:rsid w:val="00966348"/>
    <w:rsid w:val="00981893"/>
    <w:rsid w:val="009831B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90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263DA"/>
  <w15:chartTrackingRefBased/>
  <w15:docId w15:val="{DF44A2DB-39E1-4DF5-ACDA-1EDA17BA6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734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77346"/>
    <w:pPr>
      <w:keepNext/>
      <w:spacing w:after="480"/>
      <w:jc w:val="center"/>
    </w:pPr>
    <w:rPr>
      <w:rFonts w:ascii="Arial" w:hAnsi="Arial" w:cs="Arial"/>
      <w:b/>
    </w:rPr>
  </w:style>
  <w:style w:type="paragraph" w:customStyle="1" w:styleId="NormalBold">
    <w:name w:val="NormalBold"/>
    <w:basedOn w:val="Normal"/>
    <w:rsid w:val="00277346"/>
    <w:rPr>
      <w:b/>
    </w:rPr>
  </w:style>
  <w:style w:type="paragraph" w:customStyle="1" w:styleId="NormalHanging12a">
    <w:name w:val="NormalHanging12a"/>
    <w:basedOn w:val="Normal"/>
    <w:link w:val="NormalHanging12aChar"/>
    <w:rsid w:val="00277346"/>
    <w:pPr>
      <w:spacing w:after="240"/>
      <w:ind w:left="567" w:hanging="567"/>
    </w:pPr>
  </w:style>
  <w:style w:type="paragraph" w:styleId="Header">
    <w:name w:val="header"/>
    <w:basedOn w:val="Normal"/>
    <w:link w:val="HeaderChar"/>
    <w:rsid w:val="00277346"/>
    <w:pPr>
      <w:tabs>
        <w:tab w:val="center" w:pos="4513"/>
        <w:tab w:val="right" w:pos="9026"/>
      </w:tabs>
    </w:pPr>
  </w:style>
  <w:style w:type="character" w:customStyle="1" w:styleId="HeaderChar">
    <w:name w:val="Header Char"/>
    <w:basedOn w:val="DefaultParagraphFont"/>
    <w:link w:val="Header"/>
    <w:rsid w:val="00277346"/>
    <w:rPr>
      <w:sz w:val="24"/>
      <w:lang w:val="lv-LV"/>
    </w:rPr>
  </w:style>
  <w:style w:type="paragraph" w:customStyle="1" w:styleId="EPFooter">
    <w:name w:val="EPFooter"/>
    <w:basedOn w:val="Normal"/>
    <w:rsid w:val="00277346"/>
    <w:pPr>
      <w:tabs>
        <w:tab w:val="center" w:pos="4535"/>
        <w:tab w:val="right" w:pos="9071"/>
      </w:tabs>
      <w:spacing w:before="240" w:after="240"/>
    </w:pPr>
    <w:rPr>
      <w:color w:val="010000"/>
      <w:sz w:val="22"/>
    </w:rPr>
  </w:style>
  <w:style w:type="paragraph" w:customStyle="1" w:styleId="EPComma">
    <w:name w:val="EPComma"/>
    <w:basedOn w:val="Normal"/>
    <w:rsid w:val="00277346"/>
    <w:pPr>
      <w:spacing w:before="480" w:after="240"/>
    </w:pPr>
  </w:style>
  <w:style w:type="character" w:styleId="Hyperlink">
    <w:name w:val="Hyperlink"/>
    <w:basedOn w:val="DefaultParagraphFont"/>
    <w:uiPriority w:val="99"/>
    <w:rsid w:val="00277346"/>
    <w:rPr>
      <w:color w:val="0563C1" w:themeColor="hyperlink"/>
      <w:u w:val="single"/>
    </w:rPr>
  </w:style>
  <w:style w:type="character" w:customStyle="1" w:styleId="NormalHanging12aChar">
    <w:name w:val="NormalHanging12a Char"/>
    <w:basedOn w:val="DefaultParagraphFont"/>
    <w:link w:val="NormalHanging12a"/>
    <w:locked/>
    <w:rsid w:val="00277346"/>
    <w:rPr>
      <w:sz w:val="24"/>
      <w:lang w:val="lv-LV"/>
    </w:rPr>
  </w:style>
  <w:style w:type="paragraph" w:customStyle="1" w:styleId="Institutionquisigne">
    <w:name w:val="Institution qui signe"/>
    <w:basedOn w:val="Normal"/>
    <w:next w:val="Personnequisigne"/>
    <w:rsid w:val="0027734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7734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7734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7734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7734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77346"/>
    <w:pPr>
      <w:widowControl/>
      <w:tabs>
        <w:tab w:val="left" w:pos="4252"/>
      </w:tabs>
    </w:pPr>
    <w:rPr>
      <w:rFonts w:eastAsiaTheme="minorHAnsi"/>
      <w:i/>
      <w:szCs w:val="22"/>
      <w:lang w:eastAsia="en-US"/>
    </w:rPr>
  </w:style>
  <w:style w:type="paragraph" w:customStyle="1" w:styleId="ManualConsidrant">
    <w:name w:val="Manual Considérant"/>
    <w:basedOn w:val="Normal"/>
    <w:rsid w:val="00277346"/>
    <w:pPr>
      <w:widowControl/>
      <w:spacing w:before="120" w:after="120"/>
      <w:ind w:left="709" w:hanging="709"/>
      <w:jc w:val="both"/>
    </w:pPr>
    <w:rPr>
      <w:rFonts w:eastAsiaTheme="minorHAnsi"/>
      <w:szCs w:val="22"/>
      <w:lang w:eastAsia="en-US"/>
    </w:rPr>
  </w:style>
  <w:style w:type="paragraph" w:customStyle="1" w:styleId="Lignefinal">
    <w:name w:val="Ligne final"/>
    <w:basedOn w:val="Normal"/>
    <w:next w:val="Normal"/>
    <w:rsid w:val="00277346"/>
    <w:pPr>
      <w:widowControl/>
      <w:pBdr>
        <w:bottom w:val="single" w:sz="4" w:space="0" w:color="000000"/>
      </w:pBdr>
      <w:spacing w:before="360" w:after="120" w:line="360" w:lineRule="auto"/>
      <w:ind w:left="3400" w:right="3400"/>
      <w:jc w:val="center"/>
    </w:pPr>
    <w:rPr>
      <w:rFonts w:eastAsiaTheme="minorHAnsi"/>
      <w:b/>
      <w:szCs w:val="22"/>
      <w:lang w:eastAsia="lv-LV" w:bidi="lv-LV"/>
    </w:rPr>
  </w:style>
  <w:style w:type="character" w:customStyle="1" w:styleId="PageHeadingChar">
    <w:name w:val="PageHeading Char"/>
    <w:basedOn w:val="DefaultParagraphFont"/>
    <w:link w:val="PageHeading"/>
    <w:locked/>
    <w:rsid w:val="00277346"/>
    <w:rPr>
      <w:rFonts w:ascii="Arial" w:hAnsi="Arial" w:cs="Arial"/>
      <w:b/>
      <w:sz w:val="24"/>
      <w:lang w:val="lv-LV"/>
    </w:rPr>
  </w:style>
  <w:style w:type="paragraph" w:styleId="Revision">
    <w:name w:val="Revision"/>
    <w:hidden/>
    <w:uiPriority w:val="99"/>
    <w:semiHidden/>
    <w:rsid w:val="00796F42"/>
    <w:rPr>
      <w:sz w:val="24"/>
      <w:lang w:val="lv-LV"/>
    </w:rPr>
  </w:style>
  <w:style w:type="paragraph" w:customStyle="1" w:styleId="Normal24Bold">
    <w:name w:val="Normal24Bold"/>
    <w:basedOn w:val="Normal"/>
    <w:rsid w:val="005624FF"/>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1526</Words>
  <Characters>10156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2026-07-06T09:39:00Z</dcterms:created>
  <dcterms:modified xsi:type="dcterms:W3CDTF">2026-07-06T09:39:00Z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P10_TA(2026)0145_</vt:lpwstr>
  </property>
  <property fmtid="{D5CDD505-2E9C-101B-9397-08002B2CF9AE}" pid="4" name="&lt;Type&gt;">
    <vt:lpwstr>RR</vt:lpwstr>
  </property>
</Properties>
</file>