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6C713D2E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4A711D" w:rsidP="0010095E" w14:paraId="7A521C90" w14:textId="77777777">
            <w:pPr>
              <w:pStyle w:val="EPName"/>
            </w:pPr>
            <w:r w:rsidRPr="004A711D">
              <w:t>Parlament Europejski</w:t>
            </w:r>
          </w:p>
          <w:p w:rsidR="00751A4A" w:rsidRPr="004A711D" w:rsidP="005F1B17" w14:paraId="3B1EC6BC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A711D">
              <w:t>2024</w:t>
            </w:r>
            <w:r w:rsidRPr="004A711D" w:rsidR="00817416">
              <w:t>-202</w:t>
            </w:r>
            <w:r w:rsidRPr="004A711D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4A711D" w:rsidP="0010095E" w14:paraId="26BAEF0B" w14:textId="77777777">
            <w:pPr>
              <w:pStyle w:val="EPLogo"/>
            </w:pPr>
            <w:r w:rsidRPr="004A711D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4A711D" w:rsidP="004C5D52" w14:paraId="4F44F2CA" w14:textId="77777777">
      <w:pPr>
        <w:pStyle w:val="LineTop"/>
      </w:pPr>
    </w:p>
    <w:p w:rsidR="00680577" w:rsidRPr="004A711D" w:rsidP="00680577" w14:paraId="23230A93" w14:textId="77777777">
      <w:pPr>
        <w:pStyle w:val="EPBodyTA1"/>
      </w:pPr>
      <w:r w:rsidRPr="004A711D">
        <w:t>TEKSTY PRZYJĘTE</w:t>
      </w:r>
    </w:p>
    <w:p w:rsidR="00D058B8" w:rsidRPr="004A711D" w:rsidP="00D058B8" w14:paraId="12595F0E" w14:textId="77777777">
      <w:pPr>
        <w:pStyle w:val="LineBottom"/>
      </w:pPr>
    </w:p>
    <w:p w:rsidR="00D85F90" w:rsidRPr="004A711D" w:rsidP="00D85F90" w14:paraId="09A051AA" w14:textId="25A12617">
      <w:pPr>
        <w:pStyle w:val="ATHeading1"/>
      </w:pPr>
      <w:bookmarkStart w:id="0" w:name="TANumber"/>
      <w:r w:rsidRPr="004A711D">
        <w:t>P10_TA(2026)0</w:t>
      </w:r>
      <w:bookmarkEnd w:id="0"/>
      <w:r w:rsidR="00B23CF4">
        <w:t>145</w:t>
      </w:r>
    </w:p>
    <w:p w:rsidR="00D85F90" w:rsidRPr="004A711D" w:rsidP="00D85F90" w14:paraId="7B93E9DF" w14:textId="39A9042A">
      <w:pPr>
        <w:pStyle w:val="ATHeading2"/>
      </w:pPr>
      <w:bookmarkStart w:id="1" w:name="title"/>
      <w:r w:rsidRPr="004A711D">
        <w:t>Uruchomienie Europejskiego Funduszu Dostosowania do Globalizacji dla Zwalnianych</w:t>
      </w:r>
      <w:r w:rsidR="00B23CF4">
        <w:t xml:space="preserve"> </w:t>
      </w:r>
      <w:r w:rsidRPr="004A711D">
        <w:t>Pracowników: wniosek EGF/2025/008 BE/Liberty - Belgia</w:t>
      </w:r>
      <w:bookmarkEnd w:id="1"/>
    </w:p>
    <w:p w:rsidR="00D85F90" w:rsidRPr="004A711D" w:rsidP="00D85F90" w14:paraId="74800F16" w14:textId="77777777">
      <w:pPr>
        <w:rPr>
          <w:i/>
          <w:vanish/>
        </w:rPr>
      </w:pPr>
      <w:r>
        <w:rPr>
          <w:i/>
        </w:rPr>
        <w:fldChar w:fldCharType="begin"/>
      </w:r>
      <w:r w:rsidRPr="004A711D">
        <w:rPr>
          <w:i/>
        </w:rPr>
        <w:instrText xml:space="preserve"> TC"(</w:instrText>
      </w:r>
      <w:bookmarkStart w:id="2" w:name="DocNumber"/>
      <w:r w:rsidRPr="004A711D">
        <w:rPr>
          <w:i/>
        </w:rPr>
        <w:instrText>A10-0084/2026</w:instrText>
      </w:r>
      <w:bookmarkEnd w:id="2"/>
      <w:r w:rsidRPr="004A711D">
        <w:rPr>
          <w:i/>
        </w:rPr>
        <w:instrText xml:space="preserve"> - Sprawozdawca: Matthias Ecke)"\l3 \n&gt; \* MERGEFORMAT </w:instrText>
      </w:r>
      <w:r>
        <w:rPr>
          <w:i/>
        </w:rPr>
        <w:fldChar w:fldCharType="end"/>
      </w:r>
    </w:p>
    <w:p w:rsidR="00D85F90" w:rsidRPr="004A711D" w:rsidP="00D85F90" w14:paraId="6FCFC197" w14:textId="77777777">
      <w:pPr>
        <w:rPr>
          <w:vanish/>
        </w:rPr>
      </w:pPr>
      <w:bookmarkStart w:id="3" w:name="Commission"/>
      <w:r w:rsidRPr="004A711D">
        <w:rPr>
          <w:vanish/>
        </w:rPr>
        <w:t>Komisja Budżetowa</w:t>
      </w:r>
      <w:bookmarkEnd w:id="3"/>
    </w:p>
    <w:p w:rsidR="00D85F90" w:rsidRPr="004A711D" w:rsidP="00D85F90" w14:paraId="1042AEC7" w14:textId="77777777">
      <w:pPr>
        <w:rPr>
          <w:vanish/>
        </w:rPr>
      </w:pPr>
      <w:bookmarkStart w:id="4" w:name="PE"/>
      <w:r w:rsidRPr="004A711D">
        <w:rPr>
          <w:vanish/>
        </w:rPr>
        <w:t>PE785.333</w:t>
      </w:r>
      <w:bookmarkEnd w:id="4"/>
    </w:p>
    <w:p w:rsidR="00D85F90" w:rsidRPr="004A711D" w:rsidP="00D85F90" w14:paraId="6937B194" w14:textId="4B297987">
      <w:pPr>
        <w:pStyle w:val="ATHeading3"/>
      </w:pPr>
      <w:bookmarkStart w:id="5" w:name="Sujet"/>
      <w:r w:rsidRPr="004A711D">
        <w:t xml:space="preserve">Rezolucja Parlamentu Europejskiego z dnia </w:t>
      </w:r>
      <w:r w:rsidR="00416D5B">
        <w:t>29 kwietnia</w:t>
      </w:r>
      <w:r w:rsidRPr="004A711D">
        <w:t xml:space="preserve"> 2026 r. w sprawie wniosku dotyczącego decyzji Parlamentu Europejskiego i Rady w sprawie uruchomienia Europejskiego Funduszu Dostosowania do Globalizacji dla Zwalnianych Pracowników w następstwie wniosku złożonego przez Belgię – EGF/2025/008/BE/Liberty</w:t>
      </w:r>
      <w:bookmarkEnd w:id="5"/>
      <w:r w:rsidRPr="004A711D">
        <w:t xml:space="preserve"> </w:t>
      </w:r>
      <w:bookmarkStart w:id="6" w:name="References"/>
      <w:r w:rsidRPr="004A711D">
        <w:t>(COM(2026)0004 – C10-0062/2026 – 2026/0066(BUD))</w:t>
      </w:r>
      <w:bookmarkEnd w:id="6"/>
    </w:p>
    <w:p w:rsidR="002D4D49" w:rsidRPr="004A711D" w:rsidP="002D4D49" w14:paraId="3719D05E" w14:textId="77777777">
      <w:pPr>
        <w:pStyle w:val="EPComma"/>
        <w:rPr>
          <w:noProof/>
        </w:rPr>
      </w:pPr>
      <w:r w:rsidRPr="004A711D">
        <w:rPr>
          <w:i/>
        </w:rPr>
        <w:t>Parlament Europejski</w:t>
      </w:r>
      <w:r w:rsidRPr="004A711D">
        <w:t>,</w:t>
      </w:r>
    </w:p>
    <w:p w:rsidR="002D4D49" w:rsidRPr="004A711D" w:rsidP="002D4D49" w14:paraId="745B6C34" w14:textId="77777777">
      <w:pPr>
        <w:pStyle w:val="NormalHanging12a"/>
        <w:rPr>
          <w:noProof/>
        </w:rPr>
      </w:pPr>
      <w:r w:rsidRPr="004A711D">
        <w:t>–</w:t>
      </w:r>
      <w:r w:rsidRPr="004A711D">
        <w:tab/>
        <w:t>uwzględniając wniosek Komisji przedłożony Parlamentowi Europejskiemu i Radzie (COM(2026)0004 – C10</w:t>
      </w:r>
      <w:r w:rsidRPr="004A711D">
        <w:noBreakHyphen/>
        <w:t>0062/2026),</w:t>
      </w:r>
    </w:p>
    <w:p w:rsidR="002D4D49" w:rsidRPr="004A711D" w:rsidP="002D4D49" w14:paraId="725300B9" w14:textId="77777777">
      <w:pPr>
        <w:pStyle w:val="NormalHanging12a"/>
      </w:pPr>
      <w:r w:rsidRPr="004A711D">
        <w:t>–</w:t>
      </w:r>
      <w:r w:rsidRPr="004A711D">
        <w:tab/>
        <w:t>uwzględniając rozporządzenie Parlamentu Europejskiego i Rady (UE) 2021/691 z dnia 28 kwietnia 2021 r. w sprawie Europejskiego Funduszu Dostosowania do Globalizacji dla Zwalnianych Pracowników (EFG) oraz uchylenia rozporządzenia (UE) nr 1309/2013</w:t>
      </w:r>
      <w:r>
        <w:rPr>
          <w:vertAlign w:val="superscript"/>
        </w:rPr>
        <w:footnoteReference w:id="2"/>
      </w:r>
      <w:r w:rsidRPr="004A711D">
        <w:t xml:space="preserve"> („rozporządzenie w sprawie EFG”), </w:t>
      </w:r>
    </w:p>
    <w:p w:rsidR="002D4D49" w:rsidRPr="004A711D" w:rsidP="002D4D49" w14:paraId="754FA088" w14:textId="77777777">
      <w:pPr>
        <w:pStyle w:val="NormalHanging12a"/>
        <w:rPr>
          <w:noProof/>
        </w:rPr>
      </w:pPr>
      <w:r w:rsidRPr="004A711D">
        <w:t>–</w:t>
      </w:r>
      <w:r w:rsidRPr="004A711D">
        <w:tab/>
        <w:t>uwzględniając rozporządzenie Rady (UE, Euratom) 2020/2093 z dnia 17 grudnia 2020 r. określające wieloletnie ramy finansowe na lata 2021−2027 („rozporządzenie w sprawie WRF”)</w:t>
      </w:r>
      <w:r>
        <w:rPr>
          <w:noProof/>
          <w:vertAlign w:val="superscript"/>
        </w:rPr>
        <w:footnoteReference w:id="3"/>
      </w:r>
      <w:r w:rsidRPr="004A711D">
        <w:t>, zmienione rozporządzeniem (UE, Euratom) 2024/765</w:t>
      </w:r>
      <w:r>
        <w:rPr>
          <w:noProof/>
          <w:vertAlign w:val="superscript"/>
        </w:rPr>
        <w:footnoteReference w:id="4"/>
      </w:r>
      <w:r w:rsidRPr="004A711D">
        <w:t xml:space="preserve">, w szczególności jego art. 8, </w:t>
      </w:r>
    </w:p>
    <w:p w:rsidR="002D4D49" w:rsidRPr="004A711D" w:rsidP="002D4D49" w14:paraId="0ACE6DD5" w14:textId="77777777">
      <w:pPr>
        <w:pStyle w:val="NormalHanging12a"/>
        <w:rPr>
          <w:noProof/>
        </w:rPr>
      </w:pPr>
      <w:r w:rsidRPr="004A711D">
        <w:t>–</w:t>
      </w:r>
      <w:r w:rsidRPr="004A711D">
        <w:tab/>
        <w:t xml:space="preserve">uwzględniając Porozumienie międzyinstytucjonalne z dnia 16 grudnia 2020 r. między Parlamentem Europejskim, Radą Unii Europejskiej i Komisją Europejską w sprawie dyscypliny budżetowej, współpracy w kwestiach budżetowych i należytego zarządzania finansami oraz w sprawie nowych zasobów własnych, w tym również harmonogramu </w:t>
      </w:r>
      <w:r w:rsidRPr="004A711D">
        <w:t>wprowadzania nowych zasobów własnych</w:t>
      </w:r>
      <w:r>
        <w:rPr>
          <w:rStyle w:val="FootnoteReference"/>
          <w:noProof/>
        </w:rPr>
        <w:footnoteReference w:id="5"/>
      </w:r>
      <w:r w:rsidRPr="004A711D">
        <w:t>, w szczególności jego pkt 9,</w:t>
      </w:r>
    </w:p>
    <w:p w:rsidR="002D4D49" w:rsidRPr="004A711D" w:rsidP="002D4D49" w14:paraId="2C583190" w14:textId="77777777">
      <w:pPr>
        <w:pStyle w:val="NormalHanging12a"/>
      </w:pPr>
      <w:r w:rsidRPr="004A711D">
        <w:t>–</w:t>
      </w:r>
      <w:r w:rsidRPr="004A711D">
        <w:tab/>
        <w:t>uwzględniając Europejski filar praw socjalnych,</w:t>
      </w:r>
    </w:p>
    <w:p w:rsidR="002D4D49" w:rsidRPr="004A711D" w:rsidP="002D4D49" w14:paraId="4E722918" w14:textId="77777777">
      <w:pPr>
        <w:pStyle w:val="NormalHanging12a"/>
      </w:pPr>
      <w:r w:rsidRPr="004A711D">
        <w:t>–</w:t>
      </w:r>
      <w:r w:rsidRPr="004A711D">
        <w:tab/>
        <w:t>uwzględniając pismo przesłane przez Komisję Zatrudnienia i Spraw Socjalnych,</w:t>
      </w:r>
    </w:p>
    <w:p w:rsidR="002D4D49" w:rsidRPr="004A711D" w:rsidP="002D4D49" w14:paraId="0C9F5803" w14:textId="77777777">
      <w:pPr>
        <w:pStyle w:val="NormalHanging12a"/>
      </w:pPr>
      <w:r w:rsidRPr="004A711D">
        <w:t>–</w:t>
      </w:r>
      <w:r w:rsidRPr="004A711D">
        <w:tab/>
        <w:t>uwzględniając sprawozdanie Komisji Budżetowej (A10-0084/2026),</w:t>
      </w:r>
    </w:p>
    <w:p w:rsidR="002D4D49" w:rsidRPr="004A711D" w:rsidP="002D4D49" w14:paraId="580019D8" w14:textId="77777777">
      <w:pPr>
        <w:pStyle w:val="NormalHanging12a"/>
        <w:rPr>
          <w:noProof/>
        </w:rPr>
      </w:pPr>
      <w:r w:rsidRPr="004A711D">
        <w:t>A.</w:t>
      </w:r>
      <w:r w:rsidRPr="004A711D">
        <w:tab/>
        <w:t>mając na uwadze, że Unia opracowała instrumenty ustawodawcze i budżetowe, za pomocą których udziela dodatkowego wsparcia pracownikom dotkniętym skutkami istotnych działań restrukturyzacyjnych i zmian w strukturze światowego handlu oraz ułatwia im powrót na rynek pracy; mając na uwadze, że pomoc ta ma formę wsparcia finansowego dla pracowników;</w:t>
      </w:r>
    </w:p>
    <w:p w:rsidR="002D4D49" w:rsidRPr="004A711D" w:rsidP="002D4D49" w14:paraId="16EC5A7F" w14:textId="77777777">
      <w:pPr>
        <w:pStyle w:val="NormalHanging12a"/>
        <w:rPr>
          <w:bCs/>
          <w:iCs/>
          <w:noProof/>
        </w:rPr>
      </w:pPr>
      <w:r w:rsidRPr="004A711D">
        <w:t>B.</w:t>
      </w:r>
      <w:r w:rsidRPr="004A711D">
        <w:tab/>
        <w:t>mając na uwadze, że wsparcie powinno być ukierunkowane na szybką reintegrację pracowników oraz na dopilnowanie, by szkolenia, przekwalifikowanie i szkolenie zawodowe zapewniały pracownikom umiejętności lepiej dostosowane do potrzeb rynku pracy;</w:t>
      </w:r>
    </w:p>
    <w:p w:rsidR="002D4D49" w:rsidRPr="004A711D" w:rsidP="002D4D49" w14:paraId="04588A9D" w14:textId="77777777">
      <w:pPr>
        <w:pStyle w:val="NormalHanging12a"/>
      </w:pPr>
      <w:r w:rsidRPr="004A711D">
        <w:t>C.</w:t>
      </w:r>
      <w:r w:rsidRPr="004A711D">
        <w:tab/>
        <w:t>mając na uwadze, że Belgia złożyła wniosek EGF/2025/008 BE/Liberty o przyznanie wkładu finansowego z EFG w związku ze zwolnieniem 507 pracowników w przedsiębiorstwie</w:t>
      </w:r>
      <w:r>
        <w:rPr>
          <w:vertAlign w:val="superscript"/>
        </w:rPr>
        <w:footnoteReference w:id="6"/>
      </w:r>
      <w:r w:rsidRPr="004A711D">
        <w:t xml:space="preserve"> Liberty Galaţi Belgian Branch (Liberty) w sektorze gospodarki zaklasyfikowanym do działu 24 według NACE Revision 2 (Produkcja metali nieszlachetnych) w prowincji Prowincja Liège (BE33) w okresie odniesienia od 24 kwietnia 2025 r. do 24 sierpnia 2025 r.;</w:t>
      </w:r>
    </w:p>
    <w:p w:rsidR="002D4D49" w:rsidRPr="004A711D" w:rsidP="002D4D49" w14:paraId="53CA5FA8" w14:textId="77777777">
      <w:pPr>
        <w:pStyle w:val="NormalHanging12a"/>
      </w:pPr>
      <w:r w:rsidRPr="004A711D">
        <w:t>D.</w:t>
      </w:r>
      <w:r w:rsidRPr="004A711D">
        <w:tab/>
        <w:t>mając na uwadze, że wniosek opiera się na kryterium interwencji określonym w art. 4 ust. 2 lit. a) rozporządzenia w sprawie EFG, zgodnie z którym w przedsiębiorstwie w państwie członkowskim musi dojść do zaprzestania działalności co najmniej 200 zwalnianych pracowników lub osób prowadzących działalność na własny rachunek w czteromiesięcznym okresie odniesienia;</w:t>
      </w:r>
    </w:p>
    <w:p w:rsidR="002D4D49" w:rsidRPr="004A711D" w:rsidP="002D4D49" w14:paraId="15C499D5" w14:textId="77777777">
      <w:pPr>
        <w:pStyle w:val="NormalHanging12a"/>
        <w:rPr>
          <w:noProof/>
        </w:rPr>
      </w:pPr>
      <w:r w:rsidRPr="004A711D">
        <w:t>E.</w:t>
      </w:r>
      <w:r w:rsidRPr="004A711D">
        <w:tab/>
        <w:t>mając na uwadze, że 22 kwietnia 2025 r. sąd gospodarczy w Liège ogłosił upadłość przedsiębiorstwa Liberty; mając na uwadze, że w Belgii od 2022 r. obserwuje się wzrost liczby upadłości przedsiębiorstw;</w:t>
      </w:r>
    </w:p>
    <w:p w:rsidR="002D4D49" w:rsidRPr="004A711D" w:rsidP="002D4D49" w14:paraId="324E4623" w14:textId="77777777">
      <w:pPr>
        <w:pStyle w:val="NormalHanging12a"/>
      </w:pPr>
      <w:r w:rsidRPr="004A711D">
        <w:t>F.</w:t>
      </w:r>
      <w:r w:rsidRPr="004A711D">
        <w:tab/>
        <w:t>mając na uwadze, że Region Walonii i Regionalna Publiczna Służba ds. Zatrudnienia i Szkolenia Zawodowego (Le Forem) zapewniają krajowe finansowanie w formie płatności zaliczkowej lub współfinansowanie krajowe;</w:t>
      </w:r>
    </w:p>
    <w:p w:rsidR="002D4D49" w:rsidRPr="004A711D" w:rsidP="002D4D49" w14:paraId="7FE58AAC" w14:textId="77777777">
      <w:pPr>
        <w:pStyle w:val="NormalHanging12a"/>
      </w:pPr>
      <w:r w:rsidRPr="004A711D">
        <w:t>G.</w:t>
      </w:r>
      <w:r w:rsidRPr="004A711D">
        <w:tab/>
        <w:t>mając na uwadze, że spełniono wymogi przepisów unijnych i krajowych dotyczących zwolnień grupowych;</w:t>
      </w:r>
    </w:p>
    <w:p w:rsidR="002D4D49" w:rsidRPr="004A711D" w:rsidP="002D4D49" w14:paraId="2405E026" w14:textId="77777777">
      <w:pPr>
        <w:pStyle w:val="NormalHanging12a"/>
      </w:pPr>
      <w:r w:rsidRPr="004A711D">
        <w:t>H.</w:t>
      </w:r>
      <w:r w:rsidRPr="004A711D">
        <w:tab/>
        <w:t>mając na uwadze, że wkłady finansowe z EFG powinny być ukierunkowane przede wszystkim na środki aktywnej polityki rynku pracy i zindywidualizowane usługi, które mają na celu szybką reintegrację beneficjentów na rynku pracy, takie jak szkolenia rozwijające umiejętności, które ułatwią beneficjentom wejście na rynek pracy,</w:t>
      </w:r>
    </w:p>
    <w:p w:rsidR="002D4D49" w:rsidRPr="004A711D" w:rsidP="002D4D49" w14:paraId="1074C86E" w14:textId="77777777">
      <w:pPr>
        <w:pStyle w:val="NormalHanging12a"/>
      </w:pPr>
      <w:r w:rsidRPr="004A711D">
        <w:t>I.</w:t>
      </w:r>
      <w:r w:rsidRPr="004A711D">
        <w:tab/>
        <w:t>mając na uwadze, że wkłady finansowe z EFG nie mogą przekroczyć maksymalnej rocznej kwoty 30 mln EUR (w cenach z 2018 r.)</w:t>
      </w:r>
      <w:r>
        <w:rPr>
          <w:rStyle w:val="FootnoteReference"/>
        </w:rPr>
        <w:footnoteReference w:id="7"/>
      </w:r>
      <w:r w:rsidRPr="004A711D">
        <w:t>;</w:t>
      </w:r>
    </w:p>
    <w:p w:rsidR="002D4D49" w:rsidRPr="004A711D" w:rsidP="002D4D49" w14:paraId="6B39E765" w14:textId="77777777">
      <w:pPr>
        <w:pStyle w:val="NormalHanging12a"/>
      </w:pPr>
      <w:r w:rsidRPr="004A711D">
        <w:t>1.</w:t>
      </w:r>
      <w:r w:rsidRPr="004A711D">
        <w:tab/>
        <w:t>zgadza się z Komisją, że spełniono warunki wymienione w rozporządzeniu w sprawie EFG, a w szczególności w jego art. 4 ust. 2 lit. a), i że Belgia ma prawo do wkładu finansowego w wysokości 2 033 869 EUR na mocy tego rozporządzenia, co stanowi 85 % łącznych kosztów wynoszących 2 392 788 EUR (wliczając wydatki na zindywidualizowane usługi w wysokości 2 358 922 EUR oraz wydatki na działania przygotowawcze, zarządzanie, informacje, reklamy, kontrolę i sprawozdawczość w wysokości 33 866 EUR);</w:t>
      </w:r>
    </w:p>
    <w:p w:rsidR="002D4D49" w:rsidRPr="004A711D" w:rsidP="002D4D49" w14:paraId="276EF9D1" w14:textId="77777777">
      <w:pPr>
        <w:pStyle w:val="NormalHanging12a"/>
      </w:pPr>
      <w:r w:rsidRPr="004A711D">
        <w:t>2.</w:t>
      </w:r>
      <w:r w:rsidRPr="004A711D">
        <w:tab/>
        <w:t xml:space="preserve">zauważa, że władze belgijskie złożyły wniosek 13 listopada 2025 r. oraz że po przekazaniu przez Belgię dodatkowych informacji Komisja zakończyła ocenę wniosku i przekazała ją Parlamentowi 2 marca 2026 r.; podkreśla potrzebę skrócenia czasu między złożeniem wniosku o wsparcie z EFG a podjęciem decyzji w sprawie finansowania, przy jednoczesnym zachowaniu uprawnień budżetowych Parlamentu; </w:t>
      </w:r>
    </w:p>
    <w:p w:rsidR="002D4D49" w:rsidRPr="004A711D" w:rsidP="002D4D49" w14:paraId="67727E98" w14:textId="77777777">
      <w:pPr>
        <w:pStyle w:val="NormalHanging12a"/>
      </w:pPr>
      <w:r w:rsidRPr="004A711D">
        <w:t>3.</w:t>
      </w:r>
      <w:r w:rsidRPr="004A711D">
        <w:tab/>
        <w:t>odnotowuje, że wniosek dotyczy 507 beneficjentów objętych pomocą, których zwolniono z przedsiębiorstwa Liberty;</w:t>
      </w:r>
    </w:p>
    <w:p w:rsidR="002D4D49" w:rsidRPr="004A711D" w:rsidP="002D4D49" w14:paraId="2E6F8BD9" w14:textId="77777777">
      <w:pPr>
        <w:pStyle w:val="NormalHanging12a"/>
      </w:pPr>
      <w:r w:rsidRPr="004A711D">
        <w:t>4.</w:t>
      </w:r>
      <w:r w:rsidRPr="004A711D">
        <w:tab/>
        <w:t>zauważa, że jeszcze przed ogłoszeniem upadłości przedsiębiorstwo Liberty borykało się przez lata z trudnościami finansowymi spowodowanymi niekorzystną sytuacją na rynku stali, zakłóceniami w łańcuchu dostaw związanymi z pandemią COVID-19 oraz wysokimi cenami energii w następstwie rosyjskiej wojny napastniczej przeciwko Ukrainie, w połączeniu z zależnością Unii od importowanych paliw kopalnych i z niewystarczającym wykorzystaniem tańszych źródeł energii; zwraca uwagę, że linie galwaniczne przedsiębiorstwa Liberty Steel Liège pozostają nieczynne od grudnia 2021 r., głównie z powodu braku surowców, co doprowadziło do restrukturyzacji, w wyniku której w 2023 r. nastąpiło prawne przeniesienie przedsiębiorstwa do Liberty Galaţi; ubolewa, że działalność produkcyjna nie została wznowiona pomimo przejęcia, co doprowadziło do upadłości;</w:t>
      </w:r>
    </w:p>
    <w:p w:rsidR="002D4D49" w:rsidRPr="004A711D" w:rsidP="002D4D49" w14:paraId="0854DCA0" w14:textId="77777777">
      <w:pPr>
        <w:pStyle w:val="NormalHanging12a"/>
        <w:rPr>
          <w:noProof/>
        </w:rPr>
      </w:pPr>
      <w:r w:rsidRPr="004A711D">
        <w:t>5.</w:t>
      </w:r>
      <w:r w:rsidRPr="004A711D">
        <w:tab/>
        <w:t>zauważa, że trudności, z jakimi boryka się przedsiębiorstwo Liberty Steel, są również związane z czynnikami specyficznymi dla tego przedsiębiorstwa w następstwie jego przejęcia od ArcelorMittal przez GFG Alliance; podkreśla poważne obawy dotyczące stabilności finansowej modelu biznesowego i niewypełnienia zobowiązań inwestycyjnych, co przyczyniło się do pogorszenia sytuacji ekonomicznej zakładu i wynikających z tego zwolnień;</w:t>
      </w:r>
    </w:p>
    <w:p w:rsidR="002D4D49" w:rsidRPr="004A711D" w:rsidP="002D4D49" w14:paraId="3AA0A2F8" w14:textId="77777777">
      <w:pPr>
        <w:pStyle w:val="NormalHanging12a"/>
        <w:rPr>
          <w:b/>
          <w:bCs/>
          <w:i/>
          <w:iCs/>
        </w:rPr>
      </w:pPr>
      <w:bookmarkStart w:id="7" w:name="_Hlk225497832"/>
      <w:r w:rsidRPr="004A711D">
        <w:t>6.</w:t>
      </w:r>
      <w:r w:rsidRPr="004A711D">
        <w:tab/>
        <w:t>zauważa, że region Walonii przeszedł proces dezindustrializacji i transformacji gospodarczej</w:t>
      </w:r>
      <w:r>
        <w:rPr>
          <w:rStyle w:val="FootnoteReference"/>
        </w:rPr>
        <w:footnoteReference w:id="8"/>
      </w:r>
      <w:r w:rsidRPr="004A711D">
        <w:t xml:space="preserve">; </w:t>
      </w:r>
      <w:bookmarkEnd w:id="7"/>
      <w:r w:rsidRPr="004A711D">
        <w:t xml:space="preserve">zwraca uwagę, że upadłość przedsiębiorstwa Liberty stanowi poważny wstrząs społeczny dla Walonii – regionu, którego rynek pracy został już osłabiony przez inne działania restrukturyzacyjne; podkreśla, że sektor stalowy pozostaje ważnym sektorem gospodarczym dla Belgii – wskaźnik miejsc pracy w sektorze stalowym na mieszkańca jest tu nadal wysoki; wzywa władze belgijskie do zapewnienia specjalnego wsparcia dostosowanego do takiego profilu pracowników, aby pomóc im dalej rozwijać niezbędne umiejętności pozwalające na znalezienie nowej pracy wysokiej jakości, a jednocześnie do podjęcia środków mających na celu zmniejszenie liczby przypadków </w:t>
      </w:r>
      <w:r w:rsidRPr="004A711D">
        <w:t>upadłości i rozwiązanie problemu dysproporcji społecznych prowadzących do wykluczenia siły roboczej; podkreśla, że Unia tworzy środowisko przyjazne dla biznesu, które stymuluje wzrost gospodarczy, promuje innowacje, wspiera rozwój technologiczny, wzmacnia konkurencyjność, zmniejsza niepotrzebne obciążenia regulacyjne i upraszcza procedury biurokratyczne, a także podkreśla potrzebę polityki wspierającej konkurencyjność przemysłu, spójność terytorialną, gospodarczą i społeczną oraz rozwój regionalny; podkreśla znaczenie konkurencyjnego i odpornego europejskiego sektora stalowego jako podstawy silnego przemysłu wysokiej jakości i głównego filaru strategicznej autonomii Unii;</w:t>
      </w:r>
    </w:p>
    <w:p w:rsidR="002D4D49" w:rsidRPr="004A711D" w:rsidP="002D4D49" w14:paraId="3F98CA74" w14:textId="77777777">
      <w:pPr>
        <w:pStyle w:val="NormalHanging12a"/>
      </w:pPr>
      <w:r w:rsidRPr="004A711D">
        <w:t>7.</w:t>
      </w:r>
      <w:r w:rsidRPr="004A711D">
        <w:tab/>
        <w:t>przypomina, że co czwarta zarejestrowana osoba poszukująca pracy w Walonii ma ponad 50 lat i napotyka większe przeszkody w powrocie na rynek pracy; zwraca uwagę, że pomimo wysokiego stopnia specjalizacji, zmiana pracy przez pracowników przedsiębiorstwa Liberty napotyka trudności ze względu na ich zaawansowany wiek (52% pracowników ma 55 lat lub więcej); zauważa, że 69 % zwolnionych pracowników ma niski poziom wykształcenia;</w:t>
      </w:r>
    </w:p>
    <w:p w:rsidR="002D4D49" w:rsidRPr="004A711D" w:rsidP="002D4D49" w14:paraId="639B8D1E" w14:textId="77777777">
      <w:pPr>
        <w:pStyle w:val="NormalHanging12a"/>
      </w:pPr>
      <w:bookmarkStart w:id="8" w:name="_Hlk226546977"/>
      <w:r w:rsidRPr="004A711D">
        <w:t>8.</w:t>
      </w:r>
      <w:r w:rsidRPr="004A711D">
        <w:tab/>
        <w:t>przypomina, że zgodnie z porozumieniem zawartym ze związkami zawodowymi i z władzami regionalnymi na rzecz pracowników mają być świadczone następujące spersonalizowane usługi: zwolnienia monitorowane i poradnictwo zawodowe; szkolenie, przekwalifikowanie i szkolenie zawodowe, w tym umiejętności informatyczne; wsparcie na założenie własnego przedsiębiorstwa; pomoc finansowa na założenie działalności gospodarczej; zachęty i inne dodatki; podkreśla znaczenie zwiększenia inwestycji w innowacje, umiejętności i modernizację przemysłu w celu wzmocnienia konkurencyjności przemysłu europejskiego i dopilnowania, by pracownicy byli przygotowani do zmieniających się potrzeb rynku pracy;</w:t>
      </w:r>
      <w:bookmarkEnd w:id="8"/>
    </w:p>
    <w:p w:rsidR="002D4D49" w:rsidRPr="004A711D" w:rsidP="002D4D49" w14:paraId="6181B4F4" w14:textId="77777777">
      <w:pPr>
        <w:pStyle w:val="NormalHanging12a"/>
      </w:pPr>
      <w:r w:rsidRPr="004A711D">
        <w:t>9.</w:t>
      </w:r>
      <w:r w:rsidRPr="004A711D">
        <w:tab/>
        <w:t>podkreśla, jak ważne jest wspieranie wysokiej jakości, zorientowanych na przyszłość miejsc pracy, które wzmacniają konkurencyjność, sprzyjają transformacji cyfrowej i zaspokajają potrzeby rynku pracy, w celu zapewnienia długoterminowej odporności gospodarczej i społecznej; uważa w związku z tym, że uruchomienie EFG musi być częścią szerszej reakcji politycznej na wszystkich szczeblach politycznych, aby zapewnić zwolnionym pracownikom odpowiednie możliwości zatrudnienia zgodne z ich kwalifikacjami i umiejętnościami; podkreśla, że EFG jest instrumentem solidarności i sprawiedliwej transformacji oraz że głównym zadaniem Unii musi być przede wszystkim zapobieganie takim zamknięciom;</w:t>
      </w:r>
    </w:p>
    <w:p w:rsidR="002D4D49" w:rsidRPr="004A711D" w:rsidP="002D4D49" w14:paraId="4807D48C" w14:textId="77777777">
      <w:pPr>
        <w:pStyle w:val="NormalHanging12a"/>
      </w:pPr>
      <w:r w:rsidRPr="004A711D">
        <w:t>10.</w:t>
      </w:r>
      <w:r w:rsidRPr="004A711D">
        <w:tab/>
        <w:t>podkreśla, jak ważne jest wzmocnienie konkurencyjności przemysłowej Unii i promowanie inwestycji w strategicznych sektorach przemysłu, aby zapobiec dalszej dezindustrializacji i zwolnieniom oraz wspierać tworzenie miejsc pracy; podkreśla potrzebę przejścia na energię ze źródeł odnawialnych, w połączeniu z innymi działaniami mającymi na celu zapewnienie przystępnych cen energii;</w:t>
      </w:r>
    </w:p>
    <w:p w:rsidR="002D4D49" w:rsidRPr="004A711D" w:rsidP="002D4D49" w14:paraId="6F71EBE1" w14:textId="77777777">
      <w:pPr>
        <w:pStyle w:val="NormalHanging12a"/>
        <w:rPr>
          <w:bCs/>
          <w:iCs/>
        </w:rPr>
      </w:pPr>
      <w:r w:rsidRPr="004A711D">
        <w:t>11.</w:t>
      </w:r>
      <w:r w:rsidRPr="004A711D">
        <w:tab/>
        <w:t>podkreśla, że władze belgijskie powinny zapewnić widoczność finansowania unijnego i zwracać uwagę na jego wartość dodaną za pomocą skutecznych i ukierunkowanych informacji dla beneficjentów, władz regionalnych i lokalnych, partnerów społecznych i ogółu społeczeństwa;</w:t>
      </w:r>
    </w:p>
    <w:p w:rsidR="002D4D49" w:rsidRPr="004A711D" w:rsidP="002D4D49" w14:paraId="0072FB99" w14:textId="77777777">
      <w:pPr>
        <w:pStyle w:val="NormalHanging12a"/>
      </w:pPr>
      <w:r w:rsidRPr="004A711D">
        <w:t>12.</w:t>
      </w:r>
      <w:r w:rsidRPr="004A711D">
        <w:tab/>
        <w:t xml:space="preserve">wzywa do przeprowadzenia, wraz z partnerami społecznymi, dokładnych ocen końcowych wdrożonych środków, obejmujących jasne i przejrzyste informacje na temat sposobu wykorzystania środków, reintegracji pracowników na rynku pracy oraz tego, </w:t>
      </w:r>
      <w:r w:rsidRPr="004A711D">
        <w:t>czy osiągnięto cele EFG; podkreśla w tym kontekście znaczenie regularnego monitorowania środków finansowanych z EFG w celu oceny ich skuteczności;</w:t>
      </w:r>
    </w:p>
    <w:p w:rsidR="002D4D49" w:rsidRPr="004A711D" w:rsidP="002D4D49" w14:paraId="562ABC93" w14:textId="77777777">
      <w:pPr>
        <w:pStyle w:val="NormalHanging12a"/>
      </w:pPr>
      <w:r w:rsidRPr="004A711D">
        <w:t>13.</w:t>
      </w:r>
      <w:r w:rsidRPr="004A711D">
        <w:tab/>
        <w:t>stwierdza, że 1 czerwca 2025 r. Belgia rozpoczęła świadczenie zindywidualizowanych usług na rzecz beneficjentów objętych pomocą, a okres kwalifikowalności do otrzymania wkładu finansowego z EFG będzie trwał od tego dnia do dnia przypadającego 24 miesiące od daty wejścia w życie decyzji w sprawie finansowania;</w:t>
      </w:r>
    </w:p>
    <w:p w:rsidR="002D4D49" w:rsidRPr="004A711D" w:rsidP="002D4D49" w14:paraId="409142BF" w14:textId="77777777">
      <w:pPr>
        <w:pStyle w:val="NormalHanging12a"/>
        <w:rPr>
          <w:sz w:val="23"/>
          <w:szCs w:val="23"/>
        </w:rPr>
      </w:pPr>
      <w:r w:rsidRPr="004A711D">
        <w:t>14.</w:t>
      </w:r>
      <w:r w:rsidRPr="004A711D">
        <w:tab/>
        <w:t>stwierdza, że Belgia zaczęła ponosić wydatki administracyjne związane z wdrażaniem EFG 22 kwietnia 2025 r. i że takie wydatki kwalifikują się do wkładu finansowego z EFG od tego dnia do dnia przypadającego 31 miesięcy od daty wejścia w życie decyzji w sprawie finansowania;</w:t>
      </w:r>
    </w:p>
    <w:p w:rsidR="002D4D49" w:rsidRPr="004A711D" w:rsidP="002D4D49" w14:paraId="1FBA7B8C" w14:textId="77777777">
      <w:pPr>
        <w:pStyle w:val="NormalHanging12a"/>
      </w:pPr>
      <w:r w:rsidRPr="004A711D">
        <w:t>15.</w:t>
      </w:r>
      <w:r w:rsidRPr="004A711D">
        <w:tab/>
        <w:t>zauważa, że władze belgijskie potwierdziły, iż przy dostępie do proponowanych działań i ich wdrażaniu przestrzegane będą zasady równego traktowania i niedyskryminacji oraz że będzie się zapobiegać ewentualnym przypadkom podwójnego finansowania;</w:t>
      </w:r>
    </w:p>
    <w:p w:rsidR="002D4D49" w:rsidRPr="004A711D" w:rsidP="002D4D49" w14:paraId="50225B63" w14:textId="77777777">
      <w:pPr>
        <w:pStyle w:val="NormalHanging12a"/>
      </w:pPr>
      <w:r w:rsidRPr="004A711D">
        <w:t>16.</w:t>
      </w:r>
      <w:r w:rsidRPr="004A711D">
        <w:tab/>
        <w:t>przypomina, że pomoc z EFG nie może zastępować działań, za które na mocy prawa krajowego lub układów zbiorowych odpowiedzialne są władze publiczne lub przedsiębiorstwa; przypomina, że EFG jest mechanizmem ograniczonym, ukierunkowanym i uzupełniającym i że nie może zastępować strukturalnej polityki gospodarczej, która wchodzi przede wszystkim w zakres kompetencji państw członkowskich;</w:t>
      </w:r>
    </w:p>
    <w:p w:rsidR="002D4D49" w:rsidRPr="004A711D" w:rsidP="002D4D49" w14:paraId="5118C147" w14:textId="77777777">
      <w:pPr>
        <w:pStyle w:val="NormalHanging12a"/>
      </w:pPr>
      <w:r w:rsidRPr="004A711D">
        <w:t>17.</w:t>
      </w:r>
      <w:r w:rsidRPr="004A711D">
        <w:tab/>
        <w:t>zatwierdza decyzję załączoną do niniejszej rezolucji;</w:t>
      </w:r>
    </w:p>
    <w:p w:rsidR="002D4D49" w:rsidRPr="004A711D" w:rsidP="002D4D49" w14:paraId="3DBB923E" w14:textId="77777777">
      <w:pPr>
        <w:pStyle w:val="NormalHanging12a"/>
      </w:pPr>
      <w:r w:rsidRPr="004A711D">
        <w:t>18.</w:t>
      </w:r>
      <w:r w:rsidRPr="004A711D">
        <w:tab/>
        <w:t xml:space="preserve">zobowiązuje swoją przewodniczącą do podpisania wraz z przewodniczącym Rady niniejszej decyzji i zapewnienia jej publikacji w </w:t>
      </w:r>
      <w:r w:rsidRPr="004A711D">
        <w:rPr>
          <w:i/>
        </w:rPr>
        <w:t>Dzienniku Urzędowym Unii Europejskiej</w:t>
      </w:r>
      <w:r w:rsidRPr="004A711D">
        <w:t>;</w:t>
      </w:r>
    </w:p>
    <w:p w:rsidR="002D4D49" w:rsidRPr="004A711D" w:rsidP="002D4D49" w14:paraId="5FE61902" w14:textId="77777777">
      <w:pPr>
        <w:pStyle w:val="NormalHanging12a"/>
      </w:pPr>
      <w:r w:rsidRPr="004A711D">
        <w:t>19.</w:t>
      </w:r>
      <w:r w:rsidRPr="004A711D">
        <w:tab/>
        <w:t>zobowiązuje swoją przewodniczącą do przekazania niniejszej rezolucji wraz z załącznikiem Radzie i Komisji.</w:t>
      </w:r>
    </w:p>
    <w:p w:rsidR="002D4D49" w:rsidRPr="004A711D" w:rsidP="002D4D49" w14:paraId="195A3C51" w14:textId="77777777">
      <w:pPr>
        <w:rPr>
          <w:noProof/>
        </w:rPr>
      </w:pPr>
    </w:p>
    <w:p w:rsidR="002D4D49" w:rsidRPr="004A711D" w:rsidP="002D4D49" w14:paraId="35C8BA0E" w14:textId="77777777">
      <w:pPr>
        <w:pStyle w:val="PageHeading"/>
        <w:rPr>
          <w:noProof/>
        </w:rPr>
        <w:sectPr w:rsidSect="004A711D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2D4D49" w:rsidRPr="004A711D" w:rsidP="002D4D49" w14:paraId="709681A0" w14:textId="77777777">
      <w:pPr>
        <w:pStyle w:val="PageHeading"/>
        <w:rPr>
          <w:noProof/>
        </w:rPr>
      </w:pPr>
      <w:bookmarkStart w:id="9" w:name="_Toc227915359"/>
      <w:r w:rsidRPr="004A711D">
        <w:t>ZAŁĄCZNIK: DECYZJA PARLAMENTU EUROPEJSKIEGO I RADY</w:t>
      </w:r>
      <w:bookmarkEnd w:id="9"/>
    </w:p>
    <w:p w:rsidR="002D4D49" w:rsidRPr="004A711D" w:rsidP="0083799F" w14:paraId="58F7CF75" w14:textId="77777777">
      <w:pPr>
        <w:pStyle w:val="NormalHanging12a"/>
        <w:jc w:val="center"/>
        <w:rPr>
          <w:b/>
          <w:bCs/>
        </w:rPr>
      </w:pPr>
      <w:r w:rsidRPr="004A711D">
        <w:rPr>
          <w:b/>
        </w:rPr>
        <w:t>w sprawie uruchomienia Europejskiego Funduszu Dostosowania do Globalizacji dla Zwalnianych Pracowników w następstwie wniosku złożonego przez Belgię – EGF/2025/008 BE/Liberty</w:t>
      </w:r>
    </w:p>
    <w:p w:rsidR="0083799F" w:rsidRPr="009B0F34" w:rsidP="0083799F" w14:paraId="0BA7336B" w14:textId="03906E8D">
      <w:pPr>
        <w:rPr>
          <w:i/>
        </w:rPr>
      </w:pPr>
      <w:r w:rsidRPr="009B0F34">
        <w:rPr>
          <w:i/>
        </w:rPr>
        <w:t>(Tekst tego załącznika nie został powtórzony w tym miejscu, ponieważ odpowiada on końcowej wersji decyzji (UE) 20</w:t>
      </w:r>
      <w:r w:rsidR="00165180">
        <w:rPr>
          <w:i/>
        </w:rPr>
        <w:t>2</w:t>
      </w:r>
      <w:r>
        <w:rPr>
          <w:i/>
        </w:rPr>
        <w:t>6</w:t>
      </w:r>
      <w:r w:rsidRPr="009B0F34">
        <w:rPr>
          <w:i/>
        </w:rPr>
        <w:t>/</w:t>
      </w:r>
      <w:r>
        <w:rPr>
          <w:i/>
        </w:rPr>
        <w:t>1134</w:t>
      </w:r>
      <w:r w:rsidRPr="009B0F34">
        <w:rPr>
          <w:i/>
        </w:rPr>
        <w:t>.)</w:t>
      </w:r>
    </w:p>
    <w:p w:rsidR="002D4D49" w:rsidRPr="004A711D" w:rsidP="0083799F" w14:paraId="69CA48DA" w14:textId="00A3169D">
      <w:pPr>
        <w:pStyle w:val="Institutionquiagit"/>
        <w:rPr>
          <w:noProof/>
        </w:rPr>
      </w:pPr>
    </w:p>
    <w:sectPr w:rsidSect="004A711D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D4D49" w:rsidRPr="004A711D" w:rsidP="00E14319" w14:paraId="36095B71" w14:textId="77777777">
    <w:pPr>
      <w:pStyle w:val="EPFooter"/>
    </w:pPr>
    <w:r w:rsidRPr="004A711D">
      <w:t>PE</w:t>
    </w:r>
    <w:r w:rsidRPr="004A711D">
      <w:rPr>
        <w:rStyle w:val="HideTWBExt"/>
      </w:rPr>
      <w:t>&lt;NoPE&gt;</w:t>
    </w:r>
    <w:r w:rsidRPr="004A711D">
      <w:t>785.333</w:t>
    </w:r>
    <w:r w:rsidRPr="004A711D">
      <w:rPr>
        <w:rStyle w:val="HideTWBExt"/>
      </w:rPr>
      <w:t>&lt;/NoPE&gt;&lt;Version&gt;</w:t>
    </w:r>
    <w:r w:rsidRPr="004A711D">
      <w:t>v03-00</w:t>
    </w:r>
    <w:r w:rsidRPr="004A711D">
      <w:rPr>
        <w:rStyle w:val="HideTWBExt"/>
      </w:rPr>
      <w:t>&lt;/Version&gt;</w:t>
    </w:r>
    <w:r w:rsidRPr="004A711D">
      <w:tab/>
    </w:r>
    <w:r w:rsidRPr="004A711D">
      <w:fldChar w:fldCharType="begin"/>
    </w:r>
    <w:r w:rsidRPr="004A711D">
      <w:instrText xml:space="preserve"> PAGE  \* MERGEFORMAT </w:instrText>
    </w:r>
    <w:r w:rsidRPr="004A711D">
      <w:fldChar w:fldCharType="separate"/>
    </w:r>
    <w:r w:rsidRPr="004A711D">
      <w:rPr>
        <w:noProof/>
      </w:rPr>
      <w:t>2</w:t>
    </w:r>
    <w:r w:rsidRPr="004A711D">
      <w:fldChar w:fldCharType="end"/>
    </w:r>
    <w:r w:rsidRPr="004A711D">
      <w:t>/</w:t>
    </w:r>
    <w:r>
      <w:fldChar w:fldCharType="begin"/>
    </w:r>
    <w:r>
      <w:instrText xml:space="preserve"> NUMPAGES  \* MERGEFORMAT </w:instrText>
    </w:r>
    <w:r>
      <w:fldChar w:fldCharType="separate"/>
    </w:r>
    <w:r w:rsidRPr="004A711D">
      <w:rPr>
        <w:noProof/>
      </w:rPr>
      <w:t>20</w:t>
    </w:r>
    <w:r w:rsidRPr="004A711D">
      <w:rPr>
        <w:noProof/>
      </w:rPr>
      <w:fldChar w:fldCharType="end"/>
    </w:r>
    <w:r w:rsidRPr="004A711D">
      <w:tab/>
    </w:r>
    <w:r w:rsidRPr="004A711D">
      <w:rPr>
        <w:rStyle w:val="HideTWBExt"/>
      </w:rPr>
      <w:t>&lt;PathFdR&gt;</w:t>
    </w:r>
    <w:r w:rsidRPr="004A711D">
      <w:t>RR\1341391PL.docx</w:t>
    </w:r>
    <w:r w:rsidRPr="004A711D">
      <w:rPr>
        <w:rStyle w:val="HideTWBExt"/>
      </w:rPr>
      <w:t>&lt;/PathFdR&gt;</w:t>
    </w:r>
  </w:p>
  <w:p w:rsidR="002D4D49" w:rsidRPr="004A711D" w:rsidP="00E14319" w14:paraId="2005DBDD" w14:textId="77777777">
    <w:pPr>
      <w:pStyle w:val="EPFooter2"/>
    </w:pPr>
    <w:r w:rsidRPr="004A711D">
      <w:t>PL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D4D49" w:rsidRPr="004A711D" w:rsidP="00E14319" w14:paraId="56AD2DCC" w14:textId="46F60C5A">
    <w:pPr>
      <w:pStyle w:val="EPFooter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D4D49" w:rsidRPr="004A711D" w:rsidP="00E14319" w14:paraId="48490C2F" w14:textId="77777777">
    <w:pPr>
      <w:pStyle w:val="EPFooter"/>
    </w:pPr>
    <w:r w:rsidRPr="004A711D">
      <w:rPr>
        <w:rStyle w:val="HideTWBExt"/>
      </w:rPr>
      <w:t>&lt;PathFdR&gt;</w:t>
    </w:r>
    <w:r w:rsidRPr="004A711D">
      <w:t>RR\1341391PL.docx</w:t>
    </w:r>
    <w:r w:rsidRPr="004A711D">
      <w:rPr>
        <w:rStyle w:val="HideTWBExt"/>
      </w:rPr>
      <w:t>&lt;/PathFdR&gt;</w:t>
    </w:r>
    <w:r w:rsidRPr="004A711D">
      <w:tab/>
    </w:r>
    <w:r w:rsidRPr="004A711D">
      <w:tab/>
      <w:t>PE</w:t>
    </w:r>
    <w:r w:rsidRPr="004A711D">
      <w:rPr>
        <w:rStyle w:val="HideTWBExt"/>
      </w:rPr>
      <w:t>&lt;NoPE&gt;</w:t>
    </w:r>
    <w:r w:rsidRPr="004A711D">
      <w:t>785.333</w:t>
    </w:r>
    <w:r w:rsidRPr="004A711D">
      <w:rPr>
        <w:rStyle w:val="HideTWBExt"/>
      </w:rPr>
      <w:t>&lt;/NoPE&gt;&lt;Version&gt;</w:t>
    </w:r>
    <w:r w:rsidRPr="004A711D">
      <w:t>v03-00</w:t>
    </w:r>
    <w:r w:rsidRPr="004A711D">
      <w:rPr>
        <w:rStyle w:val="HideTWBExt"/>
      </w:rPr>
      <w:t>&lt;/Version&gt;</w:t>
    </w:r>
  </w:p>
  <w:p w:rsidR="002D4D49" w:rsidRPr="004A711D" w:rsidP="00E14319" w14:paraId="35653DD8" w14:textId="77777777">
    <w:pPr>
      <w:pStyle w:val="EPFooter2"/>
    </w:pPr>
    <w:r w:rsidRPr="004A711D">
      <w:t>PL</w:t>
    </w:r>
    <w:r w:rsidRPr="004A711D">
      <w:tab/>
    </w:r>
    <w:r w:rsidRPr="004A711D">
      <w:rPr>
        <w:b w:val="0"/>
        <w:i/>
        <w:color w:val="C0C0C0"/>
        <w:sz w:val="22"/>
      </w:rPr>
      <w:t>Zjednoczona w różnorodności</w:t>
    </w:r>
    <w:r w:rsidRPr="004A711D">
      <w:tab/>
      <w:t>PL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4A711D" w14:paraId="7CA6193B" w14:textId="77777777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4A711D" w14:paraId="5378B695" w14:textId="77777777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4A711D" w14:paraId="5C6EBF92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D85F90" w:rsidRPr="004A711D" w14:paraId="1BA0C2C3" w14:textId="77777777">
      <w:r w:rsidRPr="004A711D">
        <w:separator/>
      </w:r>
    </w:p>
  </w:footnote>
  <w:footnote w:type="continuationSeparator" w:id="1">
    <w:p w:rsidR="00D85F90" w:rsidRPr="004A711D" w14:paraId="54EFD381" w14:textId="77777777">
      <w:r w:rsidRPr="004A711D">
        <w:continuationSeparator/>
      </w:r>
    </w:p>
  </w:footnote>
  <w:footnote w:id="2">
    <w:p w:rsidR="002D4D49" w:rsidRPr="004A711D" w:rsidP="004A711D" w14:paraId="3FC58AF8" w14:textId="30762CF1">
      <w:pPr>
        <w:pStyle w:val="FootnoteText"/>
        <w:ind w:left="567" w:hanging="567"/>
        <w:rPr>
          <w:sz w:val="24"/>
          <w:lang w:val="pl-PL"/>
        </w:rPr>
      </w:pPr>
      <w:r w:rsidRPr="004A711D">
        <w:rPr>
          <w:rStyle w:val="FootnoteReference"/>
          <w:sz w:val="24"/>
          <w:lang w:val="pl-PL"/>
        </w:rPr>
        <w:footnoteRef/>
      </w:r>
      <w:r w:rsidRPr="004A711D" w:rsidR="004A711D">
        <w:rPr>
          <w:sz w:val="24"/>
          <w:lang w:val="pl-PL"/>
        </w:rPr>
        <w:t xml:space="preserve"> </w:t>
      </w:r>
      <w:r w:rsidRPr="004A711D" w:rsidR="004A711D">
        <w:rPr>
          <w:sz w:val="24"/>
          <w:lang w:val="pl-PL"/>
        </w:rPr>
        <w:tab/>
      </w:r>
      <w:r w:rsidRPr="004A711D">
        <w:rPr>
          <w:sz w:val="24"/>
          <w:lang w:val="pl-PL"/>
        </w:rPr>
        <w:t xml:space="preserve">Dz.U. L 153 z 3.5.2021, s. 48, ELI: </w:t>
      </w:r>
      <w:hyperlink r:id="rId1" w:history="1">
        <w:r w:rsidRPr="004A711D">
          <w:rPr>
            <w:rStyle w:val="Hyperlink"/>
            <w:sz w:val="24"/>
            <w:lang w:val="pl-PL"/>
          </w:rPr>
          <w:t>http://data.europa.eu/eli/reg/2021/691/oj</w:t>
        </w:r>
      </w:hyperlink>
      <w:r w:rsidRPr="004A711D">
        <w:rPr>
          <w:sz w:val="24"/>
          <w:lang w:val="pl-PL"/>
        </w:rPr>
        <w:t>.</w:t>
      </w:r>
    </w:p>
  </w:footnote>
  <w:footnote w:id="3">
    <w:p w:rsidR="002D4D49" w:rsidRPr="004A711D" w:rsidP="004A711D" w14:paraId="18713406" w14:textId="5BC9438E">
      <w:pPr>
        <w:pStyle w:val="FootnoteText"/>
        <w:ind w:left="567" w:hanging="567"/>
        <w:rPr>
          <w:sz w:val="24"/>
          <w:lang w:val="pl-PL"/>
        </w:rPr>
      </w:pPr>
      <w:r w:rsidRPr="004A711D">
        <w:rPr>
          <w:rStyle w:val="FootnoteReference"/>
          <w:sz w:val="24"/>
          <w:lang w:val="pl-PL"/>
        </w:rPr>
        <w:footnoteRef/>
      </w:r>
      <w:r w:rsidRPr="004A711D" w:rsidR="004A711D">
        <w:rPr>
          <w:sz w:val="24"/>
          <w:lang w:val="pl-PL"/>
        </w:rPr>
        <w:t xml:space="preserve"> </w:t>
      </w:r>
      <w:r w:rsidRPr="004A711D" w:rsidR="004A711D">
        <w:rPr>
          <w:sz w:val="24"/>
          <w:lang w:val="pl-PL"/>
        </w:rPr>
        <w:tab/>
      </w:r>
      <w:r w:rsidRPr="004A711D">
        <w:rPr>
          <w:sz w:val="24"/>
          <w:lang w:val="pl-PL"/>
        </w:rPr>
        <w:t xml:space="preserve">Dz.U. L 433 I z 22.12.2020, s. 11, ELI: </w:t>
      </w:r>
      <w:hyperlink r:id="rId2" w:history="1">
        <w:r w:rsidRPr="004A711D">
          <w:rPr>
            <w:rStyle w:val="Hyperlink"/>
            <w:sz w:val="24"/>
            <w:lang w:val="pl-PL"/>
          </w:rPr>
          <w:t>http://data.europa.eu/eli/reg/2020/2093/oj</w:t>
        </w:r>
      </w:hyperlink>
      <w:r w:rsidRPr="004A711D">
        <w:rPr>
          <w:sz w:val="24"/>
          <w:lang w:val="pl-PL"/>
        </w:rPr>
        <w:t>.</w:t>
      </w:r>
    </w:p>
  </w:footnote>
  <w:footnote w:id="4">
    <w:p w:rsidR="002D4D49" w:rsidRPr="004A711D" w:rsidP="004A711D" w14:paraId="49E57B2F" w14:textId="2FB1538F">
      <w:pPr>
        <w:pStyle w:val="FootnoteText"/>
        <w:ind w:left="567" w:hanging="567"/>
        <w:rPr>
          <w:sz w:val="24"/>
          <w:lang w:val="pl-PL"/>
        </w:rPr>
      </w:pPr>
      <w:r w:rsidRPr="004A711D">
        <w:rPr>
          <w:rStyle w:val="FootnoteReference"/>
          <w:sz w:val="24"/>
          <w:lang w:val="pl-PL"/>
        </w:rPr>
        <w:footnoteRef/>
      </w:r>
      <w:r w:rsidRPr="004A711D" w:rsidR="004A711D">
        <w:rPr>
          <w:sz w:val="24"/>
          <w:shd w:val="clear" w:color="auto" w:fill="FFFFFF"/>
          <w:lang w:val="pl-PL"/>
        </w:rPr>
        <w:t xml:space="preserve"> </w:t>
      </w:r>
      <w:r w:rsidRPr="004A711D" w:rsidR="004A711D">
        <w:rPr>
          <w:sz w:val="24"/>
          <w:shd w:val="clear" w:color="auto" w:fill="FFFFFF"/>
          <w:lang w:val="pl-PL"/>
        </w:rPr>
        <w:tab/>
      </w:r>
      <w:r w:rsidRPr="004A711D">
        <w:rPr>
          <w:sz w:val="24"/>
          <w:shd w:val="clear" w:color="auto" w:fill="FFFFFF"/>
          <w:lang w:val="pl-PL"/>
        </w:rPr>
        <w:t>Rozporządzenie Rady (UE, Euratom) 2024/765 z dnia 29 lutego 2024 r. w sprawie zmiany rozporządzenia (UE, Euratom) 2020/2093 określającego wieloletnie ramy finansowe na lata 2021–2027 (Dz.U. L, 2024/765, 29.2.2024, ELI:</w:t>
      </w:r>
      <w:r w:rsidRPr="004A711D">
        <w:rPr>
          <w:color w:val="333333"/>
          <w:sz w:val="24"/>
          <w:shd w:val="clear" w:color="auto" w:fill="FFFFFF"/>
          <w:lang w:val="pl-PL"/>
        </w:rPr>
        <w:t xml:space="preserve"> </w:t>
      </w:r>
      <w:r w:rsidRPr="004A711D">
        <w:rPr>
          <w:sz w:val="24"/>
          <w:lang w:val="pl-PL"/>
        </w:rPr>
        <w:t>http://eur-lex.europa.eu/legal-content/PL/TXT/HTML/?uri=OJ:L_202400765).</w:t>
      </w:r>
    </w:p>
  </w:footnote>
  <w:footnote w:id="5">
    <w:p w:rsidR="002D4D49" w:rsidRPr="004A711D" w:rsidP="004A711D" w14:paraId="03B38BFA" w14:textId="54D2A243">
      <w:pPr>
        <w:pStyle w:val="FootnoteText"/>
        <w:ind w:left="567" w:hanging="567"/>
        <w:rPr>
          <w:sz w:val="24"/>
          <w:lang w:val="pl-PL"/>
        </w:rPr>
      </w:pPr>
      <w:r w:rsidRPr="004A711D">
        <w:rPr>
          <w:rStyle w:val="FootnoteReference"/>
          <w:sz w:val="24"/>
          <w:lang w:val="pl-PL"/>
        </w:rPr>
        <w:footnoteRef/>
      </w:r>
      <w:r w:rsidRPr="004A711D" w:rsidR="004A711D">
        <w:rPr>
          <w:sz w:val="24"/>
          <w:lang w:val="pl-PL"/>
        </w:rPr>
        <w:t xml:space="preserve"> </w:t>
      </w:r>
      <w:r w:rsidRPr="004A711D" w:rsidR="004A711D">
        <w:rPr>
          <w:sz w:val="24"/>
          <w:lang w:val="pl-PL"/>
        </w:rPr>
        <w:tab/>
      </w:r>
      <w:r w:rsidRPr="004A711D">
        <w:rPr>
          <w:sz w:val="24"/>
          <w:lang w:val="pl-PL"/>
        </w:rPr>
        <w:t xml:space="preserve">Dz.U. L 433 I z 22.12.2020, s. 28, ELI: </w:t>
      </w:r>
      <w:hyperlink r:id="rId3" w:history="1">
        <w:r w:rsidRPr="004A711D">
          <w:rPr>
            <w:rStyle w:val="Hyperlink"/>
            <w:sz w:val="24"/>
            <w:lang w:val="pl-PL"/>
          </w:rPr>
          <w:t>http://data.europa.eu/eli/agree_interinstit/2020/1222/oj</w:t>
        </w:r>
      </w:hyperlink>
      <w:r w:rsidRPr="004A711D">
        <w:rPr>
          <w:sz w:val="24"/>
          <w:lang w:val="pl-PL"/>
        </w:rPr>
        <w:t>.</w:t>
      </w:r>
    </w:p>
  </w:footnote>
  <w:footnote w:id="6">
    <w:p w:rsidR="002D4D49" w:rsidRPr="004A711D" w:rsidP="004A711D" w14:paraId="1A0D9764" w14:textId="54B2D44A">
      <w:pPr>
        <w:pStyle w:val="FootnoteText"/>
        <w:ind w:left="567" w:hanging="567"/>
        <w:rPr>
          <w:sz w:val="24"/>
          <w:lang w:val="pl-PL"/>
        </w:rPr>
      </w:pPr>
      <w:r w:rsidRPr="004A711D">
        <w:rPr>
          <w:rStyle w:val="FootnoteReference"/>
          <w:sz w:val="24"/>
          <w:lang w:val="pl-PL"/>
        </w:rPr>
        <w:footnoteRef/>
      </w:r>
      <w:r w:rsidRPr="004A711D" w:rsidR="004A711D">
        <w:rPr>
          <w:sz w:val="24"/>
          <w:lang w:val="pl-PL"/>
        </w:rPr>
        <w:t xml:space="preserve"> </w:t>
      </w:r>
      <w:r w:rsidRPr="004A711D" w:rsidR="004A711D">
        <w:rPr>
          <w:sz w:val="24"/>
          <w:lang w:val="pl-PL"/>
        </w:rPr>
        <w:tab/>
      </w:r>
      <w:r w:rsidRPr="004A711D">
        <w:rPr>
          <w:sz w:val="24"/>
          <w:lang w:val="pl-PL"/>
        </w:rPr>
        <w:t>W rozumieniu art. 3 rozporządzenia w sprawie EFG.</w:t>
      </w:r>
    </w:p>
  </w:footnote>
  <w:footnote w:id="7">
    <w:p w:rsidR="002D4D49" w:rsidRPr="004A711D" w:rsidP="004A711D" w14:paraId="16759931" w14:textId="375B015B">
      <w:pPr>
        <w:pStyle w:val="FootnoteText"/>
        <w:ind w:left="567" w:hanging="567"/>
        <w:rPr>
          <w:sz w:val="24"/>
          <w:lang w:val="pl-PL"/>
        </w:rPr>
      </w:pPr>
      <w:r w:rsidRPr="004A711D">
        <w:rPr>
          <w:rStyle w:val="FootnoteReference"/>
          <w:sz w:val="24"/>
          <w:lang w:val="pl-PL"/>
        </w:rPr>
        <w:footnoteRef/>
      </w:r>
      <w:r w:rsidRPr="004A711D" w:rsidR="004A711D">
        <w:rPr>
          <w:sz w:val="24"/>
          <w:lang w:val="pl-PL"/>
        </w:rPr>
        <w:t xml:space="preserve"> </w:t>
      </w:r>
      <w:r w:rsidRPr="004A711D" w:rsidR="004A711D">
        <w:rPr>
          <w:sz w:val="24"/>
          <w:lang w:val="pl-PL"/>
        </w:rPr>
        <w:tab/>
      </w:r>
      <w:r w:rsidRPr="004A711D">
        <w:rPr>
          <w:sz w:val="24"/>
          <w:lang w:val="pl-PL"/>
        </w:rPr>
        <w:t>Artykuł 8 rozporządzenia w sprawie WRF.</w:t>
      </w:r>
    </w:p>
  </w:footnote>
  <w:footnote w:id="8">
    <w:p w:rsidR="002D4D49" w:rsidRPr="004A711D" w:rsidP="004A711D" w14:paraId="3882B9AE" w14:textId="7B4D7E66">
      <w:pPr>
        <w:pStyle w:val="FootnoteText"/>
        <w:ind w:left="567" w:hanging="567"/>
        <w:rPr>
          <w:sz w:val="24"/>
          <w:lang w:val="pl-PL"/>
        </w:rPr>
      </w:pPr>
      <w:r w:rsidRPr="004A711D">
        <w:rPr>
          <w:rStyle w:val="FootnoteReference"/>
          <w:sz w:val="24"/>
          <w:lang w:val="pl-PL"/>
        </w:rPr>
        <w:footnoteRef/>
      </w:r>
      <w:r w:rsidRPr="004A711D" w:rsidR="004A711D">
        <w:rPr>
          <w:sz w:val="24"/>
          <w:lang w:val="pl-PL"/>
        </w:rPr>
        <w:t xml:space="preserve"> </w:t>
      </w:r>
      <w:r w:rsidRPr="004A711D" w:rsidR="004A711D">
        <w:rPr>
          <w:sz w:val="24"/>
          <w:lang w:val="pl-PL"/>
        </w:rPr>
        <w:tab/>
      </w:r>
      <w:hyperlink r:id="rId4" w:history="1">
        <w:r w:rsidRPr="004A711D">
          <w:rPr>
            <w:rStyle w:val="Hyperlink"/>
            <w:sz w:val="24"/>
            <w:lang w:val="pl-PL"/>
          </w:rPr>
          <w:t>Narodowy Bank Belgii.</w:t>
        </w:r>
      </w:hyperlink>
      <w:hyperlink r:id="rId4" w:history="1">
        <w:r w:rsidRPr="004A711D">
          <w:rPr>
            <w:rStyle w:val="Hyperlink"/>
            <w:sz w:val="24"/>
            <w:lang w:val="pl-PL"/>
          </w:rPr>
          <w:t xml:space="preserve"> Przegląd gospodarczy 2024</w:t>
        </w:r>
      </w:hyperlink>
      <w:r w:rsidRPr="004A711D">
        <w:rPr>
          <w:sz w:val="24"/>
          <w:lang w:val="pl-PL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D4D49" w:rsidRPr="004A711D" w14:paraId="3462191C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D4D49" w:rsidRPr="004A711D" w14:paraId="2A003E9A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D4D49" w:rsidRPr="004A711D" w14:paraId="6B741D1F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4A711D" w14:paraId="7843BC14" w14:textId="77777777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4A711D" w14:paraId="7EE638D3" w14:textId="77777777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4A711D" w14:paraId="23224B61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322709664">
    <w:abstractNumId w:val="9"/>
  </w:num>
  <w:num w:numId="2" w16cid:durableId="1185484638">
    <w:abstractNumId w:val="9"/>
  </w:num>
  <w:num w:numId="3" w16cid:durableId="1584414828">
    <w:abstractNumId w:val="7"/>
  </w:num>
  <w:num w:numId="4" w16cid:durableId="2047873656">
    <w:abstractNumId w:val="7"/>
  </w:num>
  <w:num w:numId="5" w16cid:durableId="1207568273">
    <w:abstractNumId w:val="6"/>
  </w:num>
  <w:num w:numId="6" w16cid:durableId="875190874">
    <w:abstractNumId w:val="6"/>
  </w:num>
  <w:num w:numId="7" w16cid:durableId="534465099">
    <w:abstractNumId w:val="5"/>
  </w:num>
  <w:num w:numId="8" w16cid:durableId="668557593">
    <w:abstractNumId w:val="5"/>
  </w:num>
  <w:num w:numId="9" w16cid:durableId="966932345">
    <w:abstractNumId w:val="4"/>
  </w:num>
  <w:num w:numId="10" w16cid:durableId="1018506685">
    <w:abstractNumId w:val="4"/>
  </w:num>
  <w:num w:numId="11" w16cid:durableId="208346077">
    <w:abstractNumId w:val="8"/>
  </w:num>
  <w:num w:numId="12" w16cid:durableId="1293251756">
    <w:abstractNumId w:val="8"/>
  </w:num>
  <w:num w:numId="13" w16cid:durableId="1149009807">
    <w:abstractNumId w:val="3"/>
  </w:num>
  <w:num w:numId="14" w16cid:durableId="1102533020">
    <w:abstractNumId w:val="3"/>
  </w:num>
  <w:num w:numId="15" w16cid:durableId="213202023">
    <w:abstractNumId w:val="2"/>
  </w:num>
  <w:num w:numId="16" w16cid:durableId="1798378570">
    <w:abstractNumId w:val="2"/>
  </w:num>
  <w:num w:numId="17" w16cid:durableId="309334201">
    <w:abstractNumId w:val="1"/>
  </w:num>
  <w:num w:numId="18" w16cid:durableId="1125151073">
    <w:abstractNumId w:val="1"/>
  </w:num>
  <w:num w:numId="19" w16cid:durableId="1930041593">
    <w:abstractNumId w:val="0"/>
  </w:num>
  <w:num w:numId="20" w16cid:durableId="1114977915">
    <w:abstractNumId w:val="0"/>
  </w:num>
  <w:num w:numId="21" w16cid:durableId="375395187">
    <w:abstractNumId w:val="9"/>
  </w:num>
  <w:num w:numId="22" w16cid:durableId="626590633">
    <w:abstractNumId w:val="7"/>
  </w:num>
  <w:num w:numId="23" w16cid:durableId="1280533297">
    <w:abstractNumId w:val="6"/>
  </w:num>
  <w:num w:numId="24" w16cid:durableId="440106088">
    <w:abstractNumId w:val="5"/>
  </w:num>
  <w:num w:numId="25" w16cid:durableId="300960950">
    <w:abstractNumId w:val="4"/>
  </w:num>
  <w:num w:numId="26" w16cid:durableId="284771710">
    <w:abstractNumId w:val="8"/>
  </w:num>
  <w:num w:numId="27" w16cid:durableId="1917856056">
    <w:abstractNumId w:val="3"/>
  </w:num>
  <w:num w:numId="28" w16cid:durableId="1794981384">
    <w:abstractNumId w:val="2"/>
  </w:num>
  <w:num w:numId="29" w16cid:durableId="1554731952">
    <w:abstractNumId w:val="1"/>
  </w:num>
  <w:num w:numId="30" w16cid:durableId="257712751">
    <w:abstractNumId w:val="0"/>
  </w:num>
  <w:num w:numId="31" w16cid:durableId="1444378311">
    <w:abstractNumId w:val="9"/>
  </w:num>
  <w:num w:numId="32" w16cid:durableId="167209642">
    <w:abstractNumId w:val="7"/>
  </w:num>
  <w:num w:numId="33" w16cid:durableId="37705639">
    <w:abstractNumId w:val="6"/>
  </w:num>
  <w:num w:numId="34" w16cid:durableId="1466460177">
    <w:abstractNumId w:val="5"/>
  </w:num>
  <w:num w:numId="35" w16cid:durableId="130905144">
    <w:abstractNumId w:val="4"/>
  </w:num>
  <w:num w:numId="36" w16cid:durableId="1704285304">
    <w:abstractNumId w:val="8"/>
  </w:num>
  <w:num w:numId="37" w16cid:durableId="1764379435">
    <w:abstractNumId w:val="3"/>
  </w:num>
  <w:num w:numId="38" w16cid:durableId="529492733">
    <w:abstractNumId w:val="2"/>
  </w:num>
  <w:num w:numId="39" w16cid:durableId="1666860591">
    <w:abstractNumId w:val="1"/>
  </w:num>
  <w:num w:numId="40" w16cid:durableId="1246187841">
    <w:abstractNumId w:val="0"/>
  </w:num>
  <w:num w:numId="41" w16cid:durableId="890263531">
    <w:abstractNumId w:val="10"/>
  </w:num>
  <w:num w:numId="42" w16cid:durableId="692733748">
    <w:abstractNumId w:val="10"/>
  </w:num>
  <w:num w:numId="43" w16cid:durableId="1953198070">
    <w:abstractNumId w:val="10"/>
  </w:num>
  <w:num w:numId="44" w16cid:durableId="50097053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5"/>
  <w:mirrorMargins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5F90"/>
    <w:rsid w:val="00002272"/>
    <w:rsid w:val="00064002"/>
    <w:rsid w:val="000677B9"/>
    <w:rsid w:val="000831BA"/>
    <w:rsid w:val="000A42CC"/>
    <w:rsid w:val="000E7DD9"/>
    <w:rsid w:val="0010095E"/>
    <w:rsid w:val="00125B37"/>
    <w:rsid w:val="00165180"/>
    <w:rsid w:val="00187494"/>
    <w:rsid w:val="001F32AE"/>
    <w:rsid w:val="002767FF"/>
    <w:rsid w:val="002B18FE"/>
    <w:rsid w:val="002B5493"/>
    <w:rsid w:val="002D4D49"/>
    <w:rsid w:val="00343214"/>
    <w:rsid w:val="00361C00"/>
    <w:rsid w:val="00395FA1"/>
    <w:rsid w:val="003E15D4"/>
    <w:rsid w:val="00411CCE"/>
    <w:rsid w:val="0041666E"/>
    <w:rsid w:val="00416D5B"/>
    <w:rsid w:val="00421060"/>
    <w:rsid w:val="00471C19"/>
    <w:rsid w:val="004867E3"/>
    <w:rsid w:val="00494A28"/>
    <w:rsid w:val="004A711D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D7006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3799F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B0F34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23CF4"/>
    <w:rsid w:val="00B558F0"/>
    <w:rsid w:val="00BA5D4D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5F90"/>
    <w:rsid w:val="00D872DF"/>
    <w:rsid w:val="00D91E21"/>
    <w:rsid w:val="00DA7FCD"/>
    <w:rsid w:val="00E14319"/>
    <w:rsid w:val="00E24190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4282D"/>
    <w:rsid w:val="00F5134D"/>
    <w:rsid w:val="00F74202"/>
    <w:rsid w:val="00F87713"/>
    <w:rsid w:val="00FB4360"/>
    <w:rsid w:val="00FD0C70"/>
  </w:rsids>
  <w:docVars>
    <w:docVar w:name="dvdocse" w:val="A10-0084/2026"/>
    <w:docVar w:name="dvlangue" w:val="PL"/>
    <w:docVar w:name="dvnumam" w:val="0"/>
    <w:docVar w:name="dvpe" w:val="785.333"/>
    <w:docVar w:name="dvrapporteur" w:val="Sprawozdawca: "/>
    <w:docVar w:name="dvtitre" w:val="Rezolucja Parlamentu Europejskiego z dnia  2026 r. w sprawie wniosku dotyczącego decyzji Parlamentu Europejskiego i Rady w sprawie uruchomienia Europejskiego Funduszu Dostosowania do Globalizacji dla Zwalnianych Pracowników w następstwie wniosku złożonego przez Belgię – EGF/2025/008/BE/Liberty(COM(2026)0004 – C10-0062/2026 – 2026/0066(BUD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4AFF5493"/>
  <w15:chartTrackingRefBased/>
  <w15:docId w15:val="{5E253C7D-F6D1-4F38-B750-46D3E847D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Reference Superscript,Footnote symbol,Footnote,16 Point,Superscript 6 Point,Footnote Reference Number,Footnote Reference_LVL6,Footnote Reference_LVL61,Footnote Reference_LVL62,Footnote Reference_LVL63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2D4D49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PageHeading">
    <w:name w:val="PageHeading"/>
    <w:basedOn w:val="Normal"/>
    <w:link w:val="PageHeadingChar"/>
    <w:rsid w:val="002D4D49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Hanging12a">
    <w:name w:val="NormalHanging12a"/>
    <w:basedOn w:val="Normal"/>
    <w:link w:val="NormalHanging12aChar"/>
    <w:rsid w:val="002D4D49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2D4D4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2D4D49"/>
    <w:rPr>
      <w:sz w:val="24"/>
      <w:lang w:val="pl-PL"/>
    </w:rPr>
  </w:style>
  <w:style w:type="paragraph" w:customStyle="1" w:styleId="EPFooter">
    <w:name w:val="EPFooter"/>
    <w:basedOn w:val="Normal"/>
    <w:rsid w:val="002D4D49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2D4D49"/>
    <w:pPr>
      <w:spacing w:before="480" w:after="240"/>
    </w:pPr>
  </w:style>
  <w:style w:type="character" w:styleId="Hyperlink">
    <w:name w:val="Hyperlink"/>
    <w:basedOn w:val="DefaultParagraphFont"/>
    <w:uiPriority w:val="99"/>
    <w:rsid w:val="002D4D49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locked/>
    <w:rsid w:val="002D4D49"/>
    <w:rPr>
      <w:sz w:val="24"/>
      <w:lang w:val="pl-PL"/>
    </w:rPr>
  </w:style>
  <w:style w:type="paragraph" w:customStyle="1" w:styleId="Institutionquisigne">
    <w:name w:val="Institution qui signe"/>
    <w:basedOn w:val="Normal"/>
    <w:next w:val="Personnequisigne"/>
    <w:rsid w:val="002D4D49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2D4D49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2D4D49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2D4D49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2D4D49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2D4D49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ManualConsidrant">
    <w:name w:val="Manual Considérant"/>
    <w:basedOn w:val="Normal"/>
    <w:rsid w:val="002D4D49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character" w:customStyle="1" w:styleId="PageHeadingChar">
    <w:name w:val="PageHeading Char"/>
    <w:basedOn w:val="DefaultParagraphFont"/>
    <w:link w:val="PageHeading"/>
    <w:locked/>
    <w:rsid w:val="002D4D49"/>
    <w:rPr>
      <w:rFonts w:ascii="Arial" w:hAnsi="Arial" w:cs="Arial"/>
      <w:b/>
      <w:sz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header" Target="header4.xml" /><Relationship Id="rId14" Type="http://schemas.openxmlformats.org/officeDocument/2006/relationships/header" Target="header5.xml" /><Relationship Id="rId15" Type="http://schemas.openxmlformats.org/officeDocument/2006/relationships/footer" Target="footer4.xml" /><Relationship Id="rId16" Type="http://schemas.openxmlformats.org/officeDocument/2006/relationships/footer" Target="footer5.xml" /><Relationship Id="rId17" Type="http://schemas.openxmlformats.org/officeDocument/2006/relationships/header" Target="header6.xml" /><Relationship Id="rId18" Type="http://schemas.openxmlformats.org/officeDocument/2006/relationships/footer" Target="footer6.xml" /><Relationship Id="rId19" Type="http://schemas.openxmlformats.org/officeDocument/2006/relationships/theme" Target="theme/theme1.xml" /><Relationship Id="rId2" Type="http://schemas.openxmlformats.org/officeDocument/2006/relationships/settings" Target="settings.xml" /><Relationship Id="rId20" Type="http://schemas.openxmlformats.org/officeDocument/2006/relationships/numbering" Target="numbering.xml" /><Relationship Id="rId21" Type="http://schemas.openxmlformats.org/officeDocument/2006/relationships/styles" Target="style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reg/2021/691/oj" TargetMode="External" /><Relationship Id="rId2" Type="http://schemas.openxmlformats.org/officeDocument/2006/relationships/hyperlink" Target="http://data.europa.eu/eli/reg/2020/2093/oj" TargetMode="External" /><Relationship Id="rId3" Type="http://schemas.openxmlformats.org/officeDocument/2006/relationships/hyperlink" Target="http://data.europa.eu/eli/agree_interinstit/2020/1222/oj" TargetMode="External" /><Relationship Id="rId4" Type="http://schemas.openxmlformats.org/officeDocument/2006/relationships/hyperlink" Target="https://www.nbb.be/doc/ts/publications/economicreview/2024/ecorevi2024_h02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1635</Words>
  <Characters>11130</Characters>
  <Application>Microsoft Office Word</Application>
  <DocSecurity>0</DocSecurity>
  <Lines>92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12740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3</cp:revision>
  <cp:lastPrinted>2004-11-19T15:42:00Z</cp:lastPrinted>
  <dcterms:created xsi:type="dcterms:W3CDTF">2026-07-17T12:21:00Z</dcterms:created>
  <dcterms:modified xsi:type="dcterms:W3CDTF">2026-09-21T09:59:00Z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P10_TA(2026)0145_</vt:lpwstr>
  </property>
  <property fmtid="{D5CDD505-2E9C-101B-9397-08002B2CF9AE}" pid="4" name="&lt;Type&gt;">
    <vt:lpwstr>RR</vt:lpwstr>
  </property>
</Properties>
</file>