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051" w14:paraId="19E43CF4" w14:textId="77777777" w:rsidTr="0010095E">
        <w:trPr>
          <w:trHeight w:hRule="exact" w:val="1418"/>
        </w:trPr>
        <w:tc>
          <w:tcPr>
            <w:tcW w:w="6804" w:type="dxa"/>
            <w:shd w:val="clear" w:color="auto" w:fill="auto"/>
            <w:vAlign w:val="center"/>
          </w:tcPr>
          <w:p w14:paraId="2E6A9E9B" w14:textId="77777777" w:rsidR="00751A4A" w:rsidRPr="00137051" w:rsidRDefault="00250EEA" w:rsidP="0010095E">
            <w:pPr>
              <w:pStyle w:val="EPName"/>
            </w:pPr>
            <w:r w:rsidRPr="00137051">
              <w:t>Parlamentul European</w:t>
            </w:r>
          </w:p>
          <w:p w14:paraId="4B53682A" w14:textId="77777777" w:rsidR="00751A4A" w:rsidRPr="00137051" w:rsidRDefault="005F1B17" w:rsidP="005F1B17">
            <w:pPr>
              <w:pStyle w:val="EPTerm"/>
              <w:rPr>
                <w:rStyle w:val="HideTWBExt"/>
                <w:noProof w:val="0"/>
                <w:vanish w:val="0"/>
                <w:color w:val="auto"/>
              </w:rPr>
            </w:pPr>
            <w:r w:rsidRPr="00137051">
              <w:t>2024</w:t>
            </w:r>
            <w:r w:rsidR="00817416" w:rsidRPr="00137051">
              <w:t>-202</w:t>
            </w:r>
            <w:r w:rsidRPr="00137051">
              <w:t>9</w:t>
            </w:r>
          </w:p>
        </w:tc>
        <w:tc>
          <w:tcPr>
            <w:tcW w:w="2268" w:type="dxa"/>
            <w:shd w:val="clear" w:color="auto" w:fill="auto"/>
          </w:tcPr>
          <w:p w14:paraId="59CFF483" w14:textId="77777777" w:rsidR="00751A4A" w:rsidRPr="00137051" w:rsidRDefault="00187494" w:rsidP="0010095E">
            <w:pPr>
              <w:pStyle w:val="EPLogo"/>
            </w:pPr>
            <w:r w:rsidRPr="00137051">
              <w:rPr>
                <w:noProof/>
                <w:lang w:eastAsia="ja-JP"/>
              </w:rPr>
              <w:drawing>
                <wp:inline distT="0" distB="0" distL="0" distR="0" wp14:anchorId="65C24621" wp14:editId="690941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031DAD" w14:textId="77777777" w:rsidR="00D058B8" w:rsidRPr="00137051" w:rsidRDefault="00D058B8" w:rsidP="004C5D52">
      <w:pPr>
        <w:pStyle w:val="LineTop"/>
      </w:pPr>
    </w:p>
    <w:p w14:paraId="66966929" w14:textId="77777777" w:rsidR="00680577" w:rsidRPr="00137051" w:rsidRDefault="00250EEA" w:rsidP="00680577">
      <w:pPr>
        <w:pStyle w:val="EPBodyTA1"/>
      </w:pPr>
      <w:r w:rsidRPr="00137051">
        <w:t>TEXTE ADOPTATE</w:t>
      </w:r>
    </w:p>
    <w:p w14:paraId="334D38A4" w14:textId="77777777" w:rsidR="00D058B8" w:rsidRPr="00137051" w:rsidRDefault="00D058B8" w:rsidP="00D058B8">
      <w:pPr>
        <w:pStyle w:val="LineBottom"/>
      </w:pPr>
    </w:p>
    <w:p w14:paraId="3482B0E3" w14:textId="3CC5AE57" w:rsidR="00250EEA" w:rsidRPr="00137051" w:rsidRDefault="00250EEA" w:rsidP="00137051">
      <w:pPr>
        <w:pStyle w:val="ATHeading1"/>
        <w:tabs>
          <w:tab w:val="left" w:pos="2771"/>
        </w:tabs>
      </w:pPr>
      <w:bookmarkStart w:id="0" w:name="TANumber"/>
      <w:r w:rsidRPr="00137051">
        <w:t>P10_TA(2026)0</w:t>
      </w:r>
      <w:r w:rsidR="00C52E66" w:rsidRPr="00137051">
        <w:t>145</w:t>
      </w:r>
      <w:bookmarkEnd w:id="0"/>
    </w:p>
    <w:p w14:paraId="14C8CEFB" w14:textId="77777777" w:rsidR="00250EEA" w:rsidRPr="00137051" w:rsidRDefault="00250EEA" w:rsidP="00250EEA">
      <w:pPr>
        <w:pStyle w:val="ATHeading2"/>
      </w:pPr>
      <w:bookmarkStart w:id="1" w:name="title"/>
      <w:r w:rsidRPr="00137051">
        <w:t>Mobilizarea Fondului european de ajustare la globalizare pentru lucrătorii disponibilizați: cererea EGF/2025/008 BE/Liberty - Belgia</w:t>
      </w:r>
      <w:bookmarkEnd w:id="1"/>
    </w:p>
    <w:p w14:paraId="76B936D7" w14:textId="77777777" w:rsidR="00250EEA" w:rsidRPr="00137051" w:rsidRDefault="00250EEA" w:rsidP="00250EEA">
      <w:pPr>
        <w:rPr>
          <w:i/>
          <w:vanish/>
        </w:rPr>
      </w:pPr>
      <w:r w:rsidRPr="00137051">
        <w:rPr>
          <w:i/>
        </w:rPr>
        <w:fldChar w:fldCharType="begin"/>
      </w:r>
      <w:r w:rsidRPr="00137051">
        <w:rPr>
          <w:i/>
        </w:rPr>
        <w:instrText xml:space="preserve"> TC"(</w:instrText>
      </w:r>
      <w:bookmarkStart w:id="2" w:name="DocNumber"/>
      <w:r w:rsidRPr="00137051">
        <w:rPr>
          <w:i/>
        </w:rPr>
        <w:instrText>A10-0084/2026</w:instrText>
      </w:r>
      <w:bookmarkEnd w:id="2"/>
      <w:r w:rsidRPr="00137051">
        <w:rPr>
          <w:i/>
        </w:rPr>
        <w:instrText xml:space="preserve"> - Raportor: Matthias </w:instrText>
      </w:r>
      <w:proofErr w:type="spellStart"/>
      <w:r w:rsidRPr="00137051">
        <w:rPr>
          <w:i/>
        </w:rPr>
        <w:instrText>Ecke</w:instrText>
      </w:r>
      <w:proofErr w:type="spellEnd"/>
      <w:r w:rsidRPr="00137051">
        <w:rPr>
          <w:i/>
        </w:rPr>
        <w:instrText xml:space="preserve">)"\l3 \n&gt; \* MERGEFORMAT </w:instrText>
      </w:r>
      <w:r w:rsidRPr="00137051">
        <w:rPr>
          <w:i/>
        </w:rPr>
        <w:fldChar w:fldCharType="end"/>
      </w:r>
    </w:p>
    <w:p w14:paraId="3A79D722" w14:textId="77777777" w:rsidR="00250EEA" w:rsidRPr="00137051" w:rsidRDefault="00250EEA" w:rsidP="00250EEA">
      <w:pPr>
        <w:rPr>
          <w:vanish/>
        </w:rPr>
      </w:pPr>
      <w:bookmarkStart w:id="3" w:name="Commission"/>
      <w:r w:rsidRPr="00137051">
        <w:rPr>
          <w:vanish/>
        </w:rPr>
        <w:t>Comisia pentru bugete</w:t>
      </w:r>
      <w:bookmarkEnd w:id="3"/>
    </w:p>
    <w:p w14:paraId="6F3F0519" w14:textId="77777777" w:rsidR="00250EEA" w:rsidRPr="00137051" w:rsidRDefault="00250EEA" w:rsidP="00250EEA">
      <w:pPr>
        <w:rPr>
          <w:vanish/>
        </w:rPr>
      </w:pPr>
      <w:bookmarkStart w:id="4" w:name="PE"/>
      <w:r w:rsidRPr="00137051">
        <w:rPr>
          <w:vanish/>
        </w:rPr>
        <w:t>PE785.333</w:t>
      </w:r>
      <w:bookmarkEnd w:id="4"/>
    </w:p>
    <w:p w14:paraId="5FB37070" w14:textId="77777777" w:rsidR="00250EEA" w:rsidRPr="00137051" w:rsidRDefault="00250EEA" w:rsidP="00250EEA">
      <w:pPr>
        <w:pStyle w:val="ATHeading3"/>
      </w:pPr>
      <w:bookmarkStart w:id="5" w:name="Sujet"/>
      <w:r w:rsidRPr="00137051">
        <w:t>Rezoluția Parlamentului European din 29 aprilie 2026 referitoare la propunerea de decizie a Parlamentului European și a Consiliului privind mobilizarea Fondului european de ajustare la globalizare pentru lucrătorii disponibilizați în urma unei cereri din partea Belgiei – EGF/2025/008/BE/Liberty</w:t>
      </w:r>
      <w:bookmarkEnd w:id="5"/>
      <w:r w:rsidRPr="00137051">
        <w:t xml:space="preserve"> </w:t>
      </w:r>
      <w:bookmarkStart w:id="6" w:name="References"/>
      <w:r w:rsidRPr="00137051">
        <w:t>(COM(2026)0004 – C10-0062/2026 – 2026/0066(BUD))</w:t>
      </w:r>
      <w:bookmarkEnd w:id="6"/>
    </w:p>
    <w:p w14:paraId="6E793CF4" w14:textId="77777777" w:rsidR="00DC0048" w:rsidRPr="00137051" w:rsidRDefault="00DC0048" w:rsidP="00DC0048">
      <w:pPr>
        <w:pStyle w:val="EPComma"/>
        <w:rPr>
          <w:noProof/>
        </w:rPr>
      </w:pPr>
      <w:r w:rsidRPr="00137051">
        <w:rPr>
          <w:i/>
          <w:iCs/>
        </w:rPr>
        <w:t>Parlamentul European</w:t>
      </w:r>
      <w:r w:rsidRPr="00137051">
        <w:t>,</w:t>
      </w:r>
    </w:p>
    <w:p w14:paraId="3C245C8B" w14:textId="77777777" w:rsidR="00DC0048" w:rsidRPr="00137051" w:rsidRDefault="00DC0048" w:rsidP="00DC0048">
      <w:pPr>
        <w:pStyle w:val="NormalHanging12a"/>
        <w:rPr>
          <w:noProof/>
        </w:rPr>
      </w:pPr>
      <w:r w:rsidRPr="00137051">
        <w:t>–</w:t>
      </w:r>
      <w:r w:rsidRPr="00137051">
        <w:tab/>
        <w:t>având în vedere propunerea Comisiei prezentată Parlamentului European și Consiliului (COM(2026)0004 – C10</w:t>
      </w:r>
      <w:r w:rsidRPr="00137051">
        <w:noBreakHyphen/>
        <w:t>0062/2026),</w:t>
      </w:r>
    </w:p>
    <w:p w14:paraId="59FF1CBB" w14:textId="77777777" w:rsidR="00DC0048" w:rsidRPr="00137051" w:rsidRDefault="00DC0048" w:rsidP="00DC0048">
      <w:pPr>
        <w:pStyle w:val="NormalHanging12a"/>
      </w:pPr>
      <w:r w:rsidRPr="00137051">
        <w:t>–</w:t>
      </w:r>
      <w:r w:rsidRPr="00137051">
        <w:tab/>
        <w:t>având în vedere Regulamentul (UE) 2021/691 al Parlamentului European și al Consiliului din 28 aprilie 2021 privind Fondul european de ajustare la globalizare pentru lucrătorii disponibilizați (FEG) și de abrogare a Regulamentului (UE) nr. 1309/2013</w:t>
      </w:r>
      <w:r w:rsidRPr="00137051">
        <w:rPr>
          <w:vertAlign w:val="superscript"/>
        </w:rPr>
        <w:footnoteReference w:id="1"/>
      </w:r>
      <w:r w:rsidRPr="00137051">
        <w:t xml:space="preserve"> (denumit în continuare „Regulamentul privind FEG”), </w:t>
      </w:r>
    </w:p>
    <w:p w14:paraId="2AFE22C7" w14:textId="77777777" w:rsidR="00DC0048" w:rsidRPr="00137051" w:rsidRDefault="00DC0048" w:rsidP="00DC0048">
      <w:pPr>
        <w:pStyle w:val="NormalHanging12a"/>
        <w:rPr>
          <w:noProof/>
        </w:rPr>
      </w:pPr>
      <w:r w:rsidRPr="00137051">
        <w:t>–</w:t>
      </w:r>
      <w:r w:rsidRPr="00137051">
        <w:tab/>
        <w:t>având în vedere Regulamentul (UE, Euratom) 2020/2093 al Consiliului din 17 decembrie 2020 de stabilire a cadrului financiar multianual pentru perioada 2021-2027 (denumit în continuare „Regulamentul privind CFM”)</w:t>
      </w:r>
      <w:r w:rsidRPr="00137051">
        <w:rPr>
          <w:noProof/>
          <w:vertAlign w:val="superscript"/>
        </w:rPr>
        <w:footnoteReference w:id="2"/>
      </w:r>
      <w:r w:rsidRPr="00137051">
        <w:t>, astfel cum a fost modificat prin Regulamentul (UE, Euratom) 2024/765</w:t>
      </w:r>
      <w:r w:rsidRPr="00137051">
        <w:rPr>
          <w:noProof/>
          <w:vertAlign w:val="superscript"/>
        </w:rPr>
        <w:footnoteReference w:id="3"/>
      </w:r>
      <w:r w:rsidRPr="00137051">
        <w:t xml:space="preserve">, în special articolul 8, </w:t>
      </w:r>
    </w:p>
    <w:p w14:paraId="7288F4E5" w14:textId="77777777" w:rsidR="00DC0048" w:rsidRPr="00137051" w:rsidRDefault="00DC0048" w:rsidP="00DC0048">
      <w:pPr>
        <w:pStyle w:val="NormalHanging12a"/>
        <w:rPr>
          <w:noProof/>
        </w:rPr>
      </w:pPr>
      <w:r w:rsidRPr="00137051">
        <w:t>–</w:t>
      </w:r>
      <w:r w:rsidRPr="00137051">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137051">
        <w:lastRenderedPageBreak/>
        <w:t>proprii</w:t>
      </w:r>
      <w:r w:rsidRPr="00137051">
        <w:rPr>
          <w:rStyle w:val="FootnoteReference"/>
          <w:noProof/>
        </w:rPr>
        <w:footnoteReference w:id="4"/>
      </w:r>
      <w:r w:rsidRPr="00137051">
        <w:t>, în special punctul 9,</w:t>
      </w:r>
    </w:p>
    <w:p w14:paraId="0B27F5C6" w14:textId="77777777" w:rsidR="00DC0048" w:rsidRPr="00137051" w:rsidRDefault="00DC0048" w:rsidP="00DC0048">
      <w:pPr>
        <w:pStyle w:val="NormalHanging12a"/>
      </w:pPr>
      <w:r w:rsidRPr="00137051">
        <w:t>–</w:t>
      </w:r>
      <w:r w:rsidRPr="00137051">
        <w:tab/>
        <w:t>având în vedere Pilonul european al drepturilor sociale,</w:t>
      </w:r>
    </w:p>
    <w:p w14:paraId="170C54B8" w14:textId="77777777" w:rsidR="00DC0048" w:rsidRPr="00137051" w:rsidRDefault="00DC0048" w:rsidP="00DC0048">
      <w:pPr>
        <w:pStyle w:val="NormalHanging12a"/>
      </w:pPr>
      <w:r w:rsidRPr="00137051">
        <w:t>–</w:t>
      </w:r>
      <w:r w:rsidRPr="00137051">
        <w:tab/>
        <w:t>având în vedere scrisoarea Comisiei pentru ocuparea forței de muncă și afaceri sociale,</w:t>
      </w:r>
    </w:p>
    <w:p w14:paraId="4F1ADBA1" w14:textId="77777777" w:rsidR="00DC0048" w:rsidRPr="00137051" w:rsidRDefault="00DC0048" w:rsidP="00DC0048">
      <w:pPr>
        <w:pStyle w:val="NormalHanging12a"/>
      </w:pPr>
      <w:r w:rsidRPr="00137051">
        <w:t>–</w:t>
      </w:r>
      <w:r w:rsidRPr="00137051">
        <w:tab/>
        <w:t>având în vedere raportul Comisiei pentru bugete (A10-0084/2026),</w:t>
      </w:r>
    </w:p>
    <w:p w14:paraId="54687F96" w14:textId="77777777" w:rsidR="00DC0048" w:rsidRPr="00137051" w:rsidRDefault="00DC0048" w:rsidP="00DC0048">
      <w:pPr>
        <w:pStyle w:val="NormalHanging12a"/>
        <w:rPr>
          <w:noProof/>
        </w:rPr>
      </w:pPr>
      <w:r w:rsidRPr="00137051">
        <w:t>A.</w:t>
      </w:r>
      <w:r w:rsidRPr="00137051">
        <w:tab/>
        <w:t>întrucât Uniunea a creat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acest ajutor se acordă sub forma unui sprijin financiar pentru lucrători;</w:t>
      </w:r>
    </w:p>
    <w:p w14:paraId="47F37E00" w14:textId="77777777" w:rsidR="00DC0048" w:rsidRPr="00137051" w:rsidRDefault="00DC0048" w:rsidP="00DC0048">
      <w:pPr>
        <w:pStyle w:val="NormalHanging12a"/>
        <w:rPr>
          <w:bCs/>
          <w:iCs/>
          <w:noProof/>
        </w:rPr>
      </w:pPr>
      <w:r w:rsidRPr="00137051">
        <w:t>B.</w:t>
      </w:r>
      <w:r w:rsidRPr="00137051">
        <w:tab/>
        <w:t>întrucât sprijinul ar trebui direcționat către reintegrarea rapidă a lucrătorilor și către asigurarea faptului că formarea, recalificarea și formarea profesională îi înzestrează pe aceștia cu mai multe competențe aliniate la nevoile pieței muncii;</w:t>
      </w:r>
    </w:p>
    <w:p w14:paraId="63359E0A" w14:textId="77777777" w:rsidR="00DC0048" w:rsidRPr="00137051" w:rsidRDefault="00DC0048" w:rsidP="00DC0048">
      <w:pPr>
        <w:pStyle w:val="NormalHanging12a"/>
      </w:pPr>
      <w:r w:rsidRPr="00137051">
        <w:t>C.</w:t>
      </w:r>
      <w:r w:rsidRPr="00137051">
        <w:tab/>
        <w:t>întrucât Belgia a depus cererea EGF/2025/008 BE/Liberty pentru a obține o contribuție financiară FEG ca urmare a disponibilizării a 507 lucrători</w:t>
      </w:r>
      <w:r w:rsidRPr="00137051">
        <w:rPr>
          <w:vertAlign w:val="superscript"/>
        </w:rPr>
        <w:footnoteReference w:id="5"/>
      </w:r>
      <w:r w:rsidRPr="00137051">
        <w:t xml:space="preserve"> la filiala belgiană a societății Liberty Galați (Liberty), în sectorul economic încadrat la diviziunea 24 (Industria metalurgică) a NACE Rev. 2, în provincia </w:t>
      </w:r>
      <w:proofErr w:type="spellStart"/>
      <w:r w:rsidRPr="00137051">
        <w:t>Liège</w:t>
      </w:r>
      <w:proofErr w:type="spellEnd"/>
      <w:r w:rsidRPr="00137051">
        <w:t xml:space="preserve"> (BE33), Regiunea Valonă, într-o perioadă de referință cuprinsă între 24 aprilie 2025 și 24 august 2025;</w:t>
      </w:r>
    </w:p>
    <w:p w14:paraId="1AFCCFE2" w14:textId="77777777" w:rsidR="00DC0048" w:rsidRPr="00137051" w:rsidRDefault="00DC0048" w:rsidP="00DC0048">
      <w:pPr>
        <w:pStyle w:val="NormalHanging12a"/>
      </w:pPr>
      <w:r w:rsidRPr="00137051">
        <w:t>D.</w:t>
      </w:r>
      <w:r w:rsidRPr="00137051">
        <w:tab/>
        <w:t>întrucât cererea se bazează pe criteriile de intervenție stabilite la articolul 4 alineatul (2) litera (a) din Regulamentul privind FEG, care prevăd drept condiție încetarea activității a cel puțin 200 de lucrători sau lucrători independenți disponibilizați într-o perioadă de referință de patru luni într-o întreprindere dintr-un stat membru;</w:t>
      </w:r>
    </w:p>
    <w:p w14:paraId="6FBFDA4E" w14:textId="77777777" w:rsidR="00DC0048" w:rsidRPr="00137051" w:rsidRDefault="00DC0048" w:rsidP="00DC0048">
      <w:pPr>
        <w:pStyle w:val="NormalHanging12a"/>
        <w:rPr>
          <w:noProof/>
        </w:rPr>
      </w:pPr>
      <w:r w:rsidRPr="00137051">
        <w:t>E.</w:t>
      </w:r>
      <w:r w:rsidRPr="00137051">
        <w:tab/>
        <w:t xml:space="preserve">întrucât Tribunalul Comercial din </w:t>
      </w:r>
      <w:proofErr w:type="spellStart"/>
      <w:r w:rsidRPr="00137051">
        <w:t>Liège</w:t>
      </w:r>
      <w:proofErr w:type="spellEnd"/>
      <w:r w:rsidRPr="00137051">
        <w:t xml:space="preserve"> a declarat falimentul Liberty la 22 aprilie 2025; întrucât în Belgia falimentele sunt în creștere din 2022;</w:t>
      </w:r>
    </w:p>
    <w:p w14:paraId="2E26CDEF" w14:textId="77777777" w:rsidR="00DC0048" w:rsidRPr="00137051" w:rsidRDefault="00DC0048" w:rsidP="00DC0048">
      <w:pPr>
        <w:pStyle w:val="NormalHanging12a"/>
      </w:pPr>
      <w:r w:rsidRPr="00137051">
        <w:t>F.</w:t>
      </w:r>
      <w:r w:rsidRPr="00137051">
        <w:tab/>
        <w:t xml:space="preserve">întrucât Regiunea Valonă și </w:t>
      </w:r>
      <w:proofErr w:type="spellStart"/>
      <w:r w:rsidRPr="00137051">
        <w:t>Forem</w:t>
      </w:r>
      <w:proofErr w:type="spellEnd"/>
      <w:r w:rsidRPr="00137051">
        <w:t xml:space="preserve"> asigură </w:t>
      </w:r>
      <w:proofErr w:type="spellStart"/>
      <w:r w:rsidRPr="00137051">
        <w:t>prefinanțarea</w:t>
      </w:r>
      <w:proofErr w:type="spellEnd"/>
      <w:r w:rsidRPr="00137051">
        <w:t xml:space="preserve"> și cofinanțarea națională a măsurilor;</w:t>
      </w:r>
    </w:p>
    <w:p w14:paraId="21B71D5F" w14:textId="77777777" w:rsidR="00DC0048" w:rsidRPr="00137051" w:rsidRDefault="00DC0048" w:rsidP="00DC0048">
      <w:pPr>
        <w:pStyle w:val="NormalHanging12a"/>
      </w:pPr>
      <w:r w:rsidRPr="00137051">
        <w:t>G.</w:t>
      </w:r>
      <w:r w:rsidRPr="00137051">
        <w:tab/>
        <w:t>întrucât au fost îndeplinite cerințele prevăzute de legislația Uniunii și legislația națională referitoare la concedierile colective;</w:t>
      </w:r>
    </w:p>
    <w:p w14:paraId="08EE8D4C" w14:textId="77777777" w:rsidR="00DC0048" w:rsidRPr="00137051" w:rsidRDefault="00DC0048" w:rsidP="00DC0048">
      <w:pPr>
        <w:pStyle w:val="NormalHanging12a"/>
      </w:pPr>
      <w:r w:rsidRPr="00137051">
        <w:t>H.</w:t>
      </w:r>
      <w:r w:rsidRPr="00137051">
        <w:tab/>
        <w:t>întrucât contribuțiile financiare din FEG ar trebui să fie direcționate în primul rând spre măsuri de politică activă pe piața muncii și spre servicii personalizate care să vizeze reintegrarea rapidă a beneficiarilor pe piața muncii, oferindu-le formare profesională pentru a le înlesni accesul pe piața muncii;</w:t>
      </w:r>
    </w:p>
    <w:p w14:paraId="42AF5089" w14:textId="77777777" w:rsidR="00DC0048" w:rsidRPr="00137051" w:rsidRDefault="00DC0048" w:rsidP="00DC0048">
      <w:pPr>
        <w:pStyle w:val="NormalHanging12a"/>
      </w:pPr>
      <w:r w:rsidRPr="00137051">
        <w:t>I.</w:t>
      </w:r>
      <w:r w:rsidRPr="00137051">
        <w:tab/>
        <w:t>întrucât FEG nu trebuie să depășească un cuantum anual de maximum 30 de milioane EUR (la prețurile din 2018)</w:t>
      </w:r>
      <w:r w:rsidRPr="00137051">
        <w:rPr>
          <w:rStyle w:val="FootnoteReference"/>
        </w:rPr>
        <w:footnoteReference w:id="6"/>
      </w:r>
      <w:r w:rsidRPr="00137051">
        <w:t>,</w:t>
      </w:r>
    </w:p>
    <w:p w14:paraId="5AB16CE3" w14:textId="77777777" w:rsidR="00DC0048" w:rsidRPr="00137051" w:rsidRDefault="00DC0048" w:rsidP="00DC0048">
      <w:pPr>
        <w:pStyle w:val="NormalHanging12a"/>
      </w:pPr>
      <w:r w:rsidRPr="00137051">
        <w:t>1.</w:t>
      </w:r>
      <w:r w:rsidRPr="00137051">
        <w:tab/>
        <w:t xml:space="preserve">este de acord cu Comisia că sunt îndeplinite condițiile prevăzute în Regulamentul privind FEG, în special cele de la articolul 4 alineatul (2) litera (a), și că Belgia are </w:t>
      </w:r>
      <w:r w:rsidRPr="00137051">
        <w:lastRenderedPageBreak/>
        <w:t>dreptul la o contribuție financiară în cuantum de 2 033 869 EUR în temeiul regulamentului respectiv, ceea ce reprezintă 85 % din costul total de 2 392 788 EUR, compus din cheltuieli pentru servicii personalizate în cuantum de 2 358 922 EUR și cheltuieli pentru activități de pregătire, gestionare, informare și publicitate, control și raportare în cuantum de 33 866 EUR;</w:t>
      </w:r>
    </w:p>
    <w:p w14:paraId="63AB277D" w14:textId="77777777" w:rsidR="00DC0048" w:rsidRPr="00137051" w:rsidRDefault="00DC0048" w:rsidP="00DC0048">
      <w:pPr>
        <w:pStyle w:val="NormalHanging12a"/>
      </w:pPr>
      <w:r w:rsidRPr="00137051">
        <w:t>2.</w:t>
      </w:r>
      <w:r w:rsidRPr="00137051">
        <w:tab/>
        <w:t xml:space="preserve">observă că autoritățile belgiene au depus cererea la 13 noiembrie 2025 și că după ce a primit informații suplimentare din partea Belgiei, Comisia și-a încheiat evaluarea și a adus-o la cunoștința Parlamentului la 2 martie 2026; evidențiază că trebuie scurtat intervalul de timp dintre depunerea unei cereri de asistență din partea FEG și decizia de finanțare, protejând totodată competențele bugetare ale Parlamentului; </w:t>
      </w:r>
    </w:p>
    <w:p w14:paraId="3816DD3F" w14:textId="77777777" w:rsidR="00DC0048" w:rsidRPr="00137051" w:rsidRDefault="00DC0048" w:rsidP="00DC0048">
      <w:pPr>
        <w:pStyle w:val="NormalHanging12a"/>
      </w:pPr>
      <w:r w:rsidRPr="00137051">
        <w:t>3.</w:t>
      </w:r>
      <w:r w:rsidRPr="00137051">
        <w:tab/>
        <w:t>observă că cererea se referă la un număr de 507 beneficiari vizați care au fost disponibilizați de societatea Liberty;</w:t>
      </w:r>
    </w:p>
    <w:p w14:paraId="603296DF" w14:textId="77777777" w:rsidR="00DC0048" w:rsidRPr="00137051" w:rsidRDefault="00DC0048" w:rsidP="00DC0048">
      <w:pPr>
        <w:pStyle w:val="NormalHanging12a"/>
      </w:pPr>
      <w:r w:rsidRPr="00137051">
        <w:t>4.</w:t>
      </w:r>
      <w:r w:rsidRPr="00137051">
        <w:tab/>
        <w:t xml:space="preserve">constată că Liberty a trecut prin ani de dificultăți financiare înainte de a declara falimentul, din cauza condițiilor nefavorabile de pe piața oțelului, a perturbărilor lanțului de aprovizionare asociate pandemiei de COVID-19 și a prețurilor mari la energie cauzate de războiul de agresiune al Rusiei împotriva Ucrainei, combinate cu dependența Uniunii de combustibilii fosili importați și cu exploatarea insuficientă a unor surse de energie ieftine; ia act de faptul că liniile de galvanizare ale Liberty </w:t>
      </w:r>
      <w:proofErr w:type="spellStart"/>
      <w:r w:rsidRPr="00137051">
        <w:t>Steel</w:t>
      </w:r>
      <w:proofErr w:type="spellEnd"/>
      <w:r w:rsidRPr="00137051">
        <w:t xml:space="preserve"> </w:t>
      </w:r>
      <w:proofErr w:type="spellStart"/>
      <w:r w:rsidRPr="00137051">
        <w:t>Liège</w:t>
      </w:r>
      <w:proofErr w:type="spellEnd"/>
      <w:r w:rsidRPr="00137051">
        <w:t xml:space="preserve"> nu au mai fost folosite din decembrie 2021, mai cu seamă din cauza lipsei de materii prime, lucru ce a declanșat o operațiune de restructurare prin care societatea a făcut obiectul unui transfer juridic către Liberty Galați în 2023; regretă că activitatea de producție nu s-a reluat, deși societatea a fost preluată, și că situația a culminat cu falimentul;</w:t>
      </w:r>
    </w:p>
    <w:p w14:paraId="0FD2D2D0" w14:textId="77777777" w:rsidR="00DC0048" w:rsidRPr="00137051" w:rsidRDefault="00DC0048" w:rsidP="00DC0048">
      <w:pPr>
        <w:pStyle w:val="NormalHanging12a"/>
        <w:rPr>
          <w:noProof/>
        </w:rPr>
      </w:pPr>
      <w:r w:rsidRPr="00137051">
        <w:t>5.</w:t>
      </w:r>
      <w:r w:rsidRPr="00137051">
        <w:tab/>
        <w:t xml:space="preserve">observă că dificultățile cu care se confruntă Liberty </w:t>
      </w:r>
      <w:proofErr w:type="spellStart"/>
      <w:r w:rsidRPr="00137051">
        <w:t>Steel</w:t>
      </w:r>
      <w:proofErr w:type="spellEnd"/>
      <w:r w:rsidRPr="00137051">
        <w:t xml:space="preserve"> țin și de factori specifici societății respective, ca urmare a achiziționării sale de la </w:t>
      </w:r>
      <w:proofErr w:type="spellStart"/>
      <w:r w:rsidRPr="00137051">
        <w:t>ArcelorMittal</w:t>
      </w:r>
      <w:proofErr w:type="spellEnd"/>
      <w:r w:rsidRPr="00137051">
        <w:t xml:space="preserve"> de către GFG </w:t>
      </w:r>
      <w:proofErr w:type="spellStart"/>
      <w:r w:rsidRPr="00137051">
        <w:t>Alliance</w:t>
      </w:r>
      <w:proofErr w:type="spellEnd"/>
      <w:r w:rsidRPr="00137051">
        <w:t>; își exprimă îngrijorarea profundă privind sustenabilitatea financiară a modelului de afaceri și la neîndeplinirea angajamentelor de investiții, lucruri ce au contribuit la înrăutățirea situației economice a fabricii și la disponibilizările provocate de aceasta;</w:t>
      </w:r>
    </w:p>
    <w:p w14:paraId="25EE3B53" w14:textId="77777777" w:rsidR="00DC0048" w:rsidRPr="00137051" w:rsidRDefault="00DC0048" w:rsidP="00DC0048">
      <w:pPr>
        <w:pStyle w:val="NormalHanging12a"/>
        <w:rPr>
          <w:b/>
          <w:bCs/>
          <w:i/>
          <w:iCs/>
        </w:rPr>
      </w:pPr>
      <w:bookmarkStart w:id="7" w:name="_Hlk225497832"/>
      <w:r w:rsidRPr="00137051">
        <w:t>6.</w:t>
      </w:r>
      <w:r w:rsidRPr="00137051">
        <w:tab/>
        <w:t>constată că Regiunea Valonă a trecut printr-un proces de dezindustrializare și transformare economică</w:t>
      </w:r>
      <w:r w:rsidRPr="00137051">
        <w:rPr>
          <w:rStyle w:val="FootnoteReference"/>
        </w:rPr>
        <w:footnoteReference w:id="7"/>
      </w:r>
      <w:r w:rsidRPr="00137051">
        <w:t xml:space="preserve">; constată că falimentul Liberty reprezintă un șoc social major pentru </w:t>
      </w:r>
      <w:proofErr w:type="spellStart"/>
      <w:r w:rsidRPr="00137051">
        <w:t>Valonia</w:t>
      </w:r>
      <w:proofErr w:type="spellEnd"/>
      <w:r w:rsidRPr="00137051">
        <w:t>, regiune</w:t>
      </w:r>
      <w:bookmarkEnd w:id="7"/>
      <w:r w:rsidRPr="00137051">
        <w:t xml:space="preserve"> a cărei piață a muncii a fost deja slăbită de alte evenimente de restructurare; accentuează că sectorul siderurgic rămâne un sector economic important pentru Belgia, raportul numărului de locuri de muncă în acest sector pe cap de locuitor fiind în continuare ridicat; invită autoritățile belgiene să ofere sprijin specific adaptat acestor profiluri pentru a-i ajuta pe lucrători să-și dezvolte competențele necesare găsirii unor noi locuri de muncă de bună calitate, luând în același timp măsuri pentru a reduce numărul falimentelor și a aborda inegalitățile sociale care conduc la excluziunea forței de muncă; evidențiază că Uniunea menține un mediu favorabil întreprinderilor, care stimulează creșterea economică, promovează inovarea, sprijină dezvoltarea tehnologică, întărește competitivitatea, reduce sarcinile de reglementare inutile și simplifică procedurile birocratice și că este nevoie de politici care să încurajeze competitivitatea industriei, coeziunea teritorială, economică și socială și dezvoltarea regională; evidențiază importanța unui sector siderurgic european competitiv și </w:t>
      </w:r>
      <w:proofErr w:type="spellStart"/>
      <w:r w:rsidRPr="00137051">
        <w:t>rezilient</w:t>
      </w:r>
      <w:proofErr w:type="spellEnd"/>
      <w:r w:rsidRPr="00137051">
        <w:t xml:space="preserve">, pentru că acesta este temelia unei industrii puternice și de înaltă calitate și un pilon central al </w:t>
      </w:r>
      <w:r w:rsidRPr="00137051">
        <w:lastRenderedPageBreak/>
        <w:t>autonomiei strategice a Uniunii;</w:t>
      </w:r>
    </w:p>
    <w:p w14:paraId="3F6696C0" w14:textId="77777777" w:rsidR="00DC0048" w:rsidRPr="00137051" w:rsidRDefault="00DC0048" w:rsidP="00DC0048">
      <w:pPr>
        <w:pStyle w:val="NormalHanging12a"/>
      </w:pPr>
      <w:r w:rsidRPr="00137051">
        <w:t>7.</w:t>
      </w:r>
      <w:r w:rsidRPr="00137051">
        <w:tab/>
        <w:t xml:space="preserve">reamintește că una din patru persoane înregistrate ca fiind în căutarea unui loc de muncă din </w:t>
      </w:r>
      <w:proofErr w:type="spellStart"/>
      <w:r w:rsidRPr="00137051">
        <w:t>Valonia</w:t>
      </w:r>
      <w:proofErr w:type="spellEnd"/>
      <w:r w:rsidRPr="00137051">
        <w:t xml:space="preserve"> are peste 50 de ani și întâmpină piedici mai mari în calea reintegrării pe piața muncii; constată că, deși lucrătorii societății Liberty sunt foarte specializați, ei au dificultăți legate de tranzițiile profesionale din cauza vârstei lor înaintate (52 % din lucrători au cel puțin 55 de ani); constată că 69 % din lucrătorii disponibilizați au un nivel scăzut de educație;</w:t>
      </w:r>
    </w:p>
    <w:p w14:paraId="5DB2150C" w14:textId="77777777" w:rsidR="00DC0048" w:rsidRPr="00137051" w:rsidRDefault="00DC0048" w:rsidP="00DC0048">
      <w:pPr>
        <w:pStyle w:val="NormalHanging12a"/>
      </w:pPr>
      <w:bookmarkStart w:id="8" w:name="_Hlk226546977"/>
      <w:r w:rsidRPr="00137051">
        <w:t>8.</w:t>
      </w:r>
      <w:r w:rsidRPr="00137051">
        <w:tab/>
        <w:t>amintește că serviciile personalizate care trebuie furnizate lucrătorilor, stabilite de comun acord cu sindicatele și autoritățile regionale, constau în următoarele măsuri: plasarea pe piața muncii a personalului disponibilizat și orientare profesională; formare, recalificare și formare profesională, inclusiv dobândirea de competențe informatice; acordarea de sprijin pentru înființarea de întreprinderi; contribuția la înființarea de întreprinderi; stimulente și alte alocații; evidențiază că este important să se investească mai mult în inovare, competențe și modernizarea industriei pentru a face industria europeană mai competitivă și a se asigura că lucrătorii au competențele necesare pentru a răspunde nevoilor în continuă schimbare ale pieței muncii;</w:t>
      </w:r>
      <w:bookmarkEnd w:id="8"/>
    </w:p>
    <w:p w14:paraId="13DE4A46" w14:textId="77777777" w:rsidR="00DC0048" w:rsidRPr="00137051" w:rsidRDefault="00DC0048" w:rsidP="00DC0048">
      <w:pPr>
        <w:pStyle w:val="NormalHanging12a"/>
      </w:pPr>
      <w:r w:rsidRPr="00137051">
        <w:t>9.</w:t>
      </w:r>
      <w:r w:rsidRPr="00137051">
        <w:tab/>
        <w:t>subliniază că este important să se promoveze locuri de muncă de bună calitate, orientate spre viitor, care să mărească competitivitatea, să încurajeze transformarea digitală și să răspundă cererilor pieței muncii, pentru a se asigura reziliența economică și socială pe termen lung; consideră deci că mobilizarea FEG trebuie integrată într-un răspuns mai amplu în materie de politici la toate nivelurile politice, pentru a garanta că lucrătorii afectați găsesc oportunități adecvate, pe măsura calificărilor și competențelor lor; reliefează că FEG reprezintă un instrument de solidaritate și de tranziție justă și că sarcina principală a Uniunii trebuie să fie, în primul rând, prevenirea unor astfel de închideri de întreprinderi;</w:t>
      </w:r>
    </w:p>
    <w:p w14:paraId="51D41BE5" w14:textId="77777777" w:rsidR="00DC0048" w:rsidRPr="00137051" w:rsidRDefault="00DC0048" w:rsidP="00DC0048">
      <w:pPr>
        <w:pStyle w:val="NormalHanging12a"/>
      </w:pPr>
      <w:r w:rsidRPr="00137051">
        <w:t>10.</w:t>
      </w:r>
      <w:r w:rsidRPr="00137051">
        <w:tab/>
        <w:t>reliefează că este important să se mărească competitivitatea industrială a Uniunii și să se promoveze investițiile în sectoarele industriale strategice pentru a preveni o și mai mare dezindustrializare și disponibilizări și mai multe și pentru a sprijini crearea de locuri de muncă; subliniază că trebuie să se treacă la energia din surse regenerabile și să se ia și alte măsuri prin care să se asigure prețuri accesibile la energie;</w:t>
      </w:r>
    </w:p>
    <w:p w14:paraId="513F106F" w14:textId="77777777" w:rsidR="00DC0048" w:rsidRPr="00137051" w:rsidRDefault="00DC0048" w:rsidP="00DC0048">
      <w:pPr>
        <w:pStyle w:val="NormalHanging12a"/>
        <w:rPr>
          <w:bCs/>
          <w:iCs/>
        </w:rPr>
      </w:pPr>
      <w:r w:rsidRPr="00137051">
        <w:t>11.</w:t>
      </w:r>
      <w:r w:rsidRPr="00137051">
        <w:tab/>
        <w:t>reliefează că autoritățile belgiene trebuie să asigure vizibilitatea finanțării din partea Uniunii și să evidențieze valoarea adăugată a acesteia, furnizând informații eficace și personalizate beneficiarilor, autorităților regionale și locale, partenerilor sociali și publicului larg;</w:t>
      </w:r>
    </w:p>
    <w:p w14:paraId="7B664FE8" w14:textId="77777777" w:rsidR="00DC0048" w:rsidRPr="00137051" w:rsidRDefault="00DC0048" w:rsidP="00DC0048">
      <w:pPr>
        <w:pStyle w:val="NormalHanging12a"/>
      </w:pPr>
      <w:r w:rsidRPr="00137051">
        <w:t>12.</w:t>
      </w:r>
      <w:r w:rsidRPr="00137051">
        <w:tab/>
        <w:t>cere ca să se facă, împreună cu partenerii sociali, evaluări finale amănunțite ale măsurilor aplicate, care să conțină informații clare și transparente despre cum s-au folosit fondurile, despre reintegrarea lucrătorilor pe piața muncii și despre îndeplinirea sau nu a obiectivelor FEG; evidențiază în acest context că este important să se monitorizeze regulat măsurile finanțate din FEG pentru a le aprecia eficacitatea;</w:t>
      </w:r>
    </w:p>
    <w:p w14:paraId="1F147277" w14:textId="77777777" w:rsidR="00DC0048" w:rsidRPr="00137051" w:rsidRDefault="00DC0048" w:rsidP="00DC0048">
      <w:pPr>
        <w:pStyle w:val="NormalHanging12a"/>
      </w:pPr>
      <w:r w:rsidRPr="00137051">
        <w:t>13.</w:t>
      </w:r>
      <w:r w:rsidRPr="00137051">
        <w:tab/>
        <w:t>constată că Belgia a început să ofere servicii personalizate beneficiarilor vizați la 1 iunie 2025 și că perioada de eligibilitate pentru o contribuție financiară din FEG va începe așadar la această dată până când se vor împlini 24 de luni de la data intrării în vigoare a deciziei de finanțare;</w:t>
      </w:r>
    </w:p>
    <w:p w14:paraId="6E780A62" w14:textId="77777777" w:rsidR="00DC0048" w:rsidRPr="00137051" w:rsidRDefault="00DC0048" w:rsidP="00DC0048">
      <w:pPr>
        <w:pStyle w:val="NormalHanging12a"/>
        <w:rPr>
          <w:sz w:val="23"/>
          <w:szCs w:val="23"/>
        </w:rPr>
      </w:pPr>
      <w:r w:rsidRPr="00137051">
        <w:t>14.</w:t>
      </w:r>
      <w:r w:rsidRPr="00137051">
        <w:tab/>
        <w:t xml:space="preserve">observă că Belgia a început să suporte cheltuieli administrative pentru execuția FEG la </w:t>
      </w:r>
      <w:r w:rsidRPr="00137051">
        <w:lastRenderedPageBreak/>
        <w:t>22 aprilie 2025 și că aceste cheltuieli vor fi, prin urmare, admisibile pentru o contribuție financiară din FEG de la această dată până când se vor împlini 31 de luni de la data intrării în vigoare a deciziei de finanțare;</w:t>
      </w:r>
    </w:p>
    <w:p w14:paraId="0E333290" w14:textId="77777777" w:rsidR="00DC0048" w:rsidRPr="00137051" w:rsidRDefault="00DC0048" w:rsidP="00DC0048">
      <w:pPr>
        <w:pStyle w:val="NormalHanging12a"/>
      </w:pPr>
      <w:r w:rsidRPr="00137051">
        <w:t>15.</w:t>
      </w:r>
      <w:r w:rsidRPr="00137051">
        <w:tab/>
        <w:t>observă că autoritățile belgiene au dat asigurări că la accesul la acțiunile propuse și la derularea acestora se vor respecta principiile egalității de tratament și nediscriminării și se va evita orice formă de dublă finanțare;</w:t>
      </w:r>
    </w:p>
    <w:p w14:paraId="5D277396" w14:textId="77777777" w:rsidR="00DC0048" w:rsidRPr="00137051" w:rsidRDefault="00DC0048" w:rsidP="00DC0048">
      <w:pPr>
        <w:pStyle w:val="NormalHanging12a"/>
      </w:pPr>
      <w:r w:rsidRPr="00137051">
        <w:t>16.</w:t>
      </w:r>
      <w:r w:rsidRPr="00137051">
        <w:tab/>
        <w:t>reiterează că asistența din FEG nu trebuie să înlocuiască acțiunile care țin de responsabilitatea autorităților publice sau a societăților comerciale în temeiul legislației naționale sau al acordurilor colective; reamintește că FEG este un mecanism mărginit, cu țintă precisă și complementar și nu poate înlocui politicile economice structurale, care țin în principal de competența statelor membre;</w:t>
      </w:r>
    </w:p>
    <w:p w14:paraId="4D8A20F3" w14:textId="77777777" w:rsidR="00DC0048" w:rsidRPr="00137051" w:rsidRDefault="00DC0048" w:rsidP="00DC0048">
      <w:pPr>
        <w:pStyle w:val="NormalHanging12a"/>
      </w:pPr>
      <w:r w:rsidRPr="00137051">
        <w:t>17.</w:t>
      </w:r>
      <w:r w:rsidRPr="00137051">
        <w:tab/>
        <w:t>aprobă decizia anexată la prezenta rezoluție;</w:t>
      </w:r>
    </w:p>
    <w:p w14:paraId="471EF3DA" w14:textId="77777777" w:rsidR="00DC0048" w:rsidRPr="00137051" w:rsidRDefault="00DC0048" w:rsidP="00DC0048">
      <w:pPr>
        <w:pStyle w:val="NormalHanging12a"/>
      </w:pPr>
      <w:r w:rsidRPr="00137051">
        <w:t>18.</w:t>
      </w:r>
      <w:r w:rsidRPr="00137051">
        <w:tab/>
        <w:t xml:space="preserve">încredințează Președintei sarcina de a semna această decizie împreună cu Președintele Consiliului și de a asigura publicarea sa în </w:t>
      </w:r>
      <w:r w:rsidRPr="00137051">
        <w:rPr>
          <w:i/>
          <w:iCs/>
        </w:rPr>
        <w:t>Jurnalul Oficial al Uniunii Europene</w:t>
      </w:r>
      <w:r w:rsidRPr="00137051">
        <w:t>;</w:t>
      </w:r>
    </w:p>
    <w:p w14:paraId="097DC96A" w14:textId="77777777" w:rsidR="00DC0048" w:rsidRPr="00137051" w:rsidRDefault="00DC0048" w:rsidP="00DC0048">
      <w:pPr>
        <w:pStyle w:val="NormalHanging12a"/>
      </w:pPr>
      <w:r w:rsidRPr="00137051">
        <w:t>19.</w:t>
      </w:r>
      <w:r w:rsidRPr="00137051">
        <w:tab/>
        <w:t>încredințează Președintei sarcina de a transmite prezenta rezoluție, împreună cu anexa, Consiliului și Comisiei.</w:t>
      </w:r>
    </w:p>
    <w:p w14:paraId="39A4AB78" w14:textId="77777777" w:rsidR="00DC0048" w:rsidRPr="00137051" w:rsidRDefault="00DC0048" w:rsidP="00DC0048">
      <w:pPr>
        <w:rPr>
          <w:noProof/>
        </w:rPr>
      </w:pPr>
    </w:p>
    <w:p w14:paraId="7D52EAC3" w14:textId="77777777" w:rsidR="00DC0048" w:rsidRPr="00137051" w:rsidRDefault="00DC0048" w:rsidP="00DC0048">
      <w:pPr>
        <w:pStyle w:val="PageHeading"/>
        <w:rPr>
          <w:noProof/>
        </w:rPr>
        <w:sectPr w:rsidR="00DC0048" w:rsidRPr="00137051" w:rsidSect="001C519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0548AD" w14:textId="77777777" w:rsidR="00DC0048" w:rsidRPr="00137051" w:rsidRDefault="00DC0048" w:rsidP="00DC0048">
      <w:pPr>
        <w:pStyle w:val="PageHeading"/>
        <w:rPr>
          <w:noProof/>
        </w:rPr>
      </w:pPr>
      <w:bookmarkStart w:id="9" w:name="_Toc227876112"/>
      <w:r w:rsidRPr="00137051">
        <w:lastRenderedPageBreak/>
        <w:t>ANEXĂ: DECIZIA PARLAMENTULUI EUROPEAN ȘI A CONSILIULUI</w:t>
      </w:r>
      <w:bookmarkEnd w:id="9"/>
    </w:p>
    <w:p w14:paraId="72C20F34" w14:textId="77777777" w:rsidR="00DC0048" w:rsidRDefault="00DC0048" w:rsidP="00DC0048">
      <w:pPr>
        <w:pStyle w:val="NormalHanging12a"/>
        <w:rPr>
          <w:b/>
        </w:rPr>
      </w:pPr>
      <w:r w:rsidRPr="00137051">
        <w:rPr>
          <w:b/>
        </w:rPr>
        <w:t>privind mobilizarea Fondului european de ajustare la globalizare pentru lucrătorii disponibilizați în urma unei cereri din partea Belgiei - EGF/2025/008 BE/Liberty</w:t>
      </w:r>
    </w:p>
    <w:p w14:paraId="3ED51DD3" w14:textId="2048F5B8" w:rsidR="003728E6" w:rsidRPr="003728E6" w:rsidRDefault="003728E6" w:rsidP="003728E6">
      <w:pPr>
        <w:spacing w:before="120"/>
        <w:rPr>
          <w:rStyle w:val="ATHeading3Char"/>
          <w:b w:val="0"/>
          <w:bCs/>
          <w:i/>
        </w:rPr>
      </w:pPr>
      <w:r w:rsidRPr="003728E6">
        <w:rPr>
          <w:rStyle w:val="ATHeading3Char"/>
          <w:b w:val="0"/>
          <w:bCs/>
          <w:i/>
        </w:rPr>
        <w:t>(Întrucât s-a ajuns la un acord între Parlament și Consiliu, poziția Parlamentului corespunde cu actul legislativ final, Decizia (UE) 2026/</w:t>
      </w:r>
      <w:r>
        <w:rPr>
          <w:rStyle w:val="ATHeading3Char"/>
          <w:b w:val="0"/>
          <w:bCs/>
          <w:i/>
        </w:rPr>
        <w:t>1134</w:t>
      </w:r>
      <w:r w:rsidRPr="003728E6">
        <w:rPr>
          <w:rStyle w:val="ATHeading3Char"/>
          <w:b w:val="0"/>
          <w:bCs/>
          <w:i/>
        </w:rPr>
        <w:t>.)</w:t>
      </w:r>
    </w:p>
    <w:p w14:paraId="3916E828" w14:textId="77777777" w:rsidR="003728E6" w:rsidRPr="00137051" w:rsidRDefault="003728E6" w:rsidP="00DC0048">
      <w:pPr>
        <w:pStyle w:val="NormalHanging12a"/>
        <w:rPr>
          <w:b/>
          <w:bCs/>
        </w:rPr>
      </w:pPr>
    </w:p>
    <w:sectPr w:rsidR="003728E6" w:rsidRPr="00137051" w:rsidSect="001C51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FBEDC" w14:textId="77777777" w:rsidR="00250EEA" w:rsidRPr="001C5193" w:rsidRDefault="00250EEA">
      <w:r w:rsidRPr="001C5193">
        <w:separator/>
      </w:r>
    </w:p>
  </w:endnote>
  <w:endnote w:type="continuationSeparator" w:id="0">
    <w:p w14:paraId="5A2B449B" w14:textId="77777777" w:rsidR="00250EEA" w:rsidRPr="001C5193" w:rsidRDefault="00250EEA">
      <w:r w:rsidRPr="001C51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0CCC" w14:textId="77777777" w:rsidR="00DC0048" w:rsidRPr="001C5193" w:rsidRDefault="00DC0048" w:rsidP="00683687">
    <w:pPr>
      <w:pStyle w:val="EPFooter"/>
    </w:pPr>
    <w:r w:rsidRPr="001C5193">
      <w:t>PE</w:t>
    </w:r>
    <w:r w:rsidRPr="001C5193">
      <w:rPr>
        <w:rStyle w:val="HideTWBExt"/>
      </w:rPr>
      <w:t>&lt;</w:t>
    </w:r>
    <w:proofErr w:type="spellStart"/>
    <w:r w:rsidRPr="001C5193">
      <w:rPr>
        <w:rStyle w:val="HideTWBExt"/>
      </w:rPr>
      <w:t>NoPE</w:t>
    </w:r>
    <w:proofErr w:type="spellEnd"/>
    <w:r w:rsidRPr="001C5193">
      <w:rPr>
        <w:rStyle w:val="HideTWBExt"/>
      </w:rPr>
      <w:t>&gt;</w:t>
    </w:r>
    <w:r w:rsidRPr="001C5193">
      <w:t>785.333</w:t>
    </w:r>
    <w:r w:rsidRPr="001C5193">
      <w:rPr>
        <w:rStyle w:val="HideTWBExt"/>
      </w:rPr>
      <w:t>&lt;/</w:t>
    </w:r>
    <w:proofErr w:type="spellStart"/>
    <w:r w:rsidRPr="001C5193">
      <w:rPr>
        <w:rStyle w:val="HideTWBExt"/>
      </w:rPr>
      <w:t>NoPE</w:t>
    </w:r>
    <w:proofErr w:type="spellEnd"/>
    <w:r w:rsidRPr="001C5193">
      <w:rPr>
        <w:rStyle w:val="HideTWBExt"/>
      </w:rPr>
      <w:t>&gt;&lt;Version&gt;</w:t>
    </w:r>
    <w:r w:rsidRPr="001C5193">
      <w:t>v03-00</w:t>
    </w:r>
    <w:r w:rsidRPr="001C5193">
      <w:rPr>
        <w:rStyle w:val="HideTWBExt"/>
      </w:rPr>
      <w:t>&lt;/</w:t>
    </w:r>
    <w:proofErr w:type="spellStart"/>
    <w:r w:rsidRPr="001C5193">
      <w:rPr>
        <w:rStyle w:val="HideTWBExt"/>
      </w:rPr>
      <w:t>Version</w:t>
    </w:r>
    <w:proofErr w:type="spellEnd"/>
    <w:r w:rsidRPr="001C5193">
      <w:rPr>
        <w:rStyle w:val="HideTWBExt"/>
      </w:rPr>
      <w:t>&gt;</w:t>
    </w:r>
    <w:r w:rsidRPr="001C5193">
      <w:tab/>
    </w:r>
    <w:r w:rsidRPr="001C5193">
      <w:fldChar w:fldCharType="begin"/>
    </w:r>
    <w:r w:rsidRPr="001C5193">
      <w:instrText xml:space="preserve"> PAGE  \* MERGEFORMAT </w:instrText>
    </w:r>
    <w:r w:rsidRPr="001C5193">
      <w:fldChar w:fldCharType="separate"/>
    </w:r>
    <w:r w:rsidRPr="001C5193">
      <w:rPr>
        <w:noProof/>
      </w:rPr>
      <w:t>2</w:t>
    </w:r>
    <w:r w:rsidRPr="001C5193">
      <w:fldChar w:fldCharType="end"/>
    </w:r>
    <w:r w:rsidRPr="001C5193">
      <w:t>/</w:t>
    </w:r>
    <w:fldSimple w:instr=" NUMPAGES  \* MERGEFORMAT ">
      <w:r w:rsidRPr="001C5193">
        <w:rPr>
          <w:noProof/>
        </w:rPr>
        <w:t>20</w:t>
      </w:r>
    </w:fldSimple>
    <w:r w:rsidRPr="001C5193">
      <w:tab/>
    </w:r>
    <w:r w:rsidRPr="001C5193">
      <w:rPr>
        <w:rStyle w:val="HideTWBExt"/>
      </w:rPr>
      <w:t>&lt;PathFdR&gt;</w:t>
    </w:r>
    <w:r w:rsidRPr="001C5193">
      <w:t>RR\1341391RO.docx</w:t>
    </w:r>
    <w:r w:rsidRPr="001C5193">
      <w:rPr>
        <w:rStyle w:val="HideTWBExt"/>
      </w:rPr>
      <w:t>&lt;/</w:t>
    </w:r>
    <w:proofErr w:type="spellStart"/>
    <w:r w:rsidRPr="001C5193">
      <w:rPr>
        <w:rStyle w:val="HideTWBExt"/>
      </w:rPr>
      <w:t>PathFdR</w:t>
    </w:r>
    <w:proofErr w:type="spellEnd"/>
    <w:r w:rsidRPr="001C5193">
      <w:rPr>
        <w:rStyle w:val="HideTWBExt"/>
      </w:rPr>
      <w:t>&gt;</w:t>
    </w:r>
  </w:p>
  <w:p w14:paraId="274BD390" w14:textId="77777777" w:rsidR="00DC0048" w:rsidRPr="001C5193" w:rsidRDefault="00DC0048" w:rsidP="00683687">
    <w:pPr>
      <w:pStyle w:val="EPFooter2"/>
    </w:pPr>
    <w:r w:rsidRPr="001C519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F813" w14:textId="77777777" w:rsidR="00DC0048" w:rsidRPr="001C5193" w:rsidRDefault="00DC0048" w:rsidP="00683687">
    <w:pPr>
      <w:pStyle w:val="EPFooter"/>
    </w:pPr>
    <w:r w:rsidRPr="001C5193">
      <w:rPr>
        <w:rStyle w:val="HideTWBExt"/>
      </w:rPr>
      <w:t>&lt;PathFdR&gt;</w:t>
    </w:r>
    <w:r w:rsidRPr="001C5193">
      <w:t>RR\1341391RO.docx</w:t>
    </w:r>
    <w:r w:rsidRPr="001C5193">
      <w:rPr>
        <w:rStyle w:val="HideTWBExt"/>
      </w:rPr>
      <w:t>&lt;/</w:t>
    </w:r>
    <w:proofErr w:type="spellStart"/>
    <w:r w:rsidRPr="001C5193">
      <w:rPr>
        <w:rStyle w:val="HideTWBExt"/>
      </w:rPr>
      <w:t>PathFdR</w:t>
    </w:r>
    <w:proofErr w:type="spellEnd"/>
    <w:r w:rsidRPr="001C5193">
      <w:rPr>
        <w:rStyle w:val="HideTWBExt"/>
      </w:rPr>
      <w:t>&gt;</w:t>
    </w:r>
    <w:r w:rsidRPr="001C5193">
      <w:tab/>
    </w:r>
    <w:r w:rsidRPr="001C5193">
      <w:tab/>
      <w:t>PE</w:t>
    </w:r>
    <w:r w:rsidRPr="001C5193">
      <w:rPr>
        <w:rStyle w:val="HideTWBExt"/>
      </w:rPr>
      <w:t>&lt;</w:t>
    </w:r>
    <w:proofErr w:type="spellStart"/>
    <w:r w:rsidRPr="001C5193">
      <w:rPr>
        <w:rStyle w:val="HideTWBExt"/>
      </w:rPr>
      <w:t>NoPE</w:t>
    </w:r>
    <w:proofErr w:type="spellEnd"/>
    <w:r w:rsidRPr="001C5193">
      <w:rPr>
        <w:rStyle w:val="HideTWBExt"/>
      </w:rPr>
      <w:t>&gt;</w:t>
    </w:r>
    <w:r w:rsidRPr="001C5193">
      <w:t>785.333</w:t>
    </w:r>
    <w:r w:rsidRPr="001C5193">
      <w:rPr>
        <w:rStyle w:val="HideTWBExt"/>
      </w:rPr>
      <w:t>&lt;/</w:t>
    </w:r>
    <w:proofErr w:type="spellStart"/>
    <w:r w:rsidRPr="001C5193">
      <w:rPr>
        <w:rStyle w:val="HideTWBExt"/>
      </w:rPr>
      <w:t>NoPE</w:t>
    </w:r>
    <w:proofErr w:type="spellEnd"/>
    <w:r w:rsidRPr="001C5193">
      <w:rPr>
        <w:rStyle w:val="HideTWBExt"/>
      </w:rPr>
      <w:t>&gt;&lt;Version&gt;</w:t>
    </w:r>
    <w:r w:rsidRPr="001C5193">
      <w:t>v03-00</w:t>
    </w:r>
    <w:r w:rsidRPr="001C5193">
      <w:rPr>
        <w:rStyle w:val="HideTWBExt"/>
      </w:rPr>
      <w:t>&lt;/</w:t>
    </w:r>
    <w:proofErr w:type="spellStart"/>
    <w:r w:rsidRPr="001C5193">
      <w:rPr>
        <w:rStyle w:val="HideTWBExt"/>
      </w:rPr>
      <w:t>Version</w:t>
    </w:r>
    <w:proofErr w:type="spellEnd"/>
    <w:r w:rsidRPr="001C5193">
      <w:rPr>
        <w:rStyle w:val="HideTWBExt"/>
      </w:rPr>
      <w:t>&gt;</w:t>
    </w:r>
  </w:p>
  <w:p w14:paraId="3B01B935" w14:textId="77777777" w:rsidR="00DC0048" w:rsidRPr="001C5193" w:rsidRDefault="00DC0048" w:rsidP="00683687">
    <w:pPr>
      <w:pStyle w:val="EPFooter2"/>
    </w:pPr>
    <w:r w:rsidRPr="001C5193">
      <w:t>RO</w:t>
    </w:r>
    <w:r w:rsidRPr="001C5193">
      <w:tab/>
    </w:r>
    <w:r w:rsidRPr="001C5193">
      <w:rPr>
        <w:b w:val="0"/>
        <w:i/>
        <w:color w:val="C0C0C0"/>
        <w:sz w:val="22"/>
      </w:rPr>
      <w:t>Unită în diversitate</w:t>
    </w:r>
    <w:r w:rsidRPr="001C519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C7DD" w14:textId="77777777" w:rsidR="00064002" w:rsidRPr="001C519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0E38" w14:textId="77777777" w:rsidR="00064002" w:rsidRPr="001C519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E23C" w14:textId="77777777" w:rsidR="00064002" w:rsidRPr="001C51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B8E68" w14:textId="77777777" w:rsidR="00250EEA" w:rsidRPr="001C5193" w:rsidRDefault="00250EEA">
      <w:r w:rsidRPr="001C5193">
        <w:separator/>
      </w:r>
    </w:p>
  </w:footnote>
  <w:footnote w:type="continuationSeparator" w:id="0">
    <w:p w14:paraId="6E1C83FE" w14:textId="77777777" w:rsidR="00250EEA" w:rsidRPr="001C5193" w:rsidRDefault="00250EEA">
      <w:r w:rsidRPr="001C5193">
        <w:continuationSeparator/>
      </w:r>
    </w:p>
  </w:footnote>
  <w:footnote w:id="1">
    <w:p w14:paraId="7E12F173" w14:textId="5D6653E3"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r w:rsidRPr="001C5193">
        <w:rPr>
          <w:sz w:val="24"/>
          <w:lang w:val="ro-RO"/>
        </w:rPr>
        <w:t xml:space="preserve">JO L 153, 3.5.2021, p. 48, ELI: </w:t>
      </w:r>
      <w:hyperlink r:id="rId1" w:history="1">
        <w:r w:rsidRPr="001C5193">
          <w:rPr>
            <w:rStyle w:val="Hyperlink"/>
            <w:sz w:val="24"/>
            <w:lang w:val="ro-RO"/>
          </w:rPr>
          <w:t>http://data.europa.eu/eli/reg/2021/691/oj</w:t>
        </w:r>
      </w:hyperlink>
      <w:r w:rsidRPr="001C5193">
        <w:rPr>
          <w:sz w:val="24"/>
          <w:lang w:val="ro-RO"/>
        </w:rPr>
        <w:t>.</w:t>
      </w:r>
    </w:p>
  </w:footnote>
  <w:footnote w:id="2">
    <w:p w14:paraId="37C5B400" w14:textId="3F29E211"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r w:rsidRPr="001C5193">
        <w:rPr>
          <w:sz w:val="24"/>
          <w:lang w:val="ro-RO"/>
        </w:rPr>
        <w:t xml:space="preserve">JO L 433 I, 22.12.2020, p. 11, ELI: </w:t>
      </w:r>
      <w:hyperlink r:id="rId2" w:history="1">
        <w:r w:rsidRPr="001C5193">
          <w:rPr>
            <w:rStyle w:val="Hyperlink"/>
            <w:sz w:val="24"/>
            <w:lang w:val="ro-RO"/>
          </w:rPr>
          <w:t>http://data.europa.eu/eli/reg/2020/2093/oj</w:t>
        </w:r>
      </w:hyperlink>
      <w:r w:rsidRPr="001C5193">
        <w:rPr>
          <w:sz w:val="24"/>
          <w:lang w:val="ro-RO"/>
        </w:rPr>
        <w:t>.</w:t>
      </w:r>
    </w:p>
  </w:footnote>
  <w:footnote w:id="3">
    <w:p w14:paraId="36973B24" w14:textId="672AEE1B"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shd w:val="clear" w:color="auto" w:fill="FFFFFF"/>
          <w:lang w:val="ro-RO"/>
        </w:rPr>
        <w:t xml:space="preserve"> </w:t>
      </w:r>
      <w:r w:rsidR="001C5193" w:rsidRPr="001C5193">
        <w:rPr>
          <w:sz w:val="24"/>
          <w:shd w:val="clear" w:color="auto" w:fill="FFFFFF"/>
          <w:lang w:val="ro-RO"/>
        </w:rPr>
        <w:tab/>
      </w:r>
      <w:r w:rsidRPr="001C5193">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002D7A16">
        <w:rPr>
          <w:color w:val="333333"/>
          <w:sz w:val="24"/>
          <w:shd w:val="clear" w:color="auto" w:fill="FFFFFF"/>
          <w:lang w:val="ro-RO"/>
        </w:rPr>
        <w:t> </w:t>
      </w:r>
      <w:hyperlink r:id="rId3" w:history="1">
        <w:r w:rsidRPr="001C5193">
          <w:rPr>
            <w:rStyle w:val="Hyperlink"/>
            <w:sz w:val="24"/>
            <w:shd w:val="clear" w:color="auto" w:fill="FFFFFF"/>
            <w:lang w:val="ro-RO"/>
          </w:rPr>
          <w:t>http://data.europa.eu/eli/reg/2024/765/oj</w:t>
        </w:r>
      </w:hyperlink>
      <w:r w:rsidRPr="00137051">
        <w:rPr>
          <w:iCs/>
          <w:color w:val="333333"/>
          <w:sz w:val="24"/>
          <w:shd w:val="clear" w:color="auto" w:fill="FFFFFF"/>
          <w:lang w:val="ro-RO"/>
        </w:rPr>
        <w:t>)</w:t>
      </w:r>
      <w:r w:rsidRPr="001C5193">
        <w:rPr>
          <w:i/>
          <w:color w:val="333333"/>
          <w:sz w:val="24"/>
          <w:shd w:val="clear" w:color="auto" w:fill="FFFFFF"/>
          <w:lang w:val="ro-RO"/>
        </w:rPr>
        <w:t>.</w:t>
      </w:r>
    </w:p>
  </w:footnote>
  <w:footnote w:id="4">
    <w:p w14:paraId="62C4B76E" w14:textId="74FD660F"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r w:rsidRPr="001C5193">
        <w:rPr>
          <w:sz w:val="24"/>
          <w:lang w:val="ro-RO"/>
        </w:rPr>
        <w:t>JO L 433 I, 22.12.2020, p. 28, ELI:</w:t>
      </w:r>
      <w:r w:rsidR="002D7A16">
        <w:rPr>
          <w:sz w:val="24"/>
          <w:lang w:val="ro-RO"/>
        </w:rPr>
        <w:t> </w:t>
      </w:r>
      <w:hyperlink r:id="rId4" w:history="1">
        <w:r w:rsidRPr="001C5193">
          <w:rPr>
            <w:rStyle w:val="Hyperlink"/>
            <w:sz w:val="24"/>
            <w:lang w:val="ro-RO"/>
          </w:rPr>
          <w:t>http://data.europa.eu/eli/agree_interinstit/2020/1222/oj</w:t>
        </w:r>
      </w:hyperlink>
      <w:r w:rsidRPr="001C5193">
        <w:rPr>
          <w:sz w:val="24"/>
          <w:lang w:val="ro-RO"/>
        </w:rPr>
        <w:t>.</w:t>
      </w:r>
    </w:p>
  </w:footnote>
  <w:footnote w:id="5">
    <w:p w14:paraId="2FBDF19F" w14:textId="07CA2BBC"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r w:rsidRPr="001C5193">
        <w:rPr>
          <w:sz w:val="24"/>
          <w:lang w:val="ro-RO"/>
        </w:rPr>
        <w:t>În sensul articolului 3 din Regulamentul privind FEG.</w:t>
      </w:r>
    </w:p>
  </w:footnote>
  <w:footnote w:id="6">
    <w:p w14:paraId="24EB2180" w14:textId="7F13DE09"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r w:rsidRPr="001C5193">
        <w:rPr>
          <w:sz w:val="24"/>
          <w:lang w:val="ro-RO"/>
        </w:rPr>
        <w:t>Articolul 8 din Regulamentul privind CFM.</w:t>
      </w:r>
    </w:p>
  </w:footnote>
  <w:footnote w:id="7">
    <w:p w14:paraId="6B7102F0" w14:textId="3BA989D7" w:rsidR="00DC0048" w:rsidRPr="001C5193" w:rsidRDefault="00DC0048" w:rsidP="001C5193">
      <w:pPr>
        <w:pStyle w:val="FootnoteText"/>
        <w:ind w:left="567" w:hanging="567"/>
        <w:rPr>
          <w:sz w:val="24"/>
          <w:lang w:val="ro-RO"/>
        </w:rPr>
      </w:pPr>
      <w:r w:rsidRPr="001C5193">
        <w:rPr>
          <w:rStyle w:val="FootnoteReference"/>
          <w:sz w:val="24"/>
          <w:lang w:val="ro-RO"/>
        </w:rPr>
        <w:footnoteRef/>
      </w:r>
      <w:r w:rsidR="001C5193" w:rsidRPr="001C5193">
        <w:rPr>
          <w:sz w:val="24"/>
          <w:lang w:val="ro-RO"/>
        </w:rPr>
        <w:t xml:space="preserve"> </w:t>
      </w:r>
      <w:r w:rsidR="001C5193" w:rsidRPr="001C5193">
        <w:rPr>
          <w:sz w:val="24"/>
          <w:lang w:val="ro-RO"/>
        </w:rPr>
        <w:tab/>
      </w:r>
      <w:hyperlink r:id="rId5" w:history="1">
        <w:r w:rsidRPr="001C5193">
          <w:rPr>
            <w:rStyle w:val="Hyperlink"/>
            <w:sz w:val="24"/>
            <w:lang w:val="ro-RO"/>
          </w:rPr>
          <w:t>Banca Națională a Belgiei.</w:t>
        </w:r>
      </w:hyperlink>
      <w:r w:rsidR="00E255D1" w:rsidRPr="00137051">
        <w:rPr>
          <w:lang w:val="it-IT"/>
        </w:rPr>
        <w:t xml:space="preserve"> </w:t>
      </w:r>
      <w:hyperlink r:id="rId6" w:history="1">
        <w:r w:rsidRPr="001C5193">
          <w:rPr>
            <w:rStyle w:val="Hyperlink"/>
            <w:sz w:val="24"/>
            <w:lang w:val="ro-RO"/>
          </w:rPr>
          <w:t>Analiză economică pe 2024</w:t>
        </w:r>
      </w:hyperlink>
      <w:r w:rsidRPr="001C519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FBD4" w14:textId="77777777" w:rsidR="00064002" w:rsidRPr="001C51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BCE2" w14:textId="77777777" w:rsidR="00064002" w:rsidRPr="001C51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44C2" w14:textId="77777777" w:rsidR="00064002" w:rsidRPr="001C51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6485045">
    <w:abstractNumId w:val="9"/>
  </w:num>
  <w:num w:numId="2" w16cid:durableId="367607905">
    <w:abstractNumId w:val="9"/>
  </w:num>
  <w:num w:numId="3" w16cid:durableId="2144232302">
    <w:abstractNumId w:val="7"/>
  </w:num>
  <w:num w:numId="4" w16cid:durableId="1109661898">
    <w:abstractNumId w:val="7"/>
  </w:num>
  <w:num w:numId="5" w16cid:durableId="1155297064">
    <w:abstractNumId w:val="6"/>
  </w:num>
  <w:num w:numId="6" w16cid:durableId="2030064711">
    <w:abstractNumId w:val="6"/>
  </w:num>
  <w:num w:numId="7" w16cid:durableId="1010718950">
    <w:abstractNumId w:val="5"/>
  </w:num>
  <w:num w:numId="8" w16cid:durableId="291518790">
    <w:abstractNumId w:val="5"/>
  </w:num>
  <w:num w:numId="9" w16cid:durableId="199630361">
    <w:abstractNumId w:val="4"/>
  </w:num>
  <w:num w:numId="10" w16cid:durableId="542445871">
    <w:abstractNumId w:val="4"/>
  </w:num>
  <w:num w:numId="11" w16cid:durableId="1501770269">
    <w:abstractNumId w:val="8"/>
  </w:num>
  <w:num w:numId="12" w16cid:durableId="1171406265">
    <w:abstractNumId w:val="8"/>
  </w:num>
  <w:num w:numId="13" w16cid:durableId="1607343973">
    <w:abstractNumId w:val="3"/>
  </w:num>
  <w:num w:numId="14" w16cid:durableId="345786518">
    <w:abstractNumId w:val="3"/>
  </w:num>
  <w:num w:numId="15" w16cid:durableId="649528006">
    <w:abstractNumId w:val="2"/>
  </w:num>
  <w:num w:numId="16" w16cid:durableId="29261056">
    <w:abstractNumId w:val="2"/>
  </w:num>
  <w:num w:numId="17" w16cid:durableId="978220451">
    <w:abstractNumId w:val="1"/>
  </w:num>
  <w:num w:numId="18" w16cid:durableId="1168790436">
    <w:abstractNumId w:val="1"/>
  </w:num>
  <w:num w:numId="19" w16cid:durableId="540898842">
    <w:abstractNumId w:val="0"/>
  </w:num>
  <w:num w:numId="20" w16cid:durableId="1084257520">
    <w:abstractNumId w:val="0"/>
  </w:num>
  <w:num w:numId="21" w16cid:durableId="951739832">
    <w:abstractNumId w:val="9"/>
  </w:num>
  <w:num w:numId="22" w16cid:durableId="711658664">
    <w:abstractNumId w:val="7"/>
  </w:num>
  <w:num w:numId="23" w16cid:durableId="721947543">
    <w:abstractNumId w:val="6"/>
  </w:num>
  <w:num w:numId="24" w16cid:durableId="1320428192">
    <w:abstractNumId w:val="5"/>
  </w:num>
  <w:num w:numId="25" w16cid:durableId="1051884203">
    <w:abstractNumId w:val="4"/>
  </w:num>
  <w:num w:numId="26" w16cid:durableId="1257716138">
    <w:abstractNumId w:val="8"/>
  </w:num>
  <w:num w:numId="27" w16cid:durableId="768426502">
    <w:abstractNumId w:val="3"/>
  </w:num>
  <w:num w:numId="28" w16cid:durableId="1306275543">
    <w:abstractNumId w:val="2"/>
  </w:num>
  <w:num w:numId="29" w16cid:durableId="340471943">
    <w:abstractNumId w:val="1"/>
  </w:num>
  <w:num w:numId="30" w16cid:durableId="878207779">
    <w:abstractNumId w:val="0"/>
  </w:num>
  <w:num w:numId="31" w16cid:durableId="891623517">
    <w:abstractNumId w:val="9"/>
  </w:num>
  <w:num w:numId="32" w16cid:durableId="1121195094">
    <w:abstractNumId w:val="7"/>
  </w:num>
  <w:num w:numId="33" w16cid:durableId="920682157">
    <w:abstractNumId w:val="6"/>
  </w:num>
  <w:num w:numId="34" w16cid:durableId="186406197">
    <w:abstractNumId w:val="5"/>
  </w:num>
  <w:num w:numId="35" w16cid:durableId="1386249379">
    <w:abstractNumId w:val="4"/>
  </w:num>
  <w:num w:numId="36" w16cid:durableId="1965310693">
    <w:abstractNumId w:val="8"/>
  </w:num>
  <w:num w:numId="37" w16cid:durableId="1785886193">
    <w:abstractNumId w:val="3"/>
  </w:num>
  <w:num w:numId="38" w16cid:durableId="1049111188">
    <w:abstractNumId w:val="2"/>
  </w:num>
  <w:num w:numId="39" w16cid:durableId="1407922437">
    <w:abstractNumId w:val="1"/>
  </w:num>
  <w:num w:numId="40" w16cid:durableId="1778140088">
    <w:abstractNumId w:val="0"/>
  </w:num>
  <w:num w:numId="41" w16cid:durableId="94593947">
    <w:abstractNumId w:val="10"/>
  </w:num>
  <w:num w:numId="42" w16cid:durableId="2058776966">
    <w:abstractNumId w:val="10"/>
  </w:num>
  <w:num w:numId="43" w16cid:durableId="538444571">
    <w:abstractNumId w:val="10"/>
  </w:num>
  <w:num w:numId="44" w16cid:durableId="1016811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RO"/>
    <w:docVar w:name="dvnumam" w:val="0"/>
    <w:docVar w:name="dvpe" w:val="785.333"/>
    <w:docVar w:name="dvrapporteur" w:val="Raportor: "/>
    <w:docVar w:name="dvtitre" w:val="Rezoluția Parlamentului European din 29 aprilie 2026 referitoare la propunerea de decizie a Parlamentului European și a Consiliului privind mobilizarea Fondului european de ajustare la globalizare pentru lucrătorii disponibilizați în urma unei cereri din partea Belgiei – EGF/2025/008/BE/Liberty(COM(2026)0004 – C10-0062/2026 – 2026/0066(BUD))"/>
  </w:docVars>
  <w:rsids>
    <w:rsidRoot w:val="00250EEA"/>
    <w:rsid w:val="00002272"/>
    <w:rsid w:val="00064002"/>
    <w:rsid w:val="000677B9"/>
    <w:rsid w:val="000831BA"/>
    <w:rsid w:val="000A42CC"/>
    <w:rsid w:val="000E7DD9"/>
    <w:rsid w:val="0010095E"/>
    <w:rsid w:val="00125B37"/>
    <w:rsid w:val="00137051"/>
    <w:rsid w:val="00187494"/>
    <w:rsid w:val="001C5193"/>
    <w:rsid w:val="001F32AE"/>
    <w:rsid w:val="00243126"/>
    <w:rsid w:val="00250EEA"/>
    <w:rsid w:val="002767FF"/>
    <w:rsid w:val="0028030C"/>
    <w:rsid w:val="002B18FE"/>
    <w:rsid w:val="002B5493"/>
    <w:rsid w:val="002D7A16"/>
    <w:rsid w:val="00340955"/>
    <w:rsid w:val="00343214"/>
    <w:rsid w:val="00361C00"/>
    <w:rsid w:val="003728E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5B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CFA"/>
    <w:rsid w:val="00981893"/>
    <w:rsid w:val="00A1687D"/>
    <w:rsid w:val="00A43E52"/>
    <w:rsid w:val="00A4678D"/>
    <w:rsid w:val="00A778C7"/>
    <w:rsid w:val="00AB441E"/>
    <w:rsid w:val="00AB6293"/>
    <w:rsid w:val="00AE0928"/>
    <w:rsid w:val="00AF3B82"/>
    <w:rsid w:val="00B12E95"/>
    <w:rsid w:val="00B22876"/>
    <w:rsid w:val="00B558F0"/>
    <w:rsid w:val="00BD3DED"/>
    <w:rsid w:val="00BD48FE"/>
    <w:rsid w:val="00BD7BD8"/>
    <w:rsid w:val="00BE6ADC"/>
    <w:rsid w:val="00BF27ED"/>
    <w:rsid w:val="00C05BFE"/>
    <w:rsid w:val="00C23CD4"/>
    <w:rsid w:val="00C52E66"/>
    <w:rsid w:val="00C61C0C"/>
    <w:rsid w:val="00C941CB"/>
    <w:rsid w:val="00CC2357"/>
    <w:rsid w:val="00CF071A"/>
    <w:rsid w:val="00D058B8"/>
    <w:rsid w:val="00D56C11"/>
    <w:rsid w:val="00D834A0"/>
    <w:rsid w:val="00D872DF"/>
    <w:rsid w:val="00D91E21"/>
    <w:rsid w:val="00DA7FCD"/>
    <w:rsid w:val="00DC0048"/>
    <w:rsid w:val="00E255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88A3F"/>
  <w15:chartTrackingRefBased/>
  <w15:docId w15:val="{6059E684-12AA-43CE-8AFB-7A46CDE6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004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C0048"/>
    <w:pPr>
      <w:keepNext/>
      <w:spacing w:after="480"/>
      <w:jc w:val="center"/>
    </w:pPr>
    <w:rPr>
      <w:rFonts w:ascii="Arial" w:hAnsi="Arial" w:cs="Arial"/>
      <w:b/>
    </w:rPr>
  </w:style>
  <w:style w:type="paragraph" w:customStyle="1" w:styleId="NormalHanging12a">
    <w:name w:val="NormalHanging12a"/>
    <w:basedOn w:val="Normal"/>
    <w:link w:val="NormalHanging12aChar"/>
    <w:rsid w:val="00DC0048"/>
    <w:pPr>
      <w:spacing w:after="240"/>
      <w:ind w:left="567" w:hanging="567"/>
    </w:pPr>
  </w:style>
  <w:style w:type="paragraph" w:styleId="Header">
    <w:name w:val="header"/>
    <w:basedOn w:val="Normal"/>
    <w:link w:val="HeaderChar"/>
    <w:rsid w:val="00DC0048"/>
    <w:pPr>
      <w:tabs>
        <w:tab w:val="center" w:pos="4513"/>
        <w:tab w:val="right" w:pos="9026"/>
      </w:tabs>
    </w:pPr>
  </w:style>
  <w:style w:type="character" w:customStyle="1" w:styleId="HeaderChar">
    <w:name w:val="Header Char"/>
    <w:basedOn w:val="DefaultParagraphFont"/>
    <w:link w:val="Header"/>
    <w:rsid w:val="00DC0048"/>
    <w:rPr>
      <w:sz w:val="24"/>
      <w:lang w:val="ro-RO"/>
    </w:rPr>
  </w:style>
  <w:style w:type="paragraph" w:customStyle="1" w:styleId="EPFooter">
    <w:name w:val="EPFooter"/>
    <w:basedOn w:val="Normal"/>
    <w:rsid w:val="00DC0048"/>
    <w:pPr>
      <w:tabs>
        <w:tab w:val="center" w:pos="4535"/>
        <w:tab w:val="right" w:pos="9071"/>
      </w:tabs>
      <w:spacing w:before="240" w:after="240"/>
    </w:pPr>
    <w:rPr>
      <w:color w:val="010000"/>
      <w:sz w:val="22"/>
    </w:rPr>
  </w:style>
  <w:style w:type="paragraph" w:customStyle="1" w:styleId="EPComma">
    <w:name w:val="EPComma"/>
    <w:basedOn w:val="Normal"/>
    <w:rsid w:val="00DC0048"/>
    <w:pPr>
      <w:spacing w:before="480" w:after="240"/>
    </w:pPr>
  </w:style>
  <w:style w:type="character" w:styleId="Hyperlink">
    <w:name w:val="Hyperlink"/>
    <w:basedOn w:val="DefaultParagraphFont"/>
    <w:uiPriority w:val="99"/>
    <w:rsid w:val="00DC0048"/>
    <w:rPr>
      <w:color w:val="0563C1" w:themeColor="hyperlink"/>
      <w:u w:val="single"/>
    </w:rPr>
  </w:style>
  <w:style w:type="character" w:customStyle="1" w:styleId="NormalHanging12aChar">
    <w:name w:val="NormalHanging12a Char"/>
    <w:basedOn w:val="DefaultParagraphFont"/>
    <w:link w:val="NormalHanging12a"/>
    <w:locked/>
    <w:rsid w:val="00DC0048"/>
    <w:rPr>
      <w:sz w:val="24"/>
      <w:lang w:val="ro-RO"/>
    </w:rPr>
  </w:style>
  <w:style w:type="paragraph" w:customStyle="1" w:styleId="Institutionquisigne">
    <w:name w:val="Institution qui signe"/>
    <w:basedOn w:val="Normal"/>
    <w:next w:val="Personnequisigne"/>
    <w:rsid w:val="00DC004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C004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C004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C004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C004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C0048"/>
    <w:pPr>
      <w:widowControl/>
      <w:tabs>
        <w:tab w:val="left" w:pos="4252"/>
      </w:tabs>
    </w:pPr>
    <w:rPr>
      <w:rFonts w:eastAsiaTheme="minorHAnsi"/>
      <w:i/>
      <w:szCs w:val="22"/>
      <w:lang w:eastAsia="en-US"/>
    </w:rPr>
  </w:style>
  <w:style w:type="paragraph" w:customStyle="1" w:styleId="ManualConsidrant">
    <w:name w:val="Manual Considérant"/>
    <w:basedOn w:val="Normal"/>
    <w:rsid w:val="00DC0048"/>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DC0048"/>
    <w:rPr>
      <w:rFonts w:ascii="Arial" w:hAnsi="Arial" w:cs="Arial"/>
      <w:b/>
      <w:sz w:val="24"/>
      <w:lang w:val="ro-RO"/>
    </w:rPr>
  </w:style>
  <w:style w:type="paragraph" w:customStyle="1" w:styleId="Lignefinal">
    <w:name w:val="Ligne final"/>
    <w:basedOn w:val="Normal"/>
    <w:next w:val="Normal"/>
    <w:rsid w:val="00DC0048"/>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styleId="Footer">
    <w:name w:val="footer"/>
    <w:basedOn w:val="Normal"/>
    <w:link w:val="FooterChar"/>
    <w:rsid w:val="002D7A16"/>
    <w:pPr>
      <w:tabs>
        <w:tab w:val="center" w:pos="4513"/>
        <w:tab w:val="right" w:pos="9026"/>
      </w:tabs>
    </w:pPr>
  </w:style>
  <w:style w:type="character" w:customStyle="1" w:styleId="FooterChar">
    <w:name w:val="Footer Char"/>
    <w:basedOn w:val="DefaultParagraphFont"/>
    <w:link w:val="Footer"/>
    <w:rsid w:val="002D7A16"/>
    <w:rPr>
      <w:sz w:val="24"/>
      <w:lang w:val="ro-RO"/>
    </w:rPr>
  </w:style>
  <w:style w:type="paragraph" w:styleId="Revision">
    <w:name w:val="Revision"/>
    <w:hidden/>
    <w:uiPriority w:val="99"/>
    <w:semiHidden/>
    <w:rsid w:val="002D7A16"/>
    <w:rPr>
      <w:sz w:val="24"/>
      <w:lang w:val="ro-RO"/>
    </w:rPr>
  </w:style>
  <w:style w:type="character" w:styleId="CommentReference">
    <w:name w:val="annotation reference"/>
    <w:basedOn w:val="DefaultParagraphFont"/>
    <w:rsid w:val="00243126"/>
    <w:rPr>
      <w:sz w:val="16"/>
      <w:szCs w:val="16"/>
    </w:rPr>
  </w:style>
  <w:style w:type="paragraph" w:styleId="CommentText">
    <w:name w:val="annotation text"/>
    <w:basedOn w:val="Normal"/>
    <w:link w:val="CommentTextChar"/>
    <w:rsid w:val="00243126"/>
    <w:rPr>
      <w:sz w:val="20"/>
    </w:rPr>
  </w:style>
  <w:style w:type="character" w:customStyle="1" w:styleId="CommentTextChar">
    <w:name w:val="Comment Text Char"/>
    <w:basedOn w:val="DefaultParagraphFont"/>
    <w:link w:val="CommentText"/>
    <w:rsid w:val="00243126"/>
    <w:rPr>
      <w:lang w:val="ro-RO"/>
    </w:rPr>
  </w:style>
  <w:style w:type="paragraph" w:styleId="CommentSubject">
    <w:name w:val="annotation subject"/>
    <w:basedOn w:val="CommentText"/>
    <w:next w:val="CommentText"/>
    <w:link w:val="CommentSubjectChar"/>
    <w:rsid w:val="00243126"/>
    <w:rPr>
      <w:b/>
      <w:bCs/>
    </w:rPr>
  </w:style>
  <w:style w:type="character" w:customStyle="1" w:styleId="CommentSubjectChar">
    <w:name w:val="Comment Subject Char"/>
    <w:basedOn w:val="CommentTextChar"/>
    <w:link w:val="CommentSubject"/>
    <w:rsid w:val="00243126"/>
    <w:rPr>
      <w:b/>
      <w:bCs/>
      <w:lang w:val="ro-RO"/>
    </w:rPr>
  </w:style>
  <w:style w:type="character" w:customStyle="1" w:styleId="ATHeading3Char">
    <w:name w:val="AT Heading 3 Char"/>
    <w:link w:val="ATHeading3"/>
    <w:locked/>
    <w:rsid w:val="003728E6"/>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1873</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2026-07-15T13:48:00Z</dcterms:created>
  <dcterms:modified xsi:type="dcterms:W3CDTF">2026-07-15T13:48:00Z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P10_TA(2026)0145_</vt:lpwstr>
  </property>
  <property fmtid="{D5CDD505-2E9C-101B-9397-08002B2CF9AE}" pid="4" name="&lt;Type&gt;">
    <vt:lpwstr>RR</vt:lpwstr>
  </property>
</Properties>
</file>