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355" w14:paraId="6F1FE771" w14:textId="77777777" w:rsidTr="0010095E">
        <w:trPr>
          <w:trHeight w:hRule="exact" w:val="1418"/>
        </w:trPr>
        <w:tc>
          <w:tcPr>
            <w:tcW w:w="6804" w:type="dxa"/>
            <w:shd w:val="clear" w:color="auto" w:fill="auto"/>
            <w:vAlign w:val="center"/>
          </w:tcPr>
          <w:p w14:paraId="1AB1DD2E" w14:textId="77777777" w:rsidR="00751A4A" w:rsidRPr="00972355" w:rsidRDefault="00D237C2" w:rsidP="0010095E">
            <w:pPr>
              <w:pStyle w:val="EPName"/>
            </w:pPr>
            <w:r w:rsidRPr="00972355">
              <w:t>Evropski parlament</w:t>
            </w:r>
          </w:p>
          <w:p w14:paraId="347EEEF9" w14:textId="77777777" w:rsidR="00751A4A" w:rsidRPr="00972355" w:rsidRDefault="005F1B17" w:rsidP="005F1B17">
            <w:pPr>
              <w:pStyle w:val="EPTerm"/>
              <w:rPr>
                <w:rStyle w:val="HideTWBExt"/>
                <w:noProof w:val="0"/>
                <w:vanish w:val="0"/>
                <w:color w:val="auto"/>
              </w:rPr>
            </w:pPr>
            <w:r w:rsidRPr="00972355">
              <w:t>2024</w:t>
            </w:r>
            <w:r w:rsidR="00817416" w:rsidRPr="00972355">
              <w:t>-202</w:t>
            </w:r>
            <w:r w:rsidRPr="00972355">
              <w:t>9</w:t>
            </w:r>
          </w:p>
        </w:tc>
        <w:tc>
          <w:tcPr>
            <w:tcW w:w="2268" w:type="dxa"/>
            <w:shd w:val="clear" w:color="auto" w:fill="auto"/>
          </w:tcPr>
          <w:p w14:paraId="04A2A851" w14:textId="77777777" w:rsidR="00751A4A" w:rsidRPr="00972355" w:rsidRDefault="00187494" w:rsidP="0010095E">
            <w:pPr>
              <w:pStyle w:val="EPLogo"/>
            </w:pPr>
            <w:r w:rsidRPr="00972355">
              <w:rPr>
                <w:noProof/>
                <w:lang w:eastAsia="ja-JP"/>
              </w:rPr>
              <w:drawing>
                <wp:inline distT="0" distB="0" distL="0" distR="0" wp14:anchorId="201DDD74" wp14:editId="34C57E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FEC6D9" w14:textId="77777777" w:rsidR="00D058B8" w:rsidRPr="00972355" w:rsidRDefault="00D058B8" w:rsidP="004C5D52">
      <w:pPr>
        <w:pStyle w:val="LineTop"/>
      </w:pPr>
    </w:p>
    <w:p w14:paraId="0A1F42C9" w14:textId="77777777" w:rsidR="00680577" w:rsidRPr="00972355" w:rsidRDefault="00D237C2" w:rsidP="00680577">
      <w:pPr>
        <w:pStyle w:val="EPBodyTA1"/>
      </w:pPr>
      <w:r w:rsidRPr="00972355">
        <w:t>SPREJETA BESEDILA</w:t>
      </w:r>
    </w:p>
    <w:p w14:paraId="6C51C53A" w14:textId="77777777" w:rsidR="00D058B8" w:rsidRPr="00972355" w:rsidRDefault="00D058B8" w:rsidP="00D058B8">
      <w:pPr>
        <w:pStyle w:val="LineBottom"/>
      </w:pPr>
    </w:p>
    <w:p w14:paraId="1808225B" w14:textId="37791C27" w:rsidR="00D237C2" w:rsidRPr="00972355" w:rsidRDefault="00D237C2" w:rsidP="00D237C2">
      <w:pPr>
        <w:pStyle w:val="ATHeading1"/>
      </w:pPr>
      <w:bookmarkStart w:id="0" w:name="TANumber"/>
      <w:r w:rsidRPr="00972355">
        <w:t>P10_TA(2026)0</w:t>
      </w:r>
      <w:r w:rsidR="00685B4B">
        <w:t>145</w:t>
      </w:r>
      <w:bookmarkEnd w:id="0"/>
    </w:p>
    <w:p w14:paraId="0B1AC046" w14:textId="39AD4D18" w:rsidR="00D237C2" w:rsidRPr="00972355" w:rsidRDefault="00A61250" w:rsidP="00A61250">
      <w:pPr>
        <w:pStyle w:val="ATHeading2"/>
      </w:pPr>
      <w:bookmarkStart w:id="1" w:name="title"/>
      <w:r>
        <w:t>Uporaba Evropskega sklada za prilagoditev globalizaciji za presežne delavce: vloga EGF/2025/008 BE/</w:t>
      </w:r>
      <w:proofErr w:type="spellStart"/>
      <w:r>
        <w:t>Liberty</w:t>
      </w:r>
      <w:proofErr w:type="spellEnd"/>
      <w:r w:rsidR="00A75C5E">
        <w:t xml:space="preserve"> </w:t>
      </w:r>
      <w:r>
        <w:t>– Belgija</w:t>
      </w:r>
      <w:bookmarkEnd w:id="1"/>
    </w:p>
    <w:p w14:paraId="1C4EEE49" w14:textId="77777777" w:rsidR="00D237C2" w:rsidRPr="00972355" w:rsidRDefault="00D237C2" w:rsidP="00D237C2">
      <w:pPr>
        <w:rPr>
          <w:i/>
          <w:vanish/>
        </w:rPr>
      </w:pPr>
      <w:r w:rsidRPr="00972355">
        <w:rPr>
          <w:i/>
        </w:rPr>
        <w:fldChar w:fldCharType="begin"/>
      </w:r>
      <w:r w:rsidRPr="00972355">
        <w:rPr>
          <w:i/>
        </w:rPr>
        <w:instrText xml:space="preserve"> TC"(</w:instrText>
      </w:r>
      <w:bookmarkStart w:id="2" w:name="DocNumber"/>
      <w:r w:rsidRPr="00972355">
        <w:rPr>
          <w:i/>
        </w:rPr>
        <w:instrText>A10-0084/2026</w:instrText>
      </w:r>
      <w:bookmarkEnd w:id="2"/>
      <w:r w:rsidRPr="00972355">
        <w:rPr>
          <w:i/>
        </w:rPr>
        <w:instrText xml:space="preserve"> - Poročevalec: </w:instrText>
      </w:r>
      <w:proofErr w:type="spellStart"/>
      <w:r w:rsidRPr="00972355">
        <w:rPr>
          <w:i/>
        </w:rPr>
        <w:instrText>Matthias</w:instrText>
      </w:r>
      <w:proofErr w:type="spellEnd"/>
      <w:r w:rsidRPr="00972355">
        <w:rPr>
          <w:i/>
        </w:rPr>
        <w:instrText xml:space="preserve"> </w:instrText>
      </w:r>
      <w:proofErr w:type="spellStart"/>
      <w:r w:rsidRPr="00972355">
        <w:rPr>
          <w:i/>
        </w:rPr>
        <w:instrText>Ecke</w:instrText>
      </w:r>
      <w:proofErr w:type="spellEnd"/>
      <w:r w:rsidRPr="00972355">
        <w:rPr>
          <w:i/>
        </w:rPr>
        <w:instrText xml:space="preserve">)"\l3 \n&gt; \* MERGEFORMAT </w:instrText>
      </w:r>
      <w:r w:rsidRPr="00972355">
        <w:rPr>
          <w:i/>
        </w:rPr>
        <w:fldChar w:fldCharType="end"/>
      </w:r>
    </w:p>
    <w:p w14:paraId="1B182A7B" w14:textId="77777777" w:rsidR="00D237C2" w:rsidRPr="00972355" w:rsidRDefault="00D237C2" w:rsidP="00D237C2">
      <w:pPr>
        <w:rPr>
          <w:vanish/>
        </w:rPr>
      </w:pPr>
      <w:bookmarkStart w:id="3" w:name="Commission"/>
      <w:r w:rsidRPr="00972355">
        <w:rPr>
          <w:vanish/>
        </w:rPr>
        <w:t>Odbor za proračun</w:t>
      </w:r>
      <w:bookmarkEnd w:id="3"/>
    </w:p>
    <w:p w14:paraId="092280DC" w14:textId="77777777" w:rsidR="00D237C2" w:rsidRPr="00972355" w:rsidRDefault="00D237C2" w:rsidP="00D237C2">
      <w:pPr>
        <w:rPr>
          <w:vanish/>
        </w:rPr>
      </w:pPr>
      <w:bookmarkStart w:id="4" w:name="PE"/>
      <w:r w:rsidRPr="00972355">
        <w:rPr>
          <w:vanish/>
        </w:rPr>
        <w:t>PE785.333</w:t>
      </w:r>
      <w:bookmarkEnd w:id="4"/>
    </w:p>
    <w:p w14:paraId="0BB6390A" w14:textId="11422545" w:rsidR="00D237C2" w:rsidRPr="00972355" w:rsidRDefault="00A61250" w:rsidP="00D237C2">
      <w:pPr>
        <w:pStyle w:val="ATHeading3"/>
      </w:pPr>
      <w:bookmarkStart w:id="5" w:name="Sujet"/>
      <w:r>
        <w:t>R</w:t>
      </w:r>
      <w:r w:rsidR="00D237C2" w:rsidRPr="00972355">
        <w:t xml:space="preserve">esolucija Evropskega parlamenta z dne </w:t>
      </w:r>
      <w:r>
        <w:t>29.</w:t>
      </w:r>
      <w:r w:rsidRPr="00972355">
        <w:t xml:space="preserve"> </w:t>
      </w:r>
      <w:r>
        <w:t xml:space="preserve">aprila </w:t>
      </w:r>
      <w:r w:rsidR="00D237C2" w:rsidRPr="00972355">
        <w:t>2026 o predlogu sklepa Evropskega parlamenta in Sveta o uporabi Evropskega sklada za prilagoditev globalizaciji za presežne delavce na podlagi vloge Belgije – EGF/2025/008 BE/</w:t>
      </w:r>
      <w:proofErr w:type="spellStart"/>
      <w:r w:rsidR="00D237C2" w:rsidRPr="00972355">
        <w:t>Liberty</w:t>
      </w:r>
      <w:bookmarkEnd w:id="5"/>
      <w:proofErr w:type="spellEnd"/>
      <w:r w:rsidR="00D237C2" w:rsidRPr="00972355">
        <w:t xml:space="preserve"> </w:t>
      </w:r>
      <w:bookmarkStart w:id="6" w:name="References"/>
      <w:r w:rsidR="00D237C2" w:rsidRPr="00972355">
        <w:t>(COM(2026)0004 – C10-0062/2026 – 2026/0066(BUD))</w:t>
      </w:r>
      <w:bookmarkEnd w:id="6"/>
    </w:p>
    <w:p w14:paraId="69AEFB1F" w14:textId="77777777" w:rsidR="00DF3781" w:rsidRPr="00A75C5E" w:rsidRDefault="00DF3781" w:rsidP="00DF3781">
      <w:pPr>
        <w:pStyle w:val="EPComma"/>
        <w:rPr>
          <w:i/>
          <w:iCs/>
          <w:noProof/>
        </w:rPr>
      </w:pPr>
      <w:r w:rsidRPr="00A75C5E">
        <w:rPr>
          <w:i/>
          <w:iCs/>
        </w:rPr>
        <w:t>Evropski parlament,</w:t>
      </w:r>
    </w:p>
    <w:p w14:paraId="78E4C254" w14:textId="77777777" w:rsidR="00DF3781" w:rsidRPr="00972355" w:rsidRDefault="00DF3781" w:rsidP="00DF3781">
      <w:pPr>
        <w:pStyle w:val="NormalHanging12a"/>
        <w:rPr>
          <w:noProof/>
        </w:rPr>
      </w:pPr>
      <w:r w:rsidRPr="00972355">
        <w:t>–</w:t>
      </w:r>
      <w:r w:rsidRPr="00972355">
        <w:tab/>
        <w:t>ob upoštevanju predloga Komisije Evropskemu parlamentu in Svetu (COM(2026)0004 – C10</w:t>
      </w:r>
      <w:r w:rsidRPr="00972355">
        <w:noBreakHyphen/>
        <w:t>0062/2026),</w:t>
      </w:r>
    </w:p>
    <w:p w14:paraId="7B000A32" w14:textId="05860428" w:rsidR="00DF3781" w:rsidRPr="00972355" w:rsidRDefault="00DF3781" w:rsidP="00DF3781">
      <w:pPr>
        <w:pStyle w:val="NormalHanging12a"/>
      </w:pPr>
      <w:r w:rsidRPr="00972355">
        <w:t>–</w:t>
      </w:r>
      <w:r w:rsidRPr="00972355">
        <w:tab/>
        <w:t>ob upoštevanju Uredbe (EU) 2021/691 Evropskega parlamenta in Sveta z dne 28. aprila 2021 o Evropskem skladu za prilagoditev globalizaciji za presežne delavce (ESPG) in razveljavitvi Uredbe (EU) št. 1309/2013</w:t>
      </w:r>
      <w:r w:rsidRPr="00972355">
        <w:rPr>
          <w:vertAlign w:val="superscript"/>
        </w:rPr>
        <w:footnoteReference w:id="1"/>
      </w:r>
      <w:r w:rsidRPr="00972355">
        <w:t xml:space="preserve"> (</w:t>
      </w:r>
      <w:r w:rsidR="00A61250">
        <w:t xml:space="preserve">v nadaljnjem besedilu: </w:t>
      </w:r>
      <w:r w:rsidRPr="00972355">
        <w:t>uredba o ESPG),</w:t>
      </w:r>
    </w:p>
    <w:p w14:paraId="4B941FC4" w14:textId="3A1AA31A" w:rsidR="00DF3781" w:rsidRPr="00972355" w:rsidRDefault="00DF3781" w:rsidP="00DF3781">
      <w:pPr>
        <w:pStyle w:val="NormalHanging12a"/>
        <w:rPr>
          <w:noProof/>
        </w:rPr>
      </w:pPr>
      <w:r w:rsidRPr="00972355">
        <w:t>–</w:t>
      </w:r>
      <w:r w:rsidRPr="00972355">
        <w:tab/>
        <w:t>ob upoštevanju Uredbe Sveta (EU, Euratom) 2020/2093 z dne 17. decembra 2020 o določitvi večletnega finančnega okvira za obdobje 2021–</w:t>
      </w:r>
      <w:r w:rsidRPr="009E3A77">
        <w:t>2027</w:t>
      </w:r>
      <w:r w:rsidRPr="009E3A77">
        <w:rPr>
          <w:noProof/>
          <w:vertAlign w:val="superscript"/>
        </w:rPr>
        <w:footnoteReference w:id="2"/>
      </w:r>
      <w:r w:rsidR="009E3A77" w:rsidRPr="009E3A77">
        <w:t xml:space="preserve"> (v nadaljnjem besedilu: uredba o večletnem finančnem okviru)</w:t>
      </w:r>
      <w:r w:rsidRPr="009E3A77">
        <w:t>, kot je bila spremenjena z Uredbo (EU, Euratom) 2024/765</w:t>
      </w:r>
      <w:r w:rsidRPr="009E3A77">
        <w:rPr>
          <w:noProof/>
          <w:vertAlign w:val="superscript"/>
        </w:rPr>
        <w:footnoteReference w:id="3"/>
      </w:r>
      <w:r w:rsidRPr="009E3A77">
        <w:t>, in zlasti člena 8,</w:t>
      </w:r>
    </w:p>
    <w:p w14:paraId="0C9388EF" w14:textId="0D763250" w:rsidR="00DF3781" w:rsidRPr="00972355" w:rsidRDefault="00DF3781" w:rsidP="00DF3781">
      <w:pPr>
        <w:pStyle w:val="NormalHanging12a"/>
        <w:rPr>
          <w:noProof/>
        </w:rPr>
      </w:pPr>
      <w:r w:rsidRPr="00972355">
        <w:t>–</w:t>
      </w:r>
      <w:r w:rsidRPr="00972355">
        <w:tab/>
        <w:t xml:space="preserve">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w:t>
      </w:r>
      <w:r w:rsidRPr="00972355">
        <w:lastRenderedPageBreak/>
        <w:t>sredstev</w:t>
      </w:r>
      <w:r w:rsidRPr="00972355">
        <w:rPr>
          <w:rStyle w:val="FootnoteReference"/>
          <w:noProof/>
        </w:rPr>
        <w:footnoteReference w:id="4"/>
      </w:r>
      <w:r w:rsidRPr="00972355">
        <w:t>, in zlasti točke 9 Sporazuma,</w:t>
      </w:r>
    </w:p>
    <w:p w14:paraId="12F8ED6D" w14:textId="77777777" w:rsidR="00DF3781" w:rsidRPr="00972355" w:rsidRDefault="00DF3781" w:rsidP="00DF3781">
      <w:pPr>
        <w:pStyle w:val="NormalHanging12a"/>
      </w:pPr>
      <w:r w:rsidRPr="00972355">
        <w:t>–</w:t>
      </w:r>
      <w:r w:rsidRPr="00972355">
        <w:tab/>
        <w:t>ob upoštevanju evropskega stebra socialnih pravic,</w:t>
      </w:r>
    </w:p>
    <w:p w14:paraId="72B935B4" w14:textId="77777777" w:rsidR="00DF3781" w:rsidRPr="00972355" w:rsidRDefault="00DF3781" w:rsidP="00DF3781">
      <w:pPr>
        <w:pStyle w:val="NormalHanging12a"/>
      </w:pPr>
      <w:r w:rsidRPr="00972355">
        <w:t>–</w:t>
      </w:r>
      <w:r w:rsidRPr="00972355">
        <w:tab/>
        <w:t>ob upoštevanju pisma Odbora za zaposlovanje in socialne zadeve,</w:t>
      </w:r>
    </w:p>
    <w:p w14:paraId="464E22B1" w14:textId="77777777" w:rsidR="00DF3781" w:rsidRPr="00972355" w:rsidRDefault="00DF3781" w:rsidP="00DF3781">
      <w:pPr>
        <w:pStyle w:val="NormalHanging12a"/>
      </w:pPr>
      <w:r w:rsidRPr="00972355">
        <w:t>–</w:t>
      </w:r>
      <w:r w:rsidRPr="00972355">
        <w:tab/>
        <w:t>ob upoštevanju poročila Odbora za proračun (A10</w:t>
      </w:r>
      <w:r w:rsidRPr="00972355">
        <w:noBreakHyphen/>
        <w:t>0084/2026),</w:t>
      </w:r>
    </w:p>
    <w:p w14:paraId="3E95B425" w14:textId="77777777" w:rsidR="00DF3781" w:rsidRPr="00972355" w:rsidRDefault="00DF3781" w:rsidP="00DF3781">
      <w:pPr>
        <w:pStyle w:val="NormalHanging12a"/>
        <w:rPr>
          <w:noProof/>
        </w:rPr>
      </w:pPr>
      <w:r w:rsidRPr="00972355">
        <w:t>A.</w:t>
      </w:r>
      <w:r w:rsidRPr="00972355">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w:t>
      </w:r>
    </w:p>
    <w:p w14:paraId="102CD319" w14:textId="77777777" w:rsidR="00DF3781" w:rsidRPr="00972355" w:rsidRDefault="00DF3781" w:rsidP="00DF3781">
      <w:pPr>
        <w:pStyle w:val="NormalHanging12a"/>
        <w:rPr>
          <w:bCs/>
          <w:iCs/>
          <w:noProof/>
        </w:rPr>
      </w:pPr>
      <w:r w:rsidRPr="00972355">
        <w:t>B.</w:t>
      </w:r>
      <w:r w:rsidRPr="00972355">
        <w:tab/>
        <w:t xml:space="preserve">ker bi bilo treba podporo usmeriti v hitro ponovno vključevanje delavcev in zagotoviti, da usposabljanje, </w:t>
      </w:r>
      <w:proofErr w:type="spellStart"/>
      <w:r w:rsidRPr="00972355">
        <w:t>preusposabljanje</w:t>
      </w:r>
      <w:proofErr w:type="spellEnd"/>
      <w:r w:rsidRPr="00972355">
        <w:t xml:space="preserve"> in poklicno usposabljanje delavce bolje opremijo z znanji in spretnostmi, usklajenimi s potrebami trga dela;</w:t>
      </w:r>
    </w:p>
    <w:p w14:paraId="22AB2FE3" w14:textId="77777777" w:rsidR="00DF3781" w:rsidRPr="00972355" w:rsidRDefault="00DF3781" w:rsidP="00DF3781">
      <w:pPr>
        <w:pStyle w:val="NormalHanging12a"/>
      </w:pPr>
      <w:r w:rsidRPr="00972355">
        <w:t>C.</w:t>
      </w:r>
      <w:r w:rsidRPr="00972355">
        <w:tab/>
        <w:t>ker je Belgija vložila vlogo EGF/2025/008 BE/</w:t>
      </w:r>
      <w:proofErr w:type="spellStart"/>
      <w:r w:rsidRPr="00972355">
        <w:t>Liberty</w:t>
      </w:r>
      <w:proofErr w:type="spellEnd"/>
      <w:r w:rsidRPr="00972355">
        <w:t xml:space="preserve"> za finančni prispevek iz ESPG zaradi odpustitve 507 presežnih delavcev</w:t>
      </w:r>
      <w:r w:rsidRPr="00972355">
        <w:rPr>
          <w:vertAlign w:val="superscript"/>
        </w:rPr>
        <w:footnoteReference w:id="5"/>
      </w:r>
      <w:r w:rsidRPr="00972355">
        <w:t xml:space="preserve"> v podjetju </w:t>
      </w:r>
      <w:proofErr w:type="spellStart"/>
      <w:r w:rsidRPr="00972355">
        <w:t>Liberty</w:t>
      </w:r>
      <w:proofErr w:type="spellEnd"/>
      <w:r w:rsidRPr="00972355">
        <w:t xml:space="preserve"> </w:t>
      </w:r>
      <w:proofErr w:type="spellStart"/>
      <w:r w:rsidRPr="00972355">
        <w:t>Galați</w:t>
      </w:r>
      <w:proofErr w:type="spellEnd"/>
      <w:r w:rsidRPr="00972355">
        <w:t xml:space="preserve"> </w:t>
      </w:r>
      <w:proofErr w:type="spellStart"/>
      <w:r w:rsidRPr="00972355">
        <w:t>Belgian</w:t>
      </w:r>
      <w:proofErr w:type="spellEnd"/>
      <w:r w:rsidRPr="00972355">
        <w:t xml:space="preserve"> </w:t>
      </w:r>
      <w:proofErr w:type="spellStart"/>
      <w:r w:rsidRPr="00972355">
        <w:t>Branch</w:t>
      </w:r>
      <w:proofErr w:type="spellEnd"/>
      <w:r w:rsidRPr="00972355">
        <w:t xml:space="preserve"> (</w:t>
      </w:r>
      <w:proofErr w:type="spellStart"/>
      <w:r w:rsidRPr="00972355">
        <w:t>Liberty</w:t>
      </w:r>
      <w:proofErr w:type="spellEnd"/>
      <w:r w:rsidRPr="00972355">
        <w:t>) v Belgiji v gospodarskem sektorju, razvrščenem v oddelek 24 NACE Revizija 2 (Proizvodnja kovin), v Province Liège (BE33), Valonija, v referenčnem obdobju od 24. aprila 2025 do 24. avgusta 2025;</w:t>
      </w:r>
    </w:p>
    <w:p w14:paraId="1C58EE16" w14:textId="77777777" w:rsidR="00DF3781" w:rsidRPr="00972355" w:rsidRDefault="00DF3781" w:rsidP="00DF3781">
      <w:pPr>
        <w:pStyle w:val="NormalHanging12a"/>
      </w:pPr>
      <w:r w:rsidRPr="00972355">
        <w:t>D.</w:t>
      </w:r>
      <w:r w:rsidRPr="00972355">
        <w:tab/>
        <w:t>ker vloga temelji na merilih za pomoč iz člena 4(2), točka (a), uredbe o ESPG, ki zahteva prenehanje opravljanja dejavnosti za vsaj 200 presežnih delavcev ali samozaposlenih oseb v štirimesečnem referenčnem obdobju v podjetju v državi članici;</w:t>
      </w:r>
    </w:p>
    <w:p w14:paraId="1AB27492" w14:textId="77777777" w:rsidR="00DF3781" w:rsidRPr="00972355" w:rsidRDefault="00DF3781" w:rsidP="00DF3781">
      <w:pPr>
        <w:pStyle w:val="NormalHanging12a"/>
        <w:rPr>
          <w:noProof/>
        </w:rPr>
      </w:pPr>
      <w:r w:rsidRPr="00972355">
        <w:t>E.</w:t>
      </w:r>
      <w:r w:rsidRPr="00972355">
        <w:tab/>
        <w:t xml:space="preserve">ker je gospodarsko sodišče v Liègeu 22. aprila 2025 razglasilo stečaj podjetja </w:t>
      </w:r>
      <w:proofErr w:type="spellStart"/>
      <w:r w:rsidRPr="00972355">
        <w:t>Liberty</w:t>
      </w:r>
      <w:proofErr w:type="spellEnd"/>
      <w:r w:rsidRPr="00972355">
        <w:t>; ker se v Belgiji število stečajev od leta 2022 povečuje;</w:t>
      </w:r>
    </w:p>
    <w:p w14:paraId="4B2ECFD1" w14:textId="77777777" w:rsidR="00DF3781" w:rsidRPr="00972355" w:rsidRDefault="00DF3781" w:rsidP="00DF3781">
      <w:pPr>
        <w:pStyle w:val="NormalHanging12a"/>
      </w:pPr>
      <w:r w:rsidRPr="00972355">
        <w:t>F.</w:t>
      </w:r>
      <w:r w:rsidRPr="00972355">
        <w:tab/>
        <w:t xml:space="preserve">ker nacionalno predhodno financiranje in sofinanciranje ukrepov zagotavljata regiji Valonija in Le </w:t>
      </w:r>
      <w:proofErr w:type="spellStart"/>
      <w:r w:rsidRPr="00972355">
        <w:t>Forem</w:t>
      </w:r>
      <w:proofErr w:type="spellEnd"/>
      <w:r w:rsidRPr="00972355">
        <w:t>;</w:t>
      </w:r>
    </w:p>
    <w:p w14:paraId="5DE76967" w14:textId="77777777" w:rsidR="00DF3781" w:rsidRPr="00972355" w:rsidRDefault="00DF3781" w:rsidP="00DF3781">
      <w:pPr>
        <w:pStyle w:val="NormalHanging12a"/>
      </w:pPr>
      <w:r w:rsidRPr="00972355">
        <w:t>G.</w:t>
      </w:r>
      <w:r w:rsidRPr="00972355">
        <w:tab/>
        <w:t>ker so bile izpolnjene zahteve glede kolektivnega odpuščanja, določene v zakonodaji Unije in v nacionalni zakonodaji;</w:t>
      </w:r>
    </w:p>
    <w:p w14:paraId="11C38484" w14:textId="77777777" w:rsidR="00DF3781" w:rsidRPr="00972355" w:rsidRDefault="00DF3781" w:rsidP="00DF3781">
      <w:pPr>
        <w:pStyle w:val="NormalHanging12a"/>
      </w:pPr>
      <w:r w:rsidRPr="00972355">
        <w:t>H.</w:t>
      </w:r>
      <w:r w:rsidRPr="00972355">
        <w:tab/>
        <w:t>ker bi morali biti finančni prispevki iz ESPG usmerjeni predvsem v aktivne ukrepe politike trga dela in prilagojene storitve, katerih cilj je hitra ponovna vključitev upravičencev na trg dela, hkrati pa se jim nudi usposabljanja, da bi lažje dostopali do trga dela;</w:t>
      </w:r>
    </w:p>
    <w:p w14:paraId="14BF653E" w14:textId="77777777" w:rsidR="00DF3781" w:rsidRPr="00972355" w:rsidRDefault="00DF3781" w:rsidP="00DF3781">
      <w:pPr>
        <w:pStyle w:val="NormalHanging12a"/>
      </w:pPr>
      <w:r w:rsidRPr="00972355">
        <w:t>I.</w:t>
      </w:r>
      <w:r w:rsidRPr="00972355">
        <w:tab/>
        <w:t>ker sredstva ESPG ne presegajo najvišjega letnega zneska 30 milijonov EUR (v cenah iz leta 2018)</w:t>
      </w:r>
      <w:r w:rsidRPr="00972355">
        <w:rPr>
          <w:rStyle w:val="FootnoteReference"/>
        </w:rPr>
        <w:footnoteReference w:id="6"/>
      </w:r>
      <w:r w:rsidRPr="00972355">
        <w:t>;</w:t>
      </w:r>
    </w:p>
    <w:p w14:paraId="0D9BB239" w14:textId="77777777" w:rsidR="00DF3781" w:rsidRPr="00972355" w:rsidRDefault="00DF3781" w:rsidP="00DF3781">
      <w:pPr>
        <w:pStyle w:val="NormalHanging12a"/>
      </w:pPr>
      <w:r w:rsidRPr="00972355">
        <w:t>1.</w:t>
      </w:r>
      <w:r w:rsidRPr="00972355">
        <w:tab/>
        <w:t xml:space="preserve">se strinja s Komisijo, da so pogoji iz uredbe o ESPG in zlasti člena 4(2), točka (a), izpolnjeni in da je Belgija na podlagi te uredbe upravičena do finančnega prispevka v znesku 2 033 869 EUR, kar je 85 % skupnih stroškov v znesku 2 392 788 EUR, od </w:t>
      </w:r>
      <w:r w:rsidRPr="00972355">
        <w:lastRenderedPageBreak/>
        <w:t>česar stroški prilagojenih storitev znašajo 2 358 922 EUR, stroški priprave, upravljanja, informiranja in obveščanja javnosti ter nadzora in poročanja pa 33 866 EUR;</w:t>
      </w:r>
    </w:p>
    <w:p w14:paraId="2910FF1D" w14:textId="77777777" w:rsidR="00DF3781" w:rsidRPr="00972355" w:rsidRDefault="00DF3781" w:rsidP="00DF3781">
      <w:pPr>
        <w:pStyle w:val="NormalHanging12a"/>
      </w:pPr>
      <w:r w:rsidRPr="00972355">
        <w:t>2.</w:t>
      </w:r>
      <w:r w:rsidRPr="00972355">
        <w:tab/>
        <w:t xml:space="preserve">ugotavlja, da so belgijski organi vlogo predložili 13. novembra 2025, Komisija pa je na osnovi dodatnih informacij, ki jih je posredovala Belgija, oceno te vloge dokončala in jo posredovala Parlamentu 2. marca 2026; poudarja, da je treba skrajšati čas med vlogo za sredstva ESPG in sklepom o financiranju, hkrati pa zaščititi proračunske pravice Parlamenta; </w:t>
      </w:r>
    </w:p>
    <w:p w14:paraId="0C17BD2D" w14:textId="77777777" w:rsidR="00DF3781" w:rsidRPr="00972355" w:rsidRDefault="00DF3781" w:rsidP="00DF3781">
      <w:pPr>
        <w:pStyle w:val="NormalHanging12a"/>
      </w:pPr>
      <w:r w:rsidRPr="00972355">
        <w:t>3.</w:t>
      </w:r>
      <w:r w:rsidRPr="00972355">
        <w:tab/>
        <w:t xml:space="preserve">ugotavlja, da se vloga nanaša na 507 ciljnih upravičencev, ki so postali presežni v podjetju </w:t>
      </w:r>
      <w:proofErr w:type="spellStart"/>
      <w:r w:rsidRPr="00972355">
        <w:t>Liberty</w:t>
      </w:r>
      <w:proofErr w:type="spellEnd"/>
      <w:r w:rsidRPr="00972355">
        <w:t>;</w:t>
      </w:r>
    </w:p>
    <w:p w14:paraId="05C11F53" w14:textId="53635935" w:rsidR="00DF3781" w:rsidRPr="00972355" w:rsidRDefault="00DF3781" w:rsidP="00DF3781">
      <w:pPr>
        <w:pStyle w:val="NormalHanging12a"/>
      </w:pPr>
      <w:r w:rsidRPr="00972355">
        <w:t>4.</w:t>
      </w:r>
      <w:r w:rsidRPr="00972355">
        <w:tab/>
        <w:t xml:space="preserve">ugotavlja, da se je podjetje </w:t>
      </w:r>
      <w:proofErr w:type="spellStart"/>
      <w:r w:rsidRPr="00972355">
        <w:t>Liberty</w:t>
      </w:r>
      <w:proofErr w:type="spellEnd"/>
      <w:r w:rsidRPr="00972355">
        <w:t xml:space="preserve"> pred razglasitvijo stečaja spoprijemalo z večletnimi finančnimi težavami zaradi neugodnih razmer na trgu jekla, motenj v dobavni verigi, povezanih s covidom-19, in visokih cen energije, ki so sledile po ruski voj</w:t>
      </w:r>
      <w:r w:rsidR="00CD027D">
        <w:t>n</w:t>
      </w:r>
      <w:r w:rsidRPr="00972355">
        <w:t xml:space="preserve">i agresiji proti Ukrajini, skupaj z odvisnostjo </w:t>
      </w:r>
      <w:r w:rsidR="00CD027D">
        <w:t>Unije</w:t>
      </w:r>
      <w:r w:rsidR="00CD027D" w:rsidRPr="00972355">
        <w:t xml:space="preserve"> </w:t>
      </w:r>
      <w:r w:rsidRPr="00972355">
        <w:t xml:space="preserve">od uvoženih fosilnih goriv in nezadostno uporabo cenejših virov energije; ugotavlja, da linije za galvanizacijo podjetja </w:t>
      </w:r>
      <w:proofErr w:type="spellStart"/>
      <w:r w:rsidRPr="00972355">
        <w:t>Liberty</w:t>
      </w:r>
      <w:proofErr w:type="spellEnd"/>
      <w:r w:rsidRPr="00972355">
        <w:t xml:space="preserve"> </w:t>
      </w:r>
      <w:proofErr w:type="spellStart"/>
      <w:r w:rsidRPr="00972355">
        <w:t>Steel</w:t>
      </w:r>
      <w:proofErr w:type="spellEnd"/>
      <w:r w:rsidRPr="00972355">
        <w:t xml:space="preserve"> Liège od decembra 2021 niso obratovale, predvsem zaradi pomanjkanja surovin, kar je sprožilo prestrukturiranje, ki je leta 2023 privedlo do njenega pravnega prenosa na podjetje </w:t>
      </w:r>
      <w:proofErr w:type="spellStart"/>
      <w:r w:rsidRPr="00972355">
        <w:t>Liberty</w:t>
      </w:r>
      <w:proofErr w:type="spellEnd"/>
      <w:r w:rsidRPr="00972355">
        <w:t xml:space="preserve"> </w:t>
      </w:r>
      <w:proofErr w:type="spellStart"/>
      <w:r w:rsidRPr="00972355">
        <w:t>Galați</w:t>
      </w:r>
      <w:proofErr w:type="spellEnd"/>
      <w:r w:rsidRPr="00972355">
        <w:t>; obžaluje, da se proizvodna dejavnost kljub prevzemu ni obnovila in da so se razmere tako zaostrile, da je prišlo do stečaja;</w:t>
      </w:r>
    </w:p>
    <w:p w14:paraId="5CDB5A90" w14:textId="77777777" w:rsidR="00DF3781" w:rsidRPr="00972355" w:rsidRDefault="00DF3781" w:rsidP="00DF3781">
      <w:pPr>
        <w:pStyle w:val="NormalHanging12a"/>
        <w:rPr>
          <w:noProof/>
        </w:rPr>
      </w:pPr>
      <w:r w:rsidRPr="00972355">
        <w:t>5.</w:t>
      </w:r>
      <w:r w:rsidRPr="00972355">
        <w:tab/>
        <w:t xml:space="preserve">ugotavlja, da so težave, s katerimi se je spopadalo podjetje </w:t>
      </w:r>
      <w:proofErr w:type="spellStart"/>
      <w:r w:rsidRPr="00972355">
        <w:t>Liberty</w:t>
      </w:r>
      <w:proofErr w:type="spellEnd"/>
      <w:r w:rsidRPr="00972355">
        <w:t xml:space="preserve"> </w:t>
      </w:r>
      <w:proofErr w:type="spellStart"/>
      <w:r w:rsidRPr="00972355">
        <w:t>Steel</w:t>
      </w:r>
      <w:proofErr w:type="spellEnd"/>
      <w:r w:rsidRPr="00972355">
        <w:t xml:space="preserve">, povezane tudi z dejavniki, specifičnimi za to podjetje, potem ko jo je konglomerat GFG </w:t>
      </w:r>
      <w:proofErr w:type="spellStart"/>
      <w:r w:rsidRPr="00972355">
        <w:t>Alliance</w:t>
      </w:r>
      <w:proofErr w:type="spellEnd"/>
      <w:r w:rsidRPr="00972355">
        <w:t xml:space="preserve"> prevzel od družbe </w:t>
      </w:r>
      <w:proofErr w:type="spellStart"/>
      <w:r w:rsidRPr="00972355">
        <w:t>ArcelorMittal</w:t>
      </w:r>
      <w:proofErr w:type="spellEnd"/>
      <w:r w:rsidRPr="00972355">
        <w:t>; poudarja, da je resno zaskrbljen zaradi finančne vzdržnosti poslovnega modela in neizpolnjevanja naložbenih zavez, kar je prispevalo k poslabšanju gospodarskega položaja obrata in posledičnemu odpuščanju;</w:t>
      </w:r>
    </w:p>
    <w:p w14:paraId="662E34FB" w14:textId="2562274A" w:rsidR="00DF3781" w:rsidRPr="00972355" w:rsidRDefault="00DF3781" w:rsidP="00DF3781">
      <w:pPr>
        <w:pStyle w:val="NormalHanging12a"/>
        <w:rPr>
          <w:b/>
          <w:bCs/>
          <w:i/>
          <w:iCs/>
        </w:rPr>
      </w:pPr>
      <w:bookmarkStart w:id="7" w:name="_Hlk225497832"/>
      <w:r w:rsidRPr="00972355">
        <w:t>6.</w:t>
      </w:r>
      <w:r w:rsidRPr="00972355">
        <w:tab/>
        <w:t xml:space="preserve">ugotavlja, da je regija Valonija doživela proces </w:t>
      </w:r>
      <w:proofErr w:type="spellStart"/>
      <w:r w:rsidRPr="00972355">
        <w:t>deindustrializacije</w:t>
      </w:r>
      <w:proofErr w:type="spellEnd"/>
      <w:r w:rsidRPr="00972355">
        <w:t xml:space="preserve"> in gospodarske preobrazbe</w:t>
      </w:r>
      <w:r w:rsidRPr="00972355">
        <w:rPr>
          <w:rStyle w:val="FootnoteReference"/>
        </w:rPr>
        <w:footnoteReference w:id="7"/>
      </w:r>
      <w:r w:rsidRPr="00972355">
        <w:t xml:space="preserve">; ugotavlja, da stečaj podjetja </w:t>
      </w:r>
      <w:proofErr w:type="spellStart"/>
      <w:r w:rsidRPr="00972355">
        <w:t>Liberty</w:t>
      </w:r>
      <w:proofErr w:type="spellEnd"/>
      <w:r w:rsidRPr="00972355">
        <w:t xml:space="preserve"> pomeni velik družbeni pretres za Valonijo, </w:t>
      </w:r>
      <w:bookmarkEnd w:id="7"/>
      <w:r w:rsidRPr="00972355">
        <w:t>saj je trg dela te regije že tako oslabljen zaradi drugih prestrukturiranj; poudarja, da je jeklarski sektor še vedno pomemben gospodarski sektor za Belgijo, saj je delež delovnih mest v jeklarskem sektorju na prebivalca še vedno visok; poziva belgijske organe, naj zagotovijo posebno podporo, prilagojeno tem profilom, da bi delavcem pomagali pri nadaljnjem razvoju potrebnih znanj in spretnosti za iskanje novih kakovostnih delovnih mest, hkrati pa sprejeli ukrepe za zmanjšanje stečajev in odpravo socialnih razlik, ki povzročajo izključitev delovne sile; poudarja, da Unija ohranja podjetjem prijazno okolje, ki spodbuja gospodarsko rast in inovacije, podpira tehnološki razvoj, krepi konkurenčnost in zmanjšuje nepotrebna regulativna bremena ter poenostavlja birokratske postopke, ter poudarja potrebo po politikah, ki spodbujajo industrijsko konkurenčnost, teritorialno, ekonomsko in socialno kohezijo ter regionalni razvoj; poudarja pomen konkurenčnega in odpornega evropskega jeklarskega sektorja kot temelja za močno in visokokakovostno industrijo ter osrednjega stebra strateške avtonomije Unije;</w:t>
      </w:r>
    </w:p>
    <w:p w14:paraId="15B365E4" w14:textId="77777777" w:rsidR="00DF3781" w:rsidRPr="00972355" w:rsidRDefault="00DF3781" w:rsidP="00DF3781">
      <w:pPr>
        <w:pStyle w:val="NormalHanging12a"/>
      </w:pPr>
      <w:r w:rsidRPr="00972355">
        <w:t>7.</w:t>
      </w:r>
      <w:r w:rsidRPr="00972355">
        <w:tab/>
        <w:t xml:space="preserve">opozarja, da je vsak četrti prijavljeni iskalec zaposlitve v Valoniji starejši od 50 let in se spopada z večjimi ovirami pri ponovnem vstopu na trg dela; ugotavlja, da se kljub visoki specializaciji delavci podjetja </w:t>
      </w:r>
      <w:proofErr w:type="spellStart"/>
      <w:r w:rsidRPr="00972355">
        <w:t>Liberty</w:t>
      </w:r>
      <w:proofErr w:type="spellEnd"/>
      <w:r w:rsidRPr="00972355">
        <w:t xml:space="preserve"> pri prehajanju med zaposlitvami srečujejo z izzivi zaradi visoke starosti (52 % delavcev je starih 55 let ali več); ugotavlja, da ima </w:t>
      </w:r>
      <w:r w:rsidRPr="00972355">
        <w:lastRenderedPageBreak/>
        <w:t>69 % presežnih delavcev nizko stopnjo izobrazbe;</w:t>
      </w:r>
    </w:p>
    <w:p w14:paraId="1E58941A" w14:textId="4189FDFA" w:rsidR="00DF3781" w:rsidRPr="00972355" w:rsidRDefault="00DF3781" w:rsidP="00DF3781">
      <w:pPr>
        <w:pStyle w:val="NormalHanging12a"/>
      </w:pPr>
      <w:bookmarkStart w:id="8" w:name="_Hlk226546977"/>
      <w:r w:rsidRPr="00972355">
        <w:t>8.</w:t>
      </w:r>
      <w:r w:rsidRPr="00972355">
        <w:tab/>
        <w:t xml:space="preserve">opozarja, da v dogovoru s sindikati in regionalnimi organi prilagojene storitve, ki bodo zagotovljene delavcem, vključujejo naslednje ukrepe: iskanje nadomestne zaposlitve in karierna orientacija: usposabljanje, </w:t>
      </w:r>
      <w:proofErr w:type="spellStart"/>
      <w:r w:rsidRPr="00972355">
        <w:t>preusposabljanje</w:t>
      </w:r>
      <w:proofErr w:type="spellEnd"/>
      <w:r w:rsidRPr="00972355">
        <w:t xml:space="preserve"> in poklicno usposabljanje, vključno z znanji in spretnostmi na področju informacijske tehnologije; podpora pri ustanavljanju podjetja; prispevek za ustanovitev podjetja; spodbude in druge oblike pomoči; poudarja, da je treba povečati naložbe v inovacije, znanja in spretnosti ter modernizacijo industrije, da bi okrepili konkurenčnost evropske industrije in zagotovili, da bodo delavci pripravljeni na spreminjajoče se potrebe trga dela;</w:t>
      </w:r>
      <w:bookmarkEnd w:id="8"/>
    </w:p>
    <w:p w14:paraId="47366CBB" w14:textId="77777777" w:rsidR="00DF3781" w:rsidRPr="00972355" w:rsidRDefault="00DF3781" w:rsidP="00DF3781">
      <w:pPr>
        <w:pStyle w:val="NormalHanging12a"/>
      </w:pPr>
      <w:r w:rsidRPr="00972355">
        <w:t>9.</w:t>
      </w:r>
      <w:r w:rsidRPr="00972355">
        <w:tab/>
        <w:t>poudarja pomen spodbujanja visokokakovostnih, v prihodnost usmerjenih delovnih mest, ki krepijo konkurenčnost, spodbujajo digitalno preobrazbo in izpolnjujejo zahteve trga dela, da se zagotovi dolgoročna gospodarska in socialna odpornost; zato meni, da je treba mobilizacijo sredstev ESPG vključiti v širši politični odziv na vseh političnih ravneh, da bi prizadetim delavcem zagotovili ustrezne priložnosti v skladu z njihovimi kvalifikacijami ter znanji in spretnostmi; opozarja tudi, da je ESPG instrument solidarnosti in pravičnega prehoda ter da mora biti glavna naloga Unije predvsem preprečiti takšna zapiranja;</w:t>
      </w:r>
    </w:p>
    <w:p w14:paraId="0DF6201F" w14:textId="77777777" w:rsidR="00DF3781" w:rsidRPr="00972355" w:rsidRDefault="00DF3781" w:rsidP="00DF3781">
      <w:pPr>
        <w:pStyle w:val="NormalHanging12a"/>
      </w:pPr>
      <w:r w:rsidRPr="00972355">
        <w:t>10.</w:t>
      </w:r>
      <w:r w:rsidRPr="00972355">
        <w:tab/>
        <w:t xml:space="preserve">poudarja pomen krepitve industrijske konkurenčnosti Unije in spodbujanja naložb v strateške industrijske sektorje, da bi preprečili nadaljnjo </w:t>
      </w:r>
      <w:proofErr w:type="spellStart"/>
      <w:r w:rsidRPr="00972355">
        <w:t>deindustrializacijo</w:t>
      </w:r>
      <w:proofErr w:type="spellEnd"/>
      <w:r w:rsidRPr="00972355">
        <w:t xml:space="preserve"> in odpuščanja in podprli ustvarjanje delovnih mest; poudarja, da je potreben prehod na energijo iz obnovljivih virov, skupaj z drugimi ukrepi za zagotovitev dostopnih cen energije;</w:t>
      </w:r>
    </w:p>
    <w:p w14:paraId="363B051A" w14:textId="77777777" w:rsidR="00DF3781" w:rsidRPr="00972355" w:rsidRDefault="00DF3781" w:rsidP="00DF3781">
      <w:pPr>
        <w:pStyle w:val="NormalHanging12a"/>
        <w:rPr>
          <w:bCs/>
          <w:iCs/>
        </w:rPr>
      </w:pPr>
      <w:r w:rsidRPr="00972355">
        <w:t>11.</w:t>
      </w:r>
      <w:r w:rsidRPr="00972355">
        <w:tab/>
        <w:t>poudarja, da morajo belgijski organi zagotoviti prepoznavnost financiranja Unije in poudariti njegovo dodano vrednost, tako da upravičencem, regionalnim in lokalnim organom, socialnim partnerjem in širši javnosti zagotovijo učinkovite in ciljno usmerjene informacije;</w:t>
      </w:r>
    </w:p>
    <w:p w14:paraId="113F86FF" w14:textId="77777777" w:rsidR="00DF3781" w:rsidRPr="00972355" w:rsidRDefault="00DF3781" w:rsidP="00DF3781">
      <w:pPr>
        <w:pStyle w:val="NormalHanging12a"/>
      </w:pPr>
      <w:r w:rsidRPr="00972355">
        <w:t>12.</w:t>
      </w:r>
      <w:r w:rsidRPr="00972355">
        <w:tab/>
        <w:t>poziva, naj se skupaj s socialnimi partnerji izvedejo temeljite končne ocene izvedenih ukrepov, vključno z jasnimi in preglednimi informacijami o tem, kako so bila sredstva porabljena, ponovno vključitvijo delavcev na trg dela in tem, ali so bili doseženi cilji ESPG; v zvezi s tem poudarja pomen rednega spremljanja ukrepov, ki se financirajo iz ESPG, da bi ocenili njihovo učinkovitost;</w:t>
      </w:r>
    </w:p>
    <w:p w14:paraId="4D2AA23A" w14:textId="77777777" w:rsidR="00DF3781" w:rsidRPr="00972355" w:rsidRDefault="00DF3781" w:rsidP="00DF3781">
      <w:pPr>
        <w:pStyle w:val="NormalHanging12a"/>
      </w:pPr>
      <w:r w:rsidRPr="00972355">
        <w:t>13.</w:t>
      </w:r>
      <w:r w:rsidRPr="00972355">
        <w:tab/>
        <w:t>ugotavlja, da je Belgija prilagojene storitve za ciljne upravičence začela izvajati 1. junija 2025 in da je torej obdobje upravičenosti do finančnega prispevka iz ESPG začelo teči istega dne in se bo končalo 24 mesecev po začetku veljavnosti sklepa o financiranju;</w:t>
      </w:r>
    </w:p>
    <w:p w14:paraId="779E70BF" w14:textId="77777777" w:rsidR="00DF3781" w:rsidRPr="00972355" w:rsidRDefault="00DF3781" w:rsidP="00DF3781">
      <w:pPr>
        <w:pStyle w:val="NormalHanging12a"/>
        <w:rPr>
          <w:sz w:val="23"/>
          <w:szCs w:val="23"/>
        </w:rPr>
      </w:pPr>
      <w:r w:rsidRPr="00972355">
        <w:t>14.</w:t>
      </w:r>
      <w:r w:rsidRPr="00972355">
        <w:tab/>
        <w:t>ugotavlja, da je Belgija prve upravne odhodke za izvajanje ESPG imela 22. aprila 2025 in da bodo tovrstni odhodki torej upravičeni do finančnega prispevka iz ESPG od tega datuma do izteka 31 mesecev od datuma začetka veljavnosti sklepa o financiranju;</w:t>
      </w:r>
    </w:p>
    <w:p w14:paraId="14583BE3" w14:textId="77777777" w:rsidR="00DF3781" w:rsidRPr="00972355" w:rsidRDefault="00DF3781" w:rsidP="00DF3781">
      <w:pPr>
        <w:pStyle w:val="NormalHanging12a"/>
      </w:pPr>
      <w:r w:rsidRPr="00972355">
        <w:t>15.</w:t>
      </w:r>
      <w:r w:rsidRPr="00972355">
        <w:tab/>
        <w:t>je seznanjen, da so belgijski organi dali zagotovila, da bosta pri dostopu do predlaganih ukrepov in njihovem izvajanju spoštovani načeli enake obravnave in nediskriminacije ter da bo preprečeno vsako dvojno financiranje;</w:t>
      </w:r>
    </w:p>
    <w:p w14:paraId="17FE278B" w14:textId="77777777" w:rsidR="00DF3781" w:rsidRPr="00972355" w:rsidRDefault="00DF3781" w:rsidP="00DF3781">
      <w:pPr>
        <w:pStyle w:val="NormalHanging12a"/>
      </w:pPr>
      <w:r w:rsidRPr="00972355">
        <w:t>16.</w:t>
      </w:r>
      <w:r w:rsidRPr="00972355">
        <w:tab/>
        <w:t xml:space="preserve">ponavlja, da pomoč iz ESPG ne sme nadomestiti ukrepov, za katere so odgovorni javni organi ali podjetja na podlagi nacionalnega prava ali kolektivnih pogodb; opozarja, da je </w:t>
      </w:r>
      <w:r w:rsidRPr="00972355">
        <w:lastRenderedPageBreak/>
        <w:t>ESPG omejen, ciljno usmerjen in dopolnjujoč mehanizem ter ne more nadomestiti strukturnih gospodarskih politik, ki so v prvi vrsti v pristojnosti držav članic;</w:t>
      </w:r>
    </w:p>
    <w:p w14:paraId="0C3FBC31" w14:textId="77777777" w:rsidR="00DF3781" w:rsidRPr="00972355" w:rsidRDefault="00DF3781" w:rsidP="00DF3781">
      <w:pPr>
        <w:pStyle w:val="NormalHanging12a"/>
      </w:pPr>
      <w:r w:rsidRPr="00972355">
        <w:t>17.</w:t>
      </w:r>
      <w:r w:rsidRPr="00972355">
        <w:tab/>
        <w:t>odobri sklep, priložen tej resoluciji;</w:t>
      </w:r>
    </w:p>
    <w:p w14:paraId="04235C3A" w14:textId="77777777" w:rsidR="00DF3781" w:rsidRPr="00972355" w:rsidRDefault="00DF3781" w:rsidP="00DF3781">
      <w:pPr>
        <w:pStyle w:val="NormalHanging12a"/>
      </w:pPr>
      <w:r w:rsidRPr="00972355">
        <w:t>18.</w:t>
      </w:r>
      <w:r w:rsidRPr="00972355">
        <w:tab/>
        <w:t xml:space="preserve">naroči svoji predsednici, da podpiše ta sklep skupaj s predsedujočim Svetu ter poskrbi za njegovo objavo v </w:t>
      </w:r>
      <w:r w:rsidRPr="00A75C5E">
        <w:rPr>
          <w:i/>
          <w:iCs/>
        </w:rPr>
        <w:t>Uradnem listu Evropske unije</w:t>
      </w:r>
      <w:r w:rsidRPr="00972355">
        <w:t>;</w:t>
      </w:r>
    </w:p>
    <w:p w14:paraId="5B95C7EE" w14:textId="77777777" w:rsidR="00DF3781" w:rsidRPr="00972355" w:rsidRDefault="00DF3781" w:rsidP="00DF3781">
      <w:pPr>
        <w:pStyle w:val="NormalHanging12a"/>
      </w:pPr>
      <w:r w:rsidRPr="00972355">
        <w:t>19.</w:t>
      </w:r>
      <w:r w:rsidRPr="00972355">
        <w:tab/>
        <w:t>naroči svoji predsednici, naj to resolucijo skupaj s prilogo posreduje Svetu in Komisiji.</w:t>
      </w:r>
    </w:p>
    <w:p w14:paraId="1C23CB68" w14:textId="77777777" w:rsidR="00DF3781" w:rsidRPr="00972355" w:rsidRDefault="00DF3781" w:rsidP="00DF3781">
      <w:pPr>
        <w:rPr>
          <w:noProof/>
        </w:rPr>
      </w:pPr>
    </w:p>
    <w:p w14:paraId="243F155F" w14:textId="77777777" w:rsidR="00DF3781" w:rsidRPr="00972355" w:rsidRDefault="00DF3781" w:rsidP="00DF3781">
      <w:pPr>
        <w:pStyle w:val="PageHeading"/>
        <w:rPr>
          <w:noProof/>
        </w:rPr>
        <w:sectPr w:rsidR="00DF3781" w:rsidRPr="00972355" w:rsidSect="009723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23A705" w14:textId="77777777" w:rsidR="00DF3781" w:rsidRPr="00972355" w:rsidRDefault="00DF3781" w:rsidP="00DF3781">
      <w:pPr>
        <w:pStyle w:val="PageHeading"/>
        <w:rPr>
          <w:noProof/>
        </w:rPr>
      </w:pPr>
      <w:bookmarkStart w:id="9" w:name="_Toc227912701"/>
      <w:r w:rsidRPr="00972355">
        <w:lastRenderedPageBreak/>
        <w:t>PRILOGA: SKLEP EVROPSKEGA PARLAMENTA IN SVETA</w:t>
      </w:r>
      <w:bookmarkEnd w:id="9"/>
    </w:p>
    <w:p w14:paraId="29CB2590" w14:textId="77777777" w:rsidR="00DF3781" w:rsidRDefault="00DF3781" w:rsidP="00DF3781">
      <w:pPr>
        <w:pStyle w:val="NormalHanging12a"/>
        <w:rPr>
          <w:b/>
        </w:rPr>
      </w:pPr>
      <w:r w:rsidRPr="00972355">
        <w:rPr>
          <w:b/>
        </w:rPr>
        <w:t>o uporabi Evropskega sklada za prilagoditev globalizaciji za presežne delavce na podlagi vloge Belgije – EGF/2025/008 BE/</w:t>
      </w:r>
      <w:proofErr w:type="spellStart"/>
      <w:r w:rsidRPr="00972355">
        <w:rPr>
          <w:b/>
        </w:rPr>
        <w:t>Liberty</w:t>
      </w:r>
      <w:proofErr w:type="spellEnd"/>
    </w:p>
    <w:p w14:paraId="4613F1AF" w14:textId="762B15DE" w:rsidR="00D44DEF" w:rsidRPr="00D44DEF" w:rsidRDefault="00D44DEF" w:rsidP="00D44DEF">
      <w:pPr>
        <w:pStyle w:val="NormalWeb"/>
        <w:spacing w:before="0" w:beforeAutospacing="0" w:after="0" w:afterAutospacing="0"/>
        <w:rPr>
          <w:b/>
          <w:bCs/>
          <w:lang w:val="sl-SI"/>
        </w:rPr>
      </w:pPr>
      <w:r w:rsidRPr="00D44DEF">
        <w:rPr>
          <w:i/>
          <w:iCs/>
          <w:lang w:val="sl-SI"/>
        </w:rPr>
        <w:t>(Besedilo te priloge tukaj ni navedeno, saj je enako končnemu aktu, Sklepu (EU) 2026/1134</w:t>
      </w:r>
      <w:r w:rsidRPr="00D44DEF">
        <w:rPr>
          <w:i/>
          <w:iCs/>
          <w:lang w:val="sl-SI"/>
        </w:rPr>
        <w:t>.</w:t>
      </w:r>
      <w:r w:rsidRPr="00D44DEF">
        <w:rPr>
          <w:i/>
          <w:iCs/>
          <w:lang w:val="sl-SI"/>
        </w:rPr>
        <w:t>)</w:t>
      </w:r>
    </w:p>
    <w:sectPr w:rsidR="00D44DEF" w:rsidRPr="00D44DEF" w:rsidSect="0097235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92703" w14:textId="77777777" w:rsidR="00D237C2" w:rsidRPr="00972355" w:rsidRDefault="00D237C2">
      <w:r w:rsidRPr="00972355">
        <w:separator/>
      </w:r>
    </w:p>
  </w:endnote>
  <w:endnote w:type="continuationSeparator" w:id="0">
    <w:p w14:paraId="6E6E4A45" w14:textId="77777777" w:rsidR="00D237C2" w:rsidRPr="00972355" w:rsidRDefault="00D237C2">
      <w:r w:rsidRPr="009723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690A" w14:textId="77777777" w:rsidR="00DF3781" w:rsidRPr="00972355" w:rsidRDefault="00DF3781" w:rsidP="00E3333A">
    <w:pPr>
      <w:pStyle w:val="EPFooter"/>
    </w:pPr>
    <w:r w:rsidRPr="00972355">
      <w:t>PE</w:t>
    </w:r>
    <w:r w:rsidRPr="00972355">
      <w:rPr>
        <w:rStyle w:val="HideTWBExt"/>
      </w:rPr>
      <w:t>&lt;</w:t>
    </w:r>
    <w:proofErr w:type="spellStart"/>
    <w:r w:rsidRPr="00972355">
      <w:rPr>
        <w:rStyle w:val="HideTWBExt"/>
      </w:rPr>
      <w:t>NoPE</w:t>
    </w:r>
    <w:proofErr w:type="spellEnd"/>
    <w:r w:rsidRPr="00972355">
      <w:rPr>
        <w:rStyle w:val="HideTWBExt"/>
      </w:rPr>
      <w:t>&gt;</w:t>
    </w:r>
    <w:r w:rsidRPr="00972355">
      <w:t>785.333</w:t>
    </w:r>
    <w:r w:rsidRPr="00972355">
      <w:rPr>
        <w:rStyle w:val="HideTWBExt"/>
      </w:rPr>
      <w:t>&lt;/</w:t>
    </w:r>
    <w:proofErr w:type="spellStart"/>
    <w:r w:rsidRPr="00972355">
      <w:rPr>
        <w:rStyle w:val="HideTWBExt"/>
      </w:rPr>
      <w:t>NoPE</w:t>
    </w:r>
    <w:proofErr w:type="spellEnd"/>
    <w:r w:rsidRPr="00972355">
      <w:rPr>
        <w:rStyle w:val="HideTWBExt"/>
      </w:rPr>
      <w:t>&gt;&lt;Version&gt;</w:t>
    </w:r>
    <w:r w:rsidRPr="00972355">
      <w:t>v03-00</w:t>
    </w:r>
    <w:r w:rsidRPr="00972355">
      <w:rPr>
        <w:rStyle w:val="HideTWBExt"/>
      </w:rPr>
      <w:t>&lt;/</w:t>
    </w:r>
    <w:proofErr w:type="spellStart"/>
    <w:r w:rsidRPr="00972355">
      <w:rPr>
        <w:rStyle w:val="HideTWBExt"/>
      </w:rPr>
      <w:t>Version</w:t>
    </w:r>
    <w:proofErr w:type="spellEnd"/>
    <w:r w:rsidRPr="00972355">
      <w:rPr>
        <w:rStyle w:val="HideTWBExt"/>
      </w:rPr>
      <w:t>&gt;</w:t>
    </w:r>
    <w:r w:rsidRPr="00972355">
      <w:tab/>
    </w:r>
    <w:r w:rsidRPr="00972355">
      <w:fldChar w:fldCharType="begin"/>
    </w:r>
    <w:r w:rsidRPr="00972355">
      <w:instrText xml:space="preserve"> PAGE  \* MERGEFORMAT </w:instrText>
    </w:r>
    <w:r w:rsidRPr="00972355">
      <w:fldChar w:fldCharType="separate"/>
    </w:r>
    <w:r w:rsidRPr="00972355">
      <w:rPr>
        <w:noProof/>
      </w:rPr>
      <w:t>2</w:t>
    </w:r>
    <w:r w:rsidRPr="00972355">
      <w:fldChar w:fldCharType="end"/>
    </w:r>
    <w:r w:rsidRPr="00972355">
      <w:t>/</w:t>
    </w:r>
    <w:fldSimple w:instr=" NUMPAGES  \* MERGEFORMAT ">
      <w:r w:rsidRPr="00972355">
        <w:rPr>
          <w:noProof/>
        </w:rPr>
        <w:t>9</w:t>
      </w:r>
    </w:fldSimple>
    <w:r w:rsidRPr="00972355">
      <w:tab/>
    </w:r>
    <w:r w:rsidRPr="00972355">
      <w:rPr>
        <w:rStyle w:val="HideTWBExt"/>
      </w:rPr>
      <w:t>&lt;PathFdR&gt;</w:t>
    </w:r>
    <w:r w:rsidRPr="00972355">
      <w:t>RR\1341391SL.docx</w:t>
    </w:r>
    <w:r w:rsidRPr="00972355">
      <w:rPr>
        <w:rStyle w:val="HideTWBExt"/>
      </w:rPr>
      <w:t>&lt;/</w:t>
    </w:r>
    <w:proofErr w:type="spellStart"/>
    <w:r w:rsidRPr="00972355">
      <w:rPr>
        <w:rStyle w:val="HideTWBExt"/>
      </w:rPr>
      <w:t>PathFdR</w:t>
    </w:r>
    <w:proofErr w:type="spellEnd"/>
    <w:r w:rsidRPr="00972355">
      <w:rPr>
        <w:rStyle w:val="HideTWBExt"/>
      </w:rPr>
      <w:t>&gt;</w:t>
    </w:r>
  </w:p>
  <w:p w14:paraId="10706CA4" w14:textId="77777777" w:rsidR="00DF3781" w:rsidRPr="00972355" w:rsidRDefault="00DF3781" w:rsidP="00E3333A">
    <w:pPr>
      <w:pStyle w:val="EPFooter2"/>
    </w:pPr>
    <w:r w:rsidRPr="00972355">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ABB4" w14:textId="1FDBB0A3" w:rsidR="00DF3781" w:rsidRPr="00972355" w:rsidRDefault="00DF3781" w:rsidP="00E3333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7C10A" w14:textId="77777777" w:rsidR="00DF3781" w:rsidRPr="00972355" w:rsidRDefault="00DF3781" w:rsidP="00E3333A">
    <w:pPr>
      <w:pStyle w:val="EPFooter"/>
    </w:pPr>
    <w:r w:rsidRPr="00972355">
      <w:rPr>
        <w:rStyle w:val="HideTWBExt"/>
      </w:rPr>
      <w:t>&lt;PathFdR&gt;</w:t>
    </w:r>
    <w:r w:rsidRPr="00972355">
      <w:t>RR\1341391SL.docx</w:t>
    </w:r>
    <w:r w:rsidRPr="00972355">
      <w:rPr>
        <w:rStyle w:val="HideTWBExt"/>
      </w:rPr>
      <w:t>&lt;/</w:t>
    </w:r>
    <w:proofErr w:type="spellStart"/>
    <w:r w:rsidRPr="00972355">
      <w:rPr>
        <w:rStyle w:val="HideTWBExt"/>
      </w:rPr>
      <w:t>PathFdR</w:t>
    </w:r>
    <w:proofErr w:type="spellEnd"/>
    <w:r w:rsidRPr="00972355">
      <w:rPr>
        <w:rStyle w:val="HideTWBExt"/>
      </w:rPr>
      <w:t>&gt;</w:t>
    </w:r>
    <w:r w:rsidRPr="00972355">
      <w:tab/>
    </w:r>
    <w:r w:rsidRPr="00972355">
      <w:tab/>
      <w:t>PE</w:t>
    </w:r>
    <w:r w:rsidRPr="00972355">
      <w:rPr>
        <w:rStyle w:val="HideTWBExt"/>
      </w:rPr>
      <w:t>&lt;</w:t>
    </w:r>
    <w:proofErr w:type="spellStart"/>
    <w:r w:rsidRPr="00972355">
      <w:rPr>
        <w:rStyle w:val="HideTWBExt"/>
      </w:rPr>
      <w:t>NoPE</w:t>
    </w:r>
    <w:proofErr w:type="spellEnd"/>
    <w:r w:rsidRPr="00972355">
      <w:rPr>
        <w:rStyle w:val="HideTWBExt"/>
      </w:rPr>
      <w:t>&gt;</w:t>
    </w:r>
    <w:r w:rsidRPr="00972355">
      <w:t>785.333</w:t>
    </w:r>
    <w:r w:rsidRPr="00972355">
      <w:rPr>
        <w:rStyle w:val="HideTWBExt"/>
      </w:rPr>
      <w:t>&lt;/</w:t>
    </w:r>
    <w:proofErr w:type="spellStart"/>
    <w:r w:rsidRPr="00972355">
      <w:rPr>
        <w:rStyle w:val="HideTWBExt"/>
      </w:rPr>
      <w:t>NoPE</w:t>
    </w:r>
    <w:proofErr w:type="spellEnd"/>
    <w:r w:rsidRPr="00972355">
      <w:rPr>
        <w:rStyle w:val="HideTWBExt"/>
      </w:rPr>
      <w:t>&gt;&lt;Version&gt;</w:t>
    </w:r>
    <w:r w:rsidRPr="00972355">
      <w:t>v03-00</w:t>
    </w:r>
    <w:r w:rsidRPr="00972355">
      <w:rPr>
        <w:rStyle w:val="HideTWBExt"/>
      </w:rPr>
      <w:t>&lt;/</w:t>
    </w:r>
    <w:proofErr w:type="spellStart"/>
    <w:r w:rsidRPr="00972355">
      <w:rPr>
        <w:rStyle w:val="HideTWBExt"/>
      </w:rPr>
      <w:t>Version</w:t>
    </w:r>
    <w:proofErr w:type="spellEnd"/>
    <w:r w:rsidRPr="00972355">
      <w:rPr>
        <w:rStyle w:val="HideTWBExt"/>
      </w:rPr>
      <w:t>&gt;</w:t>
    </w:r>
  </w:p>
  <w:p w14:paraId="35757161" w14:textId="77777777" w:rsidR="00DF3781" w:rsidRPr="00972355" w:rsidRDefault="00DF3781" w:rsidP="00E3333A">
    <w:pPr>
      <w:pStyle w:val="EPFooter2"/>
    </w:pPr>
    <w:r w:rsidRPr="00972355">
      <w:t>SL</w:t>
    </w:r>
    <w:r w:rsidRPr="00972355">
      <w:tab/>
    </w:r>
    <w:r w:rsidRPr="00972355">
      <w:rPr>
        <w:b w:val="0"/>
        <w:i/>
        <w:color w:val="C0C0C0"/>
        <w:sz w:val="22"/>
      </w:rPr>
      <w:t>Združena v raznolikosti</w:t>
    </w:r>
    <w:r w:rsidRPr="00972355">
      <w:tab/>
      <w:t>SL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F54AD" w14:textId="77777777" w:rsidR="00064002" w:rsidRPr="0097235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BDAF" w14:textId="77777777" w:rsidR="00064002" w:rsidRPr="0097235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55ED" w14:textId="77777777" w:rsidR="00064002" w:rsidRPr="009723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174AD" w14:textId="77777777" w:rsidR="00D237C2" w:rsidRPr="00972355" w:rsidRDefault="00D237C2">
      <w:r w:rsidRPr="00972355">
        <w:separator/>
      </w:r>
    </w:p>
  </w:footnote>
  <w:footnote w:type="continuationSeparator" w:id="0">
    <w:p w14:paraId="050BFCC7" w14:textId="77777777" w:rsidR="00D237C2" w:rsidRPr="00972355" w:rsidRDefault="00D237C2">
      <w:r w:rsidRPr="00972355">
        <w:continuationSeparator/>
      </w:r>
    </w:p>
  </w:footnote>
  <w:footnote w:id="1">
    <w:p w14:paraId="3DCB0340" w14:textId="03631357"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rsidRPr="00972355">
        <w:rPr>
          <w:sz w:val="24"/>
          <w:lang w:val="sl-SI"/>
        </w:rPr>
        <w:t xml:space="preserve">UL L 153, 3.5.2021, str. 48, ELI: </w:t>
      </w:r>
      <w:hyperlink r:id="rId1" w:history="1">
        <w:r w:rsidRPr="00972355">
          <w:rPr>
            <w:rStyle w:val="Hyperlink"/>
            <w:sz w:val="24"/>
            <w:lang w:val="sl-SI"/>
          </w:rPr>
          <w:t>http://data.europa.eu/eli/reg/2021/691/oj</w:t>
        </w:r>
      </w:hyperlink>
      <w:r w:rsidRPr="00972355">
        <w:rPr>
          <w:sz w:val="24"/>
          <w:lang w:val="sl-SI"/>
        </w:rPr>
        <w:t>.</w:t>
      </w:r>
    </w:p>
  </w:footnote>
  <w:footnote w:id="2">
    <w:p w14:paraId="30487EF3" w14:textId="41D25995"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rsidRPr="00972355">
        <w:rPr>
          <w:sz w:val="24"/>
          <w:lang w:val="sl-SI"/>
        </w:rPr>
        <w:t xml:space="preserve">UL L 433 I, 22.12.2020, str. 11, ELI: </w:t>
      </w:r>
      <w:r>
        <w:fldChar w:fldCharType="begin"/>
      </w:r>
      <w:r w:rsidRPr="00D44DEF">
        <w:rPr>
          <w:lang w:val="pl-PL"/>
        </w:rPr>
        <w:instrText>HYPERLINK "http://data.europa.eu/eli/reg/2020/2093/oj"</w:instrText>
      </w:r>
      <w:r>
        <w:fldChar w:fldCharType="separate"/>
      </w:r>
      <w:r w:rsidRPr="00972355">
        <w:rPr>
          <w:rStyle w:val="Hyperlink"/>
          <w:sz w:val="24"/>
          <w:lang w:val="sl-SI"/>
        </w:rPr>
        <w:t>http://data.europa.eu/eli/reg/2020/2093/oj</w:t>
      </w:r>
      <w:r>
        <w:fldChar w:fldCharType="end"/>
      </w:r>
      <w:r w:rsidRPr="00972355">
        <w:rPr>
          <w:sz w:val="24"/>
          <w:lang w:val="sl-SI"/>
        </w:rPr>
        <w:t>.</w:t>
      </w:r>
    </w:p>
  </w:footnote>
  <w:footnote w:id="3">
    <w:p w14:paraId="683AFBCE" w14:textId="1213C3CB"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shd w:val="clear" w:color="auto" w:fill="FFFFFF"/>
          <w:lang w:val="sl-SI"/>
        </w:rPr>
        <w:t xml:space="preserve"> </w:t>
      </w:r>
      <w:r w:rsidR="00972355" w:rsidRPr="00972355">
        <w:rPr>
          <w:sz w:val="24"/>
          <w:shd w:val="clear" w:color="auto" w:fill="FFFFFF"/>
          <w:lang w:val="sl-SI"/>
        </w:rPr>
        <w:tab/>
      </w:r>
      <w:r w:rsidRPr="00972355">
        <w:rPr>
          <w:sz w:val="24"/>
          <w:shd w:val="clear" w:color="auto" w:fill="FFFFFF"/>
          <w:lang w:val="sl-SI"/>
        </w:rPr>
        <w:t>Uredba Sveta (EU, Euratom) 2024/765 z dne 29. februarja 2024 o spremembi Uredbe (EU, Euratom) 2020/2093 o določitvi večletnega finančnega okvira za obdobje 2021–2027 (UL L, 2024/765, 29.2.2024, ELI:</w:t>
      </w:r>
      <w:r w:rsidRPr="00972355">
        <w:rPr>
          <w:color w:val="333333"/>
          <w:sz w:val="24"/>
          <w:shd w:val="clear" w:color="auto" w:fill="FFFFFF"/>
          <w:lang w:val="sl-SI"/>
        </w:rPr>
        <w:t xml:space="preserve"> </w:t>
      </w:r>
      <w:r>
        <w:fldChar w:fldCharType="begin"/>
      </w:r>
      <w:r w:rsidRPr="00D44DEF">
        <w:rPr>
          <w:lang w:val="sl-SI"/>
        </w:rPr>
        <w:instrText>HYPERLINK "http://data.europa.eu/eli/reg/2024/765/oj"</w:instrText>
      </w:r>
      <w:r>
        <w:fldChar w:fldCharType="separate"/>
      </w:r>
      <w:r w:rsidRPr="00972355">
        <w:rPr>
          <w:rStyle w:val="Hyperlink"/>
          <w:sz w:val="24"/>
          <w:shd w:val="clear" w:color="auto" w:fill="FFFFFF"/>
          <w:lang w:val="sl-SI"/>
        </w:rPr>
        <w:t>http://data.europa.eu/eli/reg/2024/765/oj</w:t>
      </w:r>
      <w:r>
        <w:fldChar w:fldCharType="end"/>
      </w:r>
      <w:r w:rsidRPr="00A75C5E">
        <w:rPr>
          <w:iCs/>
          <w:color w:val="333333"/>
          <w:sz w:val="24"/>
          <w:shd w:val="clear" w:color="auto" w:fill="FFFFFF"/>
          <w:lang w:val="sl-SI"/>
        </w:rPr>
        <w:t>)</w:t>
      </w:r>
      <w:r w:rsidRPr="00972355">
        <w:rPr>
          <w:i/>
          <w:color w:val="333333"/>
          <w:sz w:val="24"/>
          <w:shd w:val="clear" w:color="auto" w:fill="FFFFFF"/>
          <w:lang w:val="sl-SI"/>
        </w:rPr>
        <w:t>.</w:t>
      </w:r>
    </w:p>
  </w:footnote>
  <w:footnote w:id="4">
    <w:p w14:paraId="39DAEB46" w14:textId="262816A1"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rsidRPr="00972355">
        <w:rPr>
          <w:sz w:val="24"/>
          <w:lang w:val="sl-SI"/>
        </w:rPr>
        <w:t xml:space="preserve">UL L 433 I, 22.12.2020, str. 28, ELI: </w:t>
      </w:r>
      <w:r>
        <w:fldChar w:fldCharType="begin"/>
      </w:r>
      <w:r w:rsidRPr="00D44DEF">
        <w:rPr>
          <w:lang w:val="pl-PL"/>
        </w:rPr>
        <w:instrText>HYPERLINK "http://data.europa.eu/eli/agree_interinstit/2020/1222/oj"</w:instrText>
      </w:r>
      <w:r>
        <w:fldChar w:fldCharType="separate"/>
      </w:r>
      <w:r w:rsidRPr="00972355">
        <w:rPr>
          <w:rStyle w:val="Hyperlink"/>
          <w:sz w:val="24"/>
          <w:lang w:val="sl-SI"/>
        </w:rPr>
        <w:t>http://data.europa.eu/eli/agree_interinstit/2020/1222/oj</w:t>
      </w:r>
      <w:r>
        <w:fldChar w:fldCharType="end"/>
      </w:r>
      <w:r w:rsidRPr="00972355">
        <w:rPr>
          <w:sz w:val="24"/>
          <w:lang w:val="sl-SI"/>
        </w:rPr>
        <w:t>.</w:t>
      </w:r>
    </w:p>
  </w:footnote>
  <w:footnote w:id="5">
    <w:p w14:paraId="1E80A350" w14:textId="6BA0A897"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rsidRPr="00972355">
        <w:rPr>
          <w:sz w:val="24"/>
          <w:lang w:val="sl-SI"/>
        </w:rPr>
        <w:t>V smislu člena 3 uredbe o ESPG.</w:t>
      </w:r>
    </w:p>
  </w:footnote>
  <w:footnote w:id="6">
    <w:p w14:paraId="48060775" w14:textId="35EA3802"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rsidRPr="00972355">
        <w:rPr>
          <w:sz w:val="24"/>
          <w:lang w:val="sl-SI"/>
        </w:rPr>
        <w:t>Člen 8 uredbe o večletnem finančnem okviru.</w:t>
      </w:r>
    </w:p>
  </w:footnote>
  <w:footnote w:id="7">
    <w:p w14:paraId="2A58F3B7" w14:textId="68EB47F1" w:rsidR="00DF3781" w:rsidRPr="00972355" w:rsidRDefault="00DF3781" w:rsidP="00972355">
      <w:pPr>
        <w:pStyle w:val="FootnoteText"/>
        <w:ind w:left="567" w:hanging="567"/>
        <w:rPr>
          <w:sz w:val="24"/>
          <w:lang w:val="sl-SI"/>
        </w:rPr>
      </w:pPr>
      <w:r w:rsidRPr="00972355">
        <w:rPr>
          <w:rStyle w:val="FootnoteReference"/>
          <w:sz w:val="24"/>
          <w:lang w:val="sl-SI"/>
        </w:rPr>
        <w:footnoteRef/>
      </w:r>
      <w:r w:rsidR="00972355" w:rsidRPr="00972355">
        <w:rPr>
          <w:sz w:val="24"/>
          <w:lang w:val="sl-SI"/>
        </w:rPr>
        <w:t xml:space="preserve"> </w:t>
      </w:r>
      <w:r w:rsidR="00972355" w:rsidRPr="00972355">
        <w:rPr>
          <w:sz w:val="24"/>
          <w:lang w:val="sl-SI"/>
        </w:rPr>
        <w:tab/>
      </w:r>
      <w:r>
        <w:fldChar w:fldCharType="begin"/>
      </w:r>
      <w:r w:rsidRPr="00D44DEF">
        <w:rPr>
          <w:lang w:val="sl-SI"/>
        </w:rPr>
        <w:instrText>HYPERLINK "https://www.nbb.be/doc/ts/publications/economicreview/2024/ecorevi2024_h02.pdf"</w:instrText>
      </w:r>
      <w:r>
        <w:fldChar w:fldCharType="separate"/>
      </w:r>
      <w:r w:rsidRPr="00972355">
        <w:rPr>
          <w:rStyle w:val="Hyperlink"/>
          <w:sz w:val="24"/>
          <w:lang w:val="sl-SI"/>
        </w:rPr>
        <w:t>Nacionalna banka Belgije.</w:t>
      </w:r>
      <w:r>
        <w:fldChar w:fldCharType="end"/>
      </w:r>
      <w:hyperlink r:id="rId2" w:history="1">
        <w:r w:rsidRPr="00972355">
          <w:rPr>
            <w:rStyle w:val="Hyperlink"/>
            <w:sz w:val="24"/>
            <w:lang w:val="sl-SI"/>
          </w:rPr>
          <w:t xml:space="preserve"> Ekonomski pregled za leto 2024</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E3816" w14:textId="77777777" w:rsidR="00DF3781" w:rsidRPr="00972355" w:rsidRDefault="00DF3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95D0E" w14:textId="77777777" w:rsidR="00DF3781" w:rsidRPr="00972355" w:rsidRDefault="00DF37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7309" w14:textId="77777777" w:rsidR="00DF3781" w:rsidRPr="00972355" w:rsidRDefault="00DF37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F2550" w14:textId="77777777" w:rsidR="00064002" w:rsidRPr="0097235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8014" w14:textId="77777777" w:rsidR="00064002" w:rsidRPr="0097235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D598" w14:textId="77777777" w:rsidR="00064002" w:rsidRPr="009723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3863948">
    <w:abstractNumId w:val="9"/>
  </w:num>
  <w:num w:numId="2" w16cid:durableId="1248924066">
    <w:abstractNumId w:val="9"/>
  </w:num>
  <w:num w:numId="3" w16cid:durableId="969285430">
    <w:abstractNumId w:val="7"/>
  </w:num>
  <w:num w:numId="4" w16cid:durableId="1526404572">
    <w:abstractNumId w:val="7"/>
  </w:num>
  <w:num w:numId="5" w16cid:durableId="826626418">
    <w:abstractNumId w:val="6"/>
  </w:num>
  <w:num w:numId="6" w16cid:durableId="1225481777">
    <w:abstractNumId w:val="6"/>
  </w:num>
  <w:num w:numId="7" w16cid:durableId="1510177300">
    <w:abstractNumId w:val="5"/>
  </w:num>
  <w:num w:numId="8" w16cid:durableId="747505137">
    <w:abstractNumId w:val="5"/>
  </w:num>
  <w:num w:numId="9" w16cid:durableId="1080492789">
    <w:abstractNumId w:val="4"/>
  </w:num>
  <w:num w:numId="10" w16cid:durableId="1174299302">
    <w:abstractNumId w:val="4"/>
  </w:num>
  <w:num w:numId="11" w16cid:durableId="868683563">
    <w:abstractNumId w:val="8"/>
  </w:num>
  <w:num w:numId="12" w16cid:durableId="1861312565">
    <w:abstractNumId w:val="8"/>
  </w:num>
  <w:num w:numId="13" w16cid:durableId="1725564291">
    <w:abstractNumId w:val="3"/>
  </w:num>
  <w:num w:numId="14" w16cid:durableId="2087720330">
    <w:abstractNumId w:val="3"/>
  </w:num>
  <w:num w:numId="15" w16cid:durableId="1395196871">
    <w:abstractNumId w:val="2"/>
  </w:num>
  <w:num w:numId="16" w16cid:durableId="403265598">
    <w:abstractNumId w:val="2"/>
  </w:num>
  <w:num w:numId="17" w16cid:durableId="285040020">
    <w:abstractNumId w:val="1"/>
  </w:num>
  <w:num w:numId="18" w16cid:durableId="278487607">
    <w:abstractNumId w:val="1"/>
  </w:num>
  <w:num w:numId="19" w16cid:durableId="1450511421">
    <w:abstractNumId w:val="0"/>
  </w:num>
  <w:num w:numId="20" w16cid:durableId="537425837">
    <w:abstractNumId w:val="0"/>
  </w:num>
  <w:num w:numId="21" w16cid:durableId="345668714">
    <w:abstractNumId w:val="9"/>
  </w:num>
  <w:num w:numId="22" w16cid:durableId="1170758863">
    <w:abstractNumId w:val="7"/>
  </w:num>
  <w:num w:numId="23" w16cid:durableId="1667634569">
    <w:abstractNumId w:val="6"/>
  </w:num>
  <w:num w:numId="24" w16cid:durableId="1562593430">
    <w:abstractNumId w:val="5"/>
  </w:num>
  <w:num w:numId="25" w16cid:durableId="601884128">
    <w:abstractNumId w:val="4"/>
  </w:num>
  <w:num w:numId="26" w16cid:durableId="239408579">
    <w:abstractNumId w:val="8"/>
  </w:num>
  <w:num w:numId="27" w16cid:durableId="887841297">
    <w:abstractNumId w:val="3"/>
  </w:num>
  <w:num w:numId="28" w16cid:durableId="933439541">
    <w:abstractNumId w:val="2"/>
  </w:num>
  <w:num w:numId="29" w16cid:durableId="1746102907">
    <w:abstractNumId w:val="1"/>
  </w:num>
  <w:num w:numId="30" w16cid:durableId="2014214054">
    <w:abstractNumId w:val="0"/>
  </w:num>
  <w:num w:numId="31" w16cid:durableId="1631327181">
    <w:abstractNumId w:val="9"/>
  </w:num>
  <w:num w:numId="32" w16cid:durableId="381641184">
    <w:abstractNumId w:val="7"/>
  </w:num>
  <w:num w:numId="33" w16cid:durableId="206067655">
    <w:abstractNumId w:val="6"/>
  </w:num>
  <w:num w:numId="34" w16cid:durableId="178083434">
    <w:abstractNumId w:val="5"/>
  </w:num>
  <w:num w:numId="35" w16cid:durableId="1657370266">
    <w:abstractNumId w:val="4"/>
  </w:num>
  <w:num w:numId="36" w16cid:durableId="1774519738">
    <w:abstractNumId w:val="8"/>
  </w:num>
  <w:num w:numId="37" w16cid:durableId="988291503">
    <w:abstractNumId w:val="3"/>
  </w:num>
  <w:num w:numId="38" w16cid:durableId="707686903">
    <w:abstractNumId w:val="2"/>
  </w:num>
  <w:num w:numId="39" w16cid:durableId="1004746165">
    <w:abstractNumId w:val="1"/>
  </w:num>
  <w:num w:numId="40" w16cid:durableId="94907068">
    <w:abstractNumId w:val="0"/>
  </w:num>
  <w:num w:numId="41" w16cid:durableId="1613245126">
    <w:abstractNumId w:val="10"/>
  </w:num>
  <w:num w:numId="42" w16cid:durableId="597641172">
    <w:abstractNumId w:val="10"/>
  </w:num>
  <w:num w:numId="43" w16cid:durableId="1724594831">
    <w:abstractNumId w:val="10"/>
  </w:num>
  <w:num w:numId="44" w16cid:durableId="12561310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SL"/>
    <w:docVar w:name="dvnumam" w:val="0"/>
    <w:docVar w:name="dvpe" w:val="785.333"/>
    <w:docVar w:name="dvrapporteur" w:val="Poročevalec: "/>
    <w:docVar w:name="dvtitre" w:val="Zakonodajna resolucija Evropskega parlamenta z dne … 2026 o predlogu sklepa Evropskega parlamenta in Sveta o uporabi Evropskega sklada za prilagoditev globalizaciji za presežne delavce na podlagi vloge Belgije – EGF/2025/008 BE/Liberty(COM(2026)0004 – C10-0062/2026 – 2026/0066(BUD))"/>
  </w:docVars>
  <w:rsids>
    <w:rsidRoot w:val="00D237C2"/>
    <w:rsid w:val="00002272"/>
    <w:rsid w:val="00064002"/>
    <w:rsid w:val="000677B9"/>
    <w:rsid w:val="000831BA"/>
    <w:rsid w:val="000A42CC"/>
    <w:rsid w:val="000E7DD9"/>
    <w:rsid w:val="0010095E"/>
    <w:rsid w:val="00125B37"/>
    <w:rsid w:val="001404B7"/>
    <w:rsid w:val="00187494"/>
    <w:rsid w:val="001A54A8"/>
    <w:rsid w:val="001F32AE"/>
    <w:rsid w:val="002767FF"/>
    <w:rsid w:val="002B18FE"/>
    <w:rsid w:val="002B5493"/>
    <w:rsid w:val="00343214"/>
    <w:rsid w:val="00361C00"/>
    <w:rsid w:val="00395FA1"/>
    <w:rsid w:val="003A61A7"/>
    <w:rsid w:val="003E15D4"/>
    <w:rsid w:val="0040614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13D"/>
    <w:rsid w:val="006037C0"/>
    <w:rsid w:val="006631B6"/>
    <w:rsid w:val="00680577"/>
    <w:rsid w:val="00685B4B"/>
    <w:rsid w:val="006F74FA"/>
    <w:rsid w:val="00731ADD"/>
    <w:rsid w:val="00734777"/>
    <w:rsid w:val="00747932"/>
    <w:rsid w:val="00751A4A"/>
    <w:rsid w:val="00756632"/>
    <w:rsid w:val="00762C74"/>
    <w:rsid w:val="00767F1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355"/>
    <w:rsid w:val="00981893"/>
    <w:rsid w:val="009E3A77"/>
    <w:rsid w:val="00A1687D"/>
    <w:rsid w:val="00A276FC"/>
    <w:rsid w:val="00A43B5E"/>
    <w:rsid w:val="00A43E52"/>
    <w:rsid w:val="00A457F5"/>
    <w:rsid w:val="00A4678D"/>
    <w:rsid w:val="00A61250"/>
    <w:rsid w:val="00A75C5E"/>
    <w:rsid w:val="00A778C7"/>
    <w:rsid w:val="00AB441E"/>
    <w:rsid w:val="00AB6293"/>
    <w:rsid w:val="00AE0928"/>
    <w:rsid w:val="00AF3B82"/>
    <w:rsid w:val="00B12E95"/>
    <w:rsid w:val="00B22876"/>
    <w:rsid w:val="00B558F0"/>
    <w:rsid w:val="00BD48FE"/>
    <w:rsid w:val="00BD7BD8"/>
    <w:rsid w:val="00BE6ADC"/>
    <w:rsid w:val="00C05BFE"/>
    <w:rsid w:val="00C23CD4"/>
    <w:rsid w:val="00C27229"/>
    <w:rsid w:val="00C61C0C"/>
    <w:rsid w:val="00C941CB"/>
    <w:rsid w:val="00CC2357"/>
    <w:rsid w:val="00CD027D"/>
    <w:rsid w:val="00CF071A"/>
    <w:rsid w:val="00D007F2"/>
    <w:rsid w:val="00D058B8"/>
    <w:rsid w:val="00D06645"/>
    <w:rsid w:val="00D237C2"/>
    <w:rsid w:val="00D44DEF"/>
    <w:rsid w:val="00D45D31"/>
    <w:rsid w:val="00D56C11"/>
    <w:rsid w:val="00D834A0"/>
    <w:rsid w:val="00D872DF"/>
    <w:rsid w:val="00D91E21"/>
    <w:rsid w:val="00DA7FCD"/>
    <w:rsid w:val="00DF3781"/>
    <w:rsid w:val="00E0327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AF896"/>
  <w15:chartTrackingRefBased/>
  <w15:docId w15:val="{05F562F7-E911-4071-96FE-189C2B456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F378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F3781"/>
    <w:pPr>
      <w:keepNext/>
      <w:spacing w:after="480"/>
      <w:jc w:val="center"/>
    </w:pPr>
    <w:rPr>
      <w:rFonts w:ascii="Arial" w:hAnsi="Arial" w:cs="Arial"/>
      <w:b/>
    </w:rPr>
  </w:style>
  <w:style w:type="paragraph" w:customStyle="1" w:styleId="NormalHanging12a">
    <w:name w:val="NormalHanging12a"/>
    <w:basedOn w:val="Normal"/>
    <w:link w:val="NormalHanging12aChar"/>
    <w:rsid w:val="00DF3781"/>
    <w:pPr>
      <w:spacing w:after="240"/>
      <w:ind w:left="567" w:hanging="567"/>
    </w:pPr>
  </w:style>
  <w:style w:type="paragraph" w:styleId="Header">
    <w:name w:val="header"/>
    <w:basedOn w:val="Normal"/>
    <w:link w:val="HeaderChar"/>
    <w:rsid w:val="00DF3781"/>
    <w:pPr>
      <w:tabs>
        <w:tab w:val="center" w:pos="4513"/>
        <w:tab w:val="right" w:pos="9026"/>
      </w:tabs>
    </w:pPr>
  </w:style>
  <w:style w:type="character" w:customStyle="1" w:styleId="HeaderChar">
    <w:name w:val="Header Char"/>
    <w:basedOn w:val="DefaultParagraphFont"/>
    <w:link w:val="Header"/>
    <w:rsid w:val="00DF3781"/>
    <w:rPr>
      <w:sz w:val="24"/>
      <w:lang w:val="sl-SI"/>
    </w:rPr>
  </w:style>
  <w:style w:type="paragraph" w:customStyle="1" w:styleId="EPFooter">
    <w:name w:val="EPFooter"/>
    <w:basedOn w:val="Normal"/>
    <w:rsid w:val="00DF3781"/>
    <w:pPr>
      <w:tabs>
        <w:tab w:val="center" w:pos="4535"/>
        <w:tab w:val="right" w:pos="9071"/>
      </w:tabs>
      <w:spacing w:before="240" w:after="240"/>
    </w:pPr>
    <w:rPr>
      <w:color w:val="010000"/>
      <w:sz w:val="22"/>
    </w:rPr>
  </w:style>
  <w:style w:type="paragraph" w:customStyle="1" w:styleId="EPComma">
    <w:name w:val="EPComma"/>
    <w:basedOn w:val="Normal"/>
    <w:rsid w:val="00DF3781"/>
    <w:pPr>
      <w:spacing w:before="480" w:after="240"/>
    </w:pPr>
  </w:style>
  <w:style w:type="character" w:styleId="Hyperlink">
    <w:name w:val="Hyperlink"/>
    <w:basedOn w:val="DefaultParagraphFont"/>
    <w:uiPriority w:val="99"/>
    <w:rsid w:val="00DF3781"/>
    <w:rPr>
      <w:color w:val="0563C1" w:themeColor="hyperlink"/>
      <w:u w:val="single"/>
    </w:rPr>
  </w:style>
  <w:style w:type="character" w:customStyle="1" w:styleId="NormalHanging12aChar">
    <w:name w:val="NormalHanging12a Char"/>
    <w:basedOn w:val="DefaultParagraphFont"/>
    <w:link w:val="NormalHanging12a"/>
    <w:locked/>
    <w:rsid w:val="00DF3781"/>
    <w:rPr>
      <w:sz w:val="24"/>
      <w:lang w:val="sl-SI"/>
    </w:rPr>
  </w:style>
  <w:style w:type="paragraph" w:customStyle="1" w:styleId="Institutionquisigne">
    <w:name w:val="Institution qui signe"/>
    <w:basedOn w:val="Normal"/>
    <w:next w:val="Personnequisigne"/>
    <w:rsid w:val="00DF378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F3781"/>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F378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F378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F378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F3781"/>
    <w:pPr>
      <w:widowControl/>
      <w:tabs>
        <w:tab w:val="left" w:pos="4252"/>
      </w:tabs>
    </w:pPr>
    <w:rPr>
      <w:rFonts w:eastAsiaTheme="minorHAnsi"/>
      <w:i/>
      <w:szCs w:val="22"/>
      <w:lang w:eastAsia="en-US"/>
    </w:rPr>
  </w:style>
  <w:style w:type="paragraph" w:customStyle="1" w:styleId="ManualConsidrant">
    <w:name w:val="Manual Considérant"/>
    <w:basedOn w:val="Normal"/>
    <w:rsid w:val="00DF3781"/>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DF3781"/>
    <w:rPr>
      <w:rFonts w:ascii="Arial" w:hAnsi="Arial" w:cs="Arial"/>
      <w:b/>
      <w:sz w:val="24"/>
      <w:lang w:val="sl-SI"/>
    </w:rPr>
  </w:style>
  <w:style w:type="paragraph" w:styleId="Revision">
    <w:name w:val="Revision"/>
    <w:hidden/>
    <w:uiPriority w:val="99"/>
    <w:semiHidden/>
    <w:rsid w:val="00A61250"/>
    <w:rPr>
      <w:sz w:val="24"/>
      <w:lang w:val="sl-SI"/>
    </w:rPr>
  </w:style>
  <w:style w:type="character" w:styleId="CommentReference">
    <w:name w:val="annotation reference"/>
    <w:basedOn w:val="DefaultParagraphFont"/>
    <w:uiPriority w:val="99"/>
    <w:rsid w:val="00A43B5E"/>
    <w:rPr>
      <w:sz w:val="16"/>
      <w:szCs w:val="16"/>
    </w:rPr>
  </w:style>
  <w:style w:type="paragraph" w:styleId="CommentText">
    <w:name w:val="annotation text"/>
    <w:basedOn w:val="Normal"/>
    <w:link w:val="CommentTextChar"/>
    <w:rsid w:val="00A43B5E"/>
    <w:rPr>
      <w:sz w:val="20"/>
    </w:rPr>
  </w:style>
  <w:style w:type="character" w:customStyle="1" w:styleId="CommentTextChar">
    <w:name w:val="Comment Text Char"/>
    <w:basedOn w:val="DefaultParagraphFont"/>
    <w:link w:val="CommentText"/>
    <w:rsid w:val="00A43B5E"/>
    <w:rPr>
      <w:lang w:val="sl-SI"/>
    </w:rPr>
  </w:style>
  <w:style w:type="paragraph" w:styleId="CommentSubject">
    <w:name w:val="annotation subject"/>
    <w:basedOn w:val="CommentText"/>
    <w:next w:val="CommentText"/>
    <w:link w:val="CommentSubjectChar"/>
    <w:rsid w:val="00A43B5E"/>
    <w:rPr>
      <w:b/>
      <w:bCs/>
    </w:rPr>
  </w:style>
  <w:style w:type="character" w:customStyle="1" w:styleId="CommentSubjectChar">
    <w:name w:val="Comment Subject Char"/>
    <w:basedOn w:val="CommentTextChar"/>
    <w:link w:val="CommentSubject"/>
    <w:rsid w:val="00A43B5E"/>
    <w:rPr>
      <w:b/>
      <w:bCs/>
      <w:lang w:val="sl-SI"/>
    </w:rPr>
  </w:style>
  <w:style w:type="character" w:styleId="UnresolvedMention">
    <w:name w:val="Unresolved Mention"/>
    <w:basedOn w:val="DefaultParagraphFont"/>
    <w:uiPriority w:val="99"/>
    <w:semiHidden/>
    <w:unhideWhenUsed/>
    <w:rsid w:val="00A43B5E"/>
    <w:rPr>
      <w:color w:val="605E5C"/>
      <w:shd w:val="clear" w:color="auto" w:fill="E1DFDD"/>
    </w:rPr>
  </w:style>
  <w:style w:type="character" w:styleId="FollowedHyperlink">
    <w:name w:val="FollowedHyperlink"/>
    <w:basedOn w:val="DefaultParagraphFont"/>
    <w:rsid w:val="00D45D31"/>
    <w:rPr>
      <w:color w:val="954F72" w:themeColor="followedHyperlink"/>
      <w:u w:val="single"/>
    </w:rPr>
  </w:style>
  <w:style w:type="paragraph" w:styleId="NormalWeb">
    <w:name w:val="Normal (Web)"/>
    <w:basedOn w:val="Normal"/>
    <w:uiPriority w:val="99"/>
    <w:unhideWhenUsed/>
    <w:rsid w:val="00D44DEF"/>
    <w:pPr>
      <w:widowControl/>
      <w:spacing w:before="100" w:beforeAutospacing="1" w:after="100" w:afterAutospacing="1"/>
    </w:pPr>
    <w:rPr>
      <w:rFonts w:eastAsiaTheme="minorEastAsia"/>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bb.be/doc/ts/publications/economicreview/2024/ecorevi2024_h02.pdf"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2026-07-08T08:28:00Z</dcterms:created>
  <dcterms:modified xsi:type="dcterms:W3CDTF">2026-07-08T08:28:00Z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P10_TA(2026)0145_</vt:lpwstr>
  </property>
  <property fmtid="{D5CDD505-2E9C-101B-9397-08002B2CF9AE}" pid="4" name="&lt;Type&gt;">
    <vt:lpwstr>RR</vt:lpwstr>
  </property>
</Properties>
</file>