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56C0" w14:paraId="072CE161" w14:textId="77777777" w:rsidTr="0010095E">
        <w:trPr>
          <w:trHeight w:hRule="exact" w:val="1418"/>
        </w:trPr>
        <w:tc>
          <w:tcPr>
            <w:tcW w:w="6804" w:type="dxa"/>
            <w:shd w:val="clear" w:color="auto" w:fill="auto"/>
            <w:vAlign w:val="center"/>
          </w:tcPr>
          <w:p w14:paraId="27C42B69" w14:textId="1DCB40A2" w:rsidR="00751A4A" w:rsidRPr="00F256C0" w:rsidRDefault="00784F20" w:rsidP="0010095E">
            <w:pPr>
              <w:pStyle w:val="EPName"/>
            </w:pPr>
            <w:r w:rsidRPr="00F256C0">
              <w:t>Europaparlamentet</w:t>
            </w:r>
          </w:p>
          <w:p w14:paraId="2BC217C3" w14:textId="77777777" w:rsidR="00751A4A" w:rsidRPr="00F256C0" w:rsidRDefault="005F1B17" w:rsidP="005F1B17">
            <w:pPr>
              <w:pStyle w:val="EPTerm"/>
              <w:rPr>
                <w:rStyle w:val="HideTWBExt"/>
                <w:noProof w:val="0"/>
                <w:vanish w:val="0"/>
                <w:color w:val="auto"/>
              </w:rPr>
            </w:pPr>
            <w:r w:rsidRPr="00F256C0">
              <w:t>2024</w:t>
            </w:r>
            <w:r w:rsidR="00817416" w:rsidRPr="00F256C0">
              <w:t>-202</w:t>
            </w:r>
            <w:r w:rsidRPr="00F256C0">
              <w:t>9</w:t>
            </w:r>
          </w:p>
        </w:tc>
        <w:tc>
          <w:tcPr>
            <w:tcW w:w="2268" w:type="dxa"/>
            <w:shd w:val="clear" w:color="auto" w:fill="auto"/>
          </w:tcPr>
          <w:p w14:paraId="50166BA8" w14:textId="77777777" w:rsidR="00751A4A" w:rsidRPr="00F256C0" w:rsidRDefault="00187494" w:rsidP="0010095E">
            <w:pPr>
              <w:pStyle w:val="EPLogo"/>
            </w:pPr>
            <w:r w:rsidRPr="00F256C0">
              <w:rPr>
                <w:noProof/>
                <w:lang w:eastAsia="ja-JP"/>
              </w:rPr>
              <w:drawing>
                <wp:inline distT="0" distB="0" distL="0" distR="0" wp14:anchorId="45819A46" wp14:editId="18083D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CEF571" w14:textId="77777777" w:rsidR="00D058B8" w:rsidRPr="00F256C0" w:rsidRDefault="00D058B8" w:rsidP="004C5D52">
      <w:pPr>
        <w:pStyle w:val="LineTop"/>
      </w:pPr>
    </w:p>
    <w:p w14:paraId="21AADA87" w14:textId="27FDB43E" w:rsidR="00680577" w:rsidRPr="00F256C0" w:rsidRDefault="00784F20" w:rsidP="00680577">
      <w:pPr>
        <w:pStyle w:val="EPBodyTA1"/>
      </w:pPr>
      <w:r w:rsidRPr="00F256C0">
        <w:t>ANTAGNA TEXTER</w:t>
      </w:r>
    </w:p>
    <w:p w14:paraId="328E24CA" w14:textId="77777777" w:rsidR="00D058B8" w:rsidRPr="00F256C0" w:rsidRDefault="00D058B8" w:rsidP="00D058B8">
      <w:pPr>
        <w:pStyle w:val="LineBottom"/>
      </w:pPr>
    </w:p>
    <w:p w14:paraId="07CD6C41" w14:textId="155113FF" w:rsidR="00784F20" w:rsidRPr="00F256C0" w:rsidRDefault="00784F20" w:rsidP="00784F20">
      <w:pPr>
        <w:pStyle w:val="ATHeading1"/>
      </w:pPr>
      <w:bookmarkStart w:id="0" w:name="TANumber"/>
      <w:r w:rsidRPr="00F256C0">
        <w:t>P10_TA(2026)0</w:t>
      </w:r>
      <w:bookmarkEnd w:id="0"/>
      <w:r w:rsidR="00F256C0" w:rsidRPr="00F256C0">
        <w:t>145</w:t>
      </w:r>
    </w:p>
    <w:p w14:paraId="1E4CD774" w14:textId="1FACEF36" w:rsidR="00784F20" w:rsidRPr="00F256C0" w:rsidRDefault="00784F20" w:rsidP="00784F20">
      <w:pPr>
        <w:pStyle w:val="ATHeading2"/>
      </w:pPr>
      <w:bookmarkStart w:id="1" w:name="title"/>
      <w:r w:rsidRPr="00F256C0">
        <w:t>Utnyttjande av Europeiska fonden för justering för globaliseringseffekter för uppsagda arbetstagare</w:t>
      </w:r>
      <w:r w:rsidR="001B4093" w:rsidRPr="00F256C0">
        <w:t xml:space="preserve"> </w:t>
      </w:r>
      <w:r w:rsidRPr="00F256C0">
        <w:t>efter en ansökan från Belgien – EGF/2025/008 BE/Liberty</w:t>
      </w:r>
      <w:bookmarkEnd w:id="1"/>
    </w:p>
    <w:p w14:paraId="3A24D8DB" w14:textId="77777777" w:rsidR="00784F20" w:rsidRPr="00F256C0" w:rsidRDefault="00784F20" w:rsidP="00784F20">
      <w:pPr>
        <w:rPr>
          <w:i/>
          <w:vanish/>
        </w:rPr>
      </w:pPr>
      <w:r w:rsidRPr="00F256C0">
        <w:rPr>
          <w:i/>
        </w:rPr>
        <w:fldChar w:fldCharType="begin"/>
      </w:r>
      <w:r w:rsidRPr="00F256C0">
        <w:rPr>
          <w:i/>
        </w:rPr>
        <w:instrText xml:space="preserve"> TC"(</w:instrText>
      </w:r>
      <w:bookmarkStart w:id="2" w:name="DocNumber"/>
      <w:r w:rsidRPr="00F256C0">
        <w:rPr>
          <w:i/>
        </w:rPr>
        <w:instrText>A10-0084/2026</w:instrText>
      </w:r>
      <w:bookmarkEnd w:id="2"/>
      <w:r w:rsidRPr="00F256C0">
        <w:rPr>
          <w:i/>
        </w:rPr>
        <w:instrText xml:space="preserve"> - Föredragande: Matthias </w:instrText>
      </w:r>
      <w:proofErr w:type="spellStart"/>
      <w:r w:rsidRPr="00F256C0">
        <w:rPr>
          <w:i/>
        </w:rPr>
        <w:instrText>Ecke</w:instrText>
      </w:r>
      <w:proofErr w:type="spellEnd"/>
      <w:r w:rsidRPr="00F256C0">
        <w:rPr>
          <w:i/>
        </w:rPr>
        <w:instrText xml:space="preserve">)"\l3 \n&gt; \* MERGEFORMAT </w:instrText>
      </w:r>
      <w:r w:rsidRPr="00F256C0">
        <w:rPr>
          <w:i/>
        </w:rPr>
        <w:fldChar w:fldCharType="end"/>
      </w:r>
    </w:p>
    <w:p w14:paraId="3768377F" w14:textId="77777777" w:rsidR="00784F20" w:rsidRPr="00F256C0" w:rsidRDefault="00784F20" w:rsidP="00784F20">
      <w:pPr>
        <w:rPr>
          <w:vanish/>
        </w:rPr>
      </w:pPr>
      <w:bookmarkStart w:id="3" w:name="Commission"/>
      <w:r w:rsidRPr="00F256C0">
        <w:rPr>
          <w:vanish/>
        </w:rPr>
        <w:t>Budgetutskottet</w:t>
      </w:r>
      <w:bookmarkEnd w:id="3"/>
    </w:p>
    <w:p w14:paraId="611CB1D7" w14:textId="77777777" w:rsidR="00784F20" w:rsidRPr="00F256C0" w:rsidRDefault="00784F20" w:rsidP="00784F20">
      <w:pPr>
        <w:rPr>
          <w:vanish/>
        </w:rPr>
      </w:pPr>
      <w:bookmarkStart w:id="4" w:name="PE"/>
      <w:r w:rsidRPr="00F256C0">
        <w:rPr>
          <w:vanish/>
        </w:rPr>
        <w:t>PE785.333</w:t>
      </w:r>
      <w:bookmarkEnd w:id="4"/>
    </w:p>
    <w:p w14:paraId="0CACA6FC" w14:textId="48AA9DA2" w:rsidR="00784F20" w:rsidRPr="00F256C0" w:rsidRDefault="00784F20" w:rsidP="00784F20">
      <w:pPr>
        <w:pStyle w:val="ATHeading3"/>
      </w:pPr>
      <w:bookmarkStart w:id="5" w:name="Sujet"/>
      <w:r w:rsidRPr="00F256C0">
        <w:t xml:space="preserve">Europaparlamentets resolution av den </w:t>
      </w:r>
      <w:r w:rsidR="001B4093" w:rsidRPr="00F256C0">
        <w:t>29 april</w:t>
      </w:r>
      <w:r w:rsidRPr="00F256C0">
        <w:t xml:space="preserve"> 2026 om förslaget till Europaparlamentets och rådets beslut om utnyttjande av Europeiska fonden för justering för globaliseringseffekter för uppsagda arbetstagare efter en ansökan från Belgien – EGF/2025/008 BE/Liberty</w:t>
      </w:r>
      <w:bookmarkEnd w:id="5"/>
      <w:r w:rsidRPr="00F256C0">
        <w:t xml:space="preserve"> </w:t>
      </w:r>
      <w:bookmarkStart w:id="6" w:name="References"/>
      <w:r w:rsidRPr="00F256C0">
        <w:t>(COM(2026)0004 – C10-0062/2026 – 2026/0066(BUD))</w:t>
      </w:r>
      <w:bookmarkEnd w:id="6"/>
    </w:p>
    <w:p w14:paraId="0FF3F692" w14:textId="77777777" w:rsidR="00512D63" w:rsidRPr="00F256C0" w:rsidRDefault="00512D63" w:rsidP="00512D63">
      <w:pPr>
        <w:pStyle w:val="EPComma"/>
        <w:rPr>
          <w:noProof/>
        </w:rPr>
      </w:pPr>
      <w:r w:rsidRPr="00F256C0">
        <w:rPr>
          <w:i/>
          <w:iCs/>
        </w:rPr>
        <w:t>Europaparlamentet utfärdar denna resolution</w:t>
      </w:r>
    </w:p>
    <w:p w14:paraId="1D47071F" w14:textId="77777777" w:rsidR="00512D63" w:rsidRPr="00F256C0" w:rsidRDefault="00512D63" w:rsidP="00512D63">
      <w:pPr>
        <w:pStyle w:val="NormalHanging12a"/>
        <w:rPr>
          <w:noProof/>
        </w:rPr>
      </w:pPr>
      <w:r w:rsidRPr="00F256C0">
        <w:t>–</w:t>
      </w:r>
      <w:r w:rsidRPr="00F256C0">
        <w:tab/>
        <w:t>med beaktande av kommissionens förslag till Europaparlamentet och rådet (COM(2026)0004 – C10</w:t>
      </w:r>
      <w:r w:rsidRPr="00F256C0">
        <w:noBreakHyphen/>
        <w:t>0062/2026),</w:t>
      </w:r>
    </w:p>
    <w:p w14:paraId="48E9000F" w14:textId="77777777" w:rsidR="00512D63" w:rsidRPr="00F256C0" w:rsidRDefault="00512D63" w:rsidP="00512D63">
      <w:pPr>
        <w:pStyle w:val="NormalHanging12a"/>
      </w:pPr>
      <w:r w:rsidRPr="00F256C0">
        <w:t>–</w:t>
      </w:r>
      <w:r w:rsidRPr="00F256C0">
        <w:tab/>
        <w:t>med beaktande av Europaparlamentets och rådets förordning (EU) 2021/691 av den 28 april 2021 om Europeiska fonden för justering för globaliseringseffekter för uppsagda arbetstagare (EGF) och om upphävande av förordning (EU) nr 1309/2013</w:t>
      </w:r>
      <w:r w:rsidRPr="00F256C0">
        <w:rPr>
          <w:vertAlign w:val="superscript"/>
        </w:rPr>
        <w:footnoteReference w:id="1"/>
      </w:r>
      <w:r w:rsidRPr="00F256C0">
        <w:t xml:space="preserve"> (</w:t>
      </w:r>
      <w:r w:rsidRPr="00F256C0">
        <w:rPr>
          <w:i/>
          <w:iCs/>
        </w:rPr>
        <w:t>EGF-förordningen</w:t>
      </w:r>
      <w:r w:rsidRPr="00F256C0">
        <w:t xml:space="preserve">), </w:t>
      </w:r>
    </w:p>
    <w:p w14:paraId="2DB42A73" w14:textId="77777777" w:rsidR="00512D63" w:rsidRPr="00F256C0" w:rsidRDefault="00512D63" w:rsidP="00512D63">
      <w:pPr>
        <w:pStyle w:val="NormalHanging12a"/>
        <w:rPr>
          <w:noProof/>
        </w:rPr>
      </w:pPr>
      <w:r w:rsidRPr="00F256C0">
        <w:t>–</w:t>
      </w:r>
      <w:r w:rsidRPr="00F256C0">
        <w:tab/>
        <w:t>med beaktande av rådets förordning (EU, Euratom) 2020/2093 av den 17 december 2020 om den fleråriga budgetramen för 2021–2027</w:t>
      </w:r>
      <w:r w:rsidRPr="00F256C0">
        <w:rPr>
          <w:noProof/>
          <w:vertAlign w:val="superscript"/>
        </w:rPr>
        <w:footnoteReference w:id="2"/>
      </w:r>
      <w:r w:rsidRPr="00F256C0">
        <w:t>, i dess ändrade lydelse enligt förordning (EU, Euratom) 2024/765</w:t>
      </w:r>
      <w:r w:rsidRPr="00F256C0">
        <w:rPr>
          <w:noProof/>
          <w:vertAlign w:val="superscript"/>
        </w:rPr>
        <w:footnoteReference w:id="3"/>
      </w:r>
      <w:r w:rsidRPr="00F256C0">
        <w:t xml:space="preserve">, särskilt artikel 8, </w:t>
      </w:r>
    </w:p>
    <w:p w14:paraId="73CD3FF0" w14:textId="77777777" w:rsidR="00512D63" w:rsidRPr="00F256C0" w:rsidRDefault="00512D63" w:rsidP="00512D63">
      <w:pPr>
        <w:pStyle w:val="NormalHanging12a"/>
        <w:rPr>
          <w:noProof/>
        </w:rPr>
      </w:pPr>
      <w:r w:rsidRPr="00F256C0">
        <w:t>–</w:t>
      </w:r>
      <w:r w:rsidRPr="00F256C0">
        <w:tab/>
        <w:t xml:space="preserve">med beaktande av det interinstitutionella avtalet av den 16 december 2020 mellan Europaparlamentet, Europeiska unionens råd och Europeiska kommissionen om budgetdisciplin, samarbete i budgetfrågor och sund ekonomisk förvaltning samt om nya </w:t>
      </w:r>
      <w:r w:rsidRPr="00F256C0">
        <w:lastRenderedPageBreak/>
        <w:t>egna medel, inbegripet en färdplan för införandet av nya egna medel</w:t>
      </w:r>
      <w:r w:rsidRPr="00F256C0">
        <w:rPr>
          <w:rStyle w:val="FootnoteReference"/>
          <w:noProof/>
        </w:rPr>
        <w:footnoteReference w:id="4"/>
      </w:r>
      <w:r w:rsidRPr="00F256C0">
        <w:t>, särskilt punkt 9,</w:t>
      </w:r>
    </w:p>
    <w:p w14:paraId="241AC2F0" w14:textId="77777777" w:rsidR="00512D63" w:rsidRPr="00F256C0" w:rsidRDefault="00512D63" w:rsidP="00512D63">
      <w:pPr>
        <w:pStyle w:val="NormalHanging12a"/>
      </w:pPr>
      <w:r w:rsidRPr="00F256C0">
        <w:t>–</w:t>
      </w:r>
      <w:r w:rsidRPr="00F256C0">
        <w:tab/>
        <w:t>med beaktande av den europeiska pelaren för sociala rättigheter,</w:t>
      </w:r>
    </w:p>
    <w:p w14:paraId="31B548A1" w14:textId="77777777" w:rsidR="00512D63" w:rsidRPr="00F256C0" w:rsidRDefault="00512D63" w:rsidP="00512D63">
      <w:pPr>
        <w:pStyle w:val="NormalHanging12a"/>
      </w:pPr>
      <w:r w:rsidRPr="00F256C0">
        <w:t>–</w:t>
      </w:r>
      <w:r w:rsidRPr="00F256C0">
        <w:tab/>
        <w:t>med beaktande av skrivelsen från utskottet för sysselsättning och sociala frågor,</w:t>
      </w:r>
    </w:p>
    <w:p w14:paraId="12B0215B" w14:textId="77777777" w:rsidR="00512D63" w:rsidRPr="00F256C0" w:rsidRDefault="00512D63" w:rsidP="00512D63">
      <w:pPr>
        <w:pStyle w:val="NormalHanging12a"/>
      </w:pPr>
      <w:r w:rsidRPr="00F256C0">
        <w:t>–</w:t>
      </w:r>
      <w:r w:rsidRPr="00F256C0">
        <w:tab/>
        <w:t>med beaktande av betänkandet från budgetutskottet (A10-0084/2026), och av följande skäl:</w:t>
      </w:r>
    </w:p>
    <w:p w14:paraId="09FC63DF" w14:textId="77777777" w:rsidR="00512D63" w:rsidRPr="00F256C0" w:rsidRDefault="00512D63" w:rsidP="00512D63">
      <w:pPr>
        <w:pStyle w:val="NormalHanging12a"/>
        <w:rPr>
          <w:noProof/>
        </w:rPr>
      </w:pPr>
      <w:r w:rsidRPr="00F256C0">
        <w:t>A.</w:t>
      </w:r>
      <w:r w:rsidRPr="00F256C0">
        <w:tab/>
        <w:t>Unionen har inrättat lagstiftnings- och budgetinstrument för att ge kompletterande stöd till arbetstagare som drabbas av effekterna av genomgripande strukturförändringar inom världshandeln och för att underlätta deras återinträde på arbetsmarknaden. Detta stöd ges i form av ekonomiskt stöd till arbetstagare.</w:t>
      </w:r>
    </w:p>
    <w:p w14:paraId="32902440" w14:textId="77777777" w:rsidR="00512D63" w:rsidRPr="00F256C0" w:rsidRDefault="00512D63" w:rsidP="00512D63">
      <w:pPr>
        <w:pStyle w:val="NormalHanging12a"/>
        <w:rPr>
          <w:bCs/>
          <w:iCs/>
          <w:noProof/>
        </w:rPr>
      </w:pPr>
      <w:r w:rsidRPr="00F256C0">
        <w:t>B.</w:t>
      </w:r>
      <w:r w:rsidRPr="00F256C0">
        <w:tab/>
        <w:t>Stödet bör inriktas på en snabb återintegrering av arbetstagare och på att säkerställa att utbildning, omskolning och yrkesutbildning bättre förser arbetstagarna med färdigheter som är anpassade till arbetsmarknadens behov.</w:t>
      </w:r>
    </w:p>
    <w:p w14:paraId="5ECB749A" w14:textId="77777777" w:rsidR="00512D63" w:rsidRPr="00F256C0" w:rsidRDefault="00512D63" w:rsidP="00512D63">
      <w:pPr>
        <w:pStyle w:val="NormalHanging12a"/>
      </w:pPr>
      <w:r w:rsidRPr="00F256C0">
        <w:t>C.</w:t>
      </w:r>
      <w:r w:rsidRPr="00F256C0">
        <w:tab/>
        <w:t>Belgien lämnade in ansökan EGF/2025/008 BE/Liberty om ekonomiskt bidrag från EGF till följd av 507 uppsägningar</w:t>
      </w:r>
      <w:r w:rsidRPr="00F256C0">
        <w:rPr>
          <w:vertAlign w:val="superscript"/>
        </w:rPr>
        <w:footnoteReference w:id="5"/>
      </w:r>
      <w:r w:rsidRPr="00F256C0">
        <w:t xml:space="preserve"> vid Liberty </w:t>
      </w:r>
      <w:proofErr w:type="spellStart"/>
      <w:r w:rsidRPr="00F256C0">
        <w:t>Galaţi</w:t>
      </w:r>
      <w:proofErr w:type="spellEnd"/>
      <w:r w:rsidRPr="00F256C0">
        <w:t xml:space="preserve"> </w:t>
      </w:r>
      <w:proofErr w:type="spellStart"/>
      <w:r w:rsidRPr="00F256C0">
        <w:t>Belgian</w:t>
      </w:r>
      <w:proofErr w:type="spellEnd"/>
      <w:r w:rsidRPr="00F256C0">
        <w:t xml:space="preserve"> </w:t>
      </w:r>
      <w:proofErr w:type="spellStart"/>
      <w:r w:rsidRPr="00F256C0">
        <w:t>Branch</w:t>
      </w:r>
      <w:proofErr w:type="spellEnd"/>
      <w:r w:rsidRPr="00F256C0">
        <w:t xml:space="preserve"> (Liberty) inom den näringsgren som i </w:t>
      </w:r>
      <w:proofErr w:type="spellStart"/>
      <w:r w:rsidRPr="00F256C0">
        <w:t>Nace</w:t>
      </w:r>
      <w:proofErr w:type="spellEnd"/>
      <w:r w:rsidRPr="00F256C0">
        <w:t xml:space="preserve"> rev. 2 klassificeras som huvudgrupp 24 (Stål- och metallframställning) i regionen Liège (BE33), Vallonien, under referensperioden 24 april 2025–24 augusti 2025.</w:t>
      </w:r>
    </w:p>
    <w:p w14:paraId="3E45317B" w14:textId="77777777" w:rsidR="00512D63" w:rsidRPr="00F256C0" w:rsidRDefault="00512D63" w:rsidP="00512D63">
      <w:pPr>
        <w:pStyle w:val="NormalHanging12a"/>
      </w:pPr>
      <w:r w:rsidRPr="00F256C0">
        <w:t>D.</w:t>
      </w:r>
      <w:r w:rsidRPr="00F256C0">
        <w:tab/>
        <w:t>Ansökan baseras på insatskriteriet i artikel 4.2 a i EGF-förordningen, enligt vilket verksamheten för minst 200 uppsagda arbetstagare eller egenföretagare ska ha upphört under en referensperiod på fyra månader i ett företag i en medlemsstat.</w:t>
      </w:r>
    </w:p>
    <w:p w14:paraId="7F8806FC" w14:textId="77777777" w:rsidR="00512D63" w:rsidRPr="00F256C0" w:rsidRDefault="00512D63" w:rsidP="00512D63">
      <w:pPr>
        <w:pStyle w:val="NormalHanging12a"/>
        <w:rPr>
          <w:noProof/>
        </w:rPr>
      </w:pPr>
      <w:r w:rsidRPr="00F256C0">
        <w:t>E.</w:t>
      </w:r>
      <w:r w:rsidRPr="00F256C0">
        <w:tab/>
        <w:t>Liberty försattes i konkurs av handelsdomstolen i Liège den 22 april 2025. Antalet konkurser har ökat i Belgien sedan 2022.</w:t>
      </w:r>
    </w:p>
    <w:p w14:paraId="2080E071" w14:textId="77777777" w:rsidR="00512D63" w:rsidRPr="00F256C0" w:rsidRDefault="00512D63" w:rsidP="00512D63">
      <w:pPr>
        <w:pStyle w:val="NormalHanging12a"/>
      </w:pPr>
      <w:r w:rsidRPr="00F256C0">
        <w:t>F.</w:t>
      </w:r>
      <w:r w:rsidRPr="00F256C0">
        <w:tab/>
        <w:t xml:space="preserve">Regionen Vallonien och Le </w:t>
      </w:r>
      <w:proofErr w:type="spellStart"/>
      <w:r w:rsidRPr="00F256C0">
        <w:t>Forem</w:t>
      </w:r>
      <w:proofErr w:type="spellEnd"/>
      <w:r w:rsidRPr="00F256C0">
        <w:t xml:space="preserve"> tillhandahåller den nationella förfinansieringen och medfinansieringen av åtgärderna.</w:t>
      </w:r>
    </w:p>
    <w:p w14:paraId="0B2F224D" w14:textId="77777777" w:rsidR="00512D63" w:rsidRPr="00F256C0" w:rsidRDefault="00512D63" w:rsidP="00512D63">
      <w:pPr>
        <w:pStyle w:val="NormalHanging12a"/>
      </w:pPr>
      <w:r w:rsidRPr="00F256C0">
        <w:t>G.</w:t>
      </w:r>
      <w:r w:rsidRPr="00F256C0">
        <w:tab/>
        <w:t>De krav som rör kollektiva uppsägningar i unionens lagstiftning och i den nationella lagstiftningen är uppfyllda.</w:t>
      </w:r>
    </w:p>
    <w:p w14:paraId="2A438FE2" w14:textId="77777777" w:rsidR="00512D63" w:rsidRPr="00F256C0" w:rsidRDefault="00512D63" w:rsidP="00512D63">
      <w:pPr>
        <w:pStyle w:val="NormalHanging12a"/>
      </w:pPr>
      <w:r w:rsidRPr="00F256C0">
        <w:t>H.</w:t>
      </w:r>
      <w:r w:rsidRPr="00F256C0">
        <w:tab/>
        <w:t>Ekonomiskt stöd från EGF bör i första hand inriktas på aktiva arbetsmarknadsåtgärder och individanpassade tjänster som syftar till att snabbt få stödmottagarna att återgå till arbetsmarknaden och erbjuda dem kompetensutveckling för att underlätta deras tillträde till arbetsmarknaden.</w:t>
      </w:r>
    </w:p>
    <w:p w14:paraId="7CF39582" w14:textId="77777777" w:rsidR="00512D63" w:rsidRPr="00F256C0" w:rsidRDefault="00512D63" w:rsidP="00512D63">
      <w:pPr>
        <w:pStyle w:val="NormalHanging12a"/>
      </w:pPr>
      <w:r w:rsidRPr="00F256C0">
        <w:t>I.</w:t>
      </w:r>
      <w:r w:rsidRPr="00F256C0">
        <w:tab/>
        <w:t>EGF får inte överstiga ett årligt maximibelopp på 30 miljoner EUR (i 2018 års priser)</w:t>
      </w:r>
      <w:r w:rsidRPr="00F256C0">
        <w:rPr>
          <w:rStyle w:val="FootnoteReference"/>
        </w:rPr>
        <w:footnoteReference w:id="6"/>
      </w:r>
      <w:r w:rsidRPr="00F256C0">
        <w:t>.</w:t>
      </w:r>
    </w:p>
    <w:p w14:paraId="27BB9636" w14:textId="77777777" w:rsidR="00512D63" w:rsidRPr="00F256C0" w:rsidRDefault="00512D63" w:rsidP="00512D63">
      <w:pPr>
        <w:pStyle w:val="NormalHanging12a"/>
      </w:pPr>
      <w:r w:rsidRPr="00F256C0">
        <w:t>1.</w:t>
      </w:r>
      <w:r w:rsidRPr="00F256C0">
        <w:tab/>
        <w:t xml:space="preserve">Europaparlamentet delar kommissionens åsikt att villkoren i EGF-förordningen, särskilt artikel 4.2 a, är uppfyllda och att Belgien är berättigat till ekonomiskt stöd på 2 033 869 EUR enligt den förordningen, vilket utgör 85 % av de totala kostnaderna på </w:t>
      </w:r>
      <w:r w:rsidRPr="00F256C0">
        <w:lastRenderedPageBreak/>
        <w:t>2 392 788 EUR, bestående av utgifter för individanpassade tjänster på 2 358 922 EUR och utgifter för förberedande åtgärder samt för förvaltning, information och marknadsföring, kontroll och rapportering på 33 866 EUR.</w:t>
      </w:r>
    </w:p>
    <w:p w14:paraId="627E645D" w14:textId="77777777" w:rsidR="00512D63" w:rsidRPr="00F256C0" w:rsidRDefault="00512D63" w:rsidP="00512D63">
      <w:pPr>
        <w:pStyle w:val="NormalHanging12a"/>
      </w:pPr>
      <w:r w:rsidRPr="00F256C0">
        <w:t>2.</w:t>
      </w:r>
      <w:r w:rsidRPr="00F256C0">
        <w:tab/>
        <w:t xml:space="preserve">Europaparlamentet noterar att de belgiska myndigheterna lämnade in ansökan den 13 november 2025 och att kommissionen, utifrån den ytterligare information som Belgien lämnade, slutförde sin bedömning och underrättade parlamentet den 2 mars 2026. Parlamentet betonar behovet av att förkorta tiden mellan en EGF-ansökan och finansieringsbeslutet, samtidigt som parlamentets budgeträttigheter skyddas. </w:t>
      </w:r>
    </w:p>
    <w:p w14:paraId="25DD4051" w14:textId="77777777" w:rsidR="00512D63" w:rsidRPr="00F256C0" w:rsidRDefault="00512D63" w:rsidP="00512D63">
      <w:pPr>
        <w:pStyle w:val="NormalHanging12a"/>
      </w:pPr>
      <w:r w:rsidRPr="00F256C0">
        <w:t>3.</w:t>
      </w:r>
      <w:r w:rsidRPr="00F256C0">
        <w:tab/>
        <w:t>Europaparlamentet noterar att ansökan gäller 507 arbetstagare som sagts upp av företaget Liberty.</w:t>
      </w:r>
    </w:p>
    <w:p w14:paraId="33F938EC" w14:textId="77777777" w:rsidR="00512D63" w:rsidRPr="00F256C0" w:rsidRDefault="00512D63" w:rsidP="00512D63">
      <w:pPr>
        <w:pStyle w:val="NormalHanging12a"/>
      </w:pPr>
      <w:r w:rsidRPr="00F256C0">
        <w:t>4.</w:t>
      </w:r>
      <w:r w:rsidRPr="00F256C0">
        <w:tab/>
        <w:t xml:space="preserve">Europaparlamentet noterar att Liberty före konkursförklaringen drabbats av år av ekonomiska svårigheter på grund av ogynnsamma villkor på stålmarknaden, covid-19-relaterade störningar i leveranskedjan och höga energipriser till följd av Rysslands anfallskrig mot Ukraina, i kombination med unionens beroende av importerat fossilt bränsle och otillräcklig utbyggnad av billigare energikällor. Parlamentet noterar att Liberty Steel Lièges galvaniseringslinjer har stått stilla sedan december 2021, främst på grund av brist på råmaterial, vilket utlöste en omstrukturering som ledde till att företaget lagligen överfördes till Liberty </w:t>
      </w:r>
      <w:proofErr w:type="spellStart"/>
      <w:r w:rsidRPr="00F256C0">
        <w:t>Galaţi</w:t>
      </w:r>
      <w:proofErr w:type="spellEnd"/>
      <w:r w:rsidRPr="00F256C0">
        <w:t xml:space="preserve"> 2023. Parlamentet beklagar att produktionsverksamheten trots övertagandet inte återupptogs och kulminerade i konkurs.</w:t>
      </w:r>
    </w:p>
    <w:p w14:paraId="7B0972DF" w14:textId="77777777" w:rsidR="00512D63" w:rsidRPr="00F256C0" w:rsidRDefault="00512D63" w:rsidP="00512D63">
      <w:pPr>
        <w:pStyle w:val="NormalHanging12a"/>
        <w:rPr>
          <w:noProof/>
        </w:rPr>
      </w:pPr>
      <w:r w:rsidRPr="00F256C0">
        <w:t>5.</w:t>
      </w:r>
      <w:r w:rsidRPr="00F256C0">
        <w:tab/>
        <w:t xml:space="preserve">Europaparlamentet noterar att de svårigheter som Liberty Steel drabbats av också är kopplade till företagsspecifika faktorer till följd av GFG-alliansens förvärv av företaget från </w:t>
      </w:r>
      <w:proofErr w:type="spellStart"/>
      <w:r w:rsidRPr="00F256C0">
        <w:t>ArcelorMittal</w:t>
      </w:r>
      <w:proofErr w:type="spellEnd"/>
      <w:r w:rsidRPr="00F256C0">
        <w:t>. Parlamentet betonar att det funnits allvarliga farhågor i fråga om affärsmodellens finansiella hållbarhet och underlåtenheten att uppfylla investeringsåtaganden, vilket bidrog till försämringen av anläggningens ekonomiska situation och åtföljande uppsägningar.</w:t>
      </w:r>
    </w:p>
    <w:p w14:paraId="3488DD9B" w14:textId="77777777" w:rsidR="00512D63" w:rsidRPr="00F256C0" w:rsidRDefault="00512D63" w:rsidP="00512D63">
      <w:pPr>
        <w:pStyle w:val="NormalHanging12a"/>
        <w:rPr>
          <w:b/>
          <w:bCs/>
          <w:i/>
          <w:iCs/>
        </w:rPr>
      </w:pPr>
      <w:bookmarkStart w:id="7" w:name="_Hlk225497832"/>
      <w:r w:rsidRPr="00F256C0">
        <w:t>6.</w:t>
      </w:r>
      <w:r w:rsidRPr="00F256C0">
        <w:tab/>
        <w:t>Europaparlamentet konstaterar att regionen Vallonien genomgått en avindustrialiseringsprocess och ekonomisk omvandling</w:t>
      </w:r>
      <w:r w:rsidRPr="00F256C0">
        <w:rPr>
          <w:rStyle w:val="FootnoteReference"/>
        </w:rPr>
        <w:footnoteReference w:id="7"/>
      </w:r>
      <w:r w:rsidRPr="00F256C0">
        <w:t>. Parlamentet konstaterar att Libertys konkurs är en stor social chock för Vallonien, en region</w:t>
      </w:r>
      <w:bookmarkEnd w:id="7"/>
      <w:r w:rsidRPr="00F256C0">
        <w:t xml:space="preserve"> vars arbetsmarknad redan försvagats av andra omstruktureringar. Parlamentet betonar att stålsektorn fortsättningsvis är en viktig ekonomisk sektor för Belgien, där andelen arbetsplatser inom stålindustrin per invånare fortfarande är hög. Parlamentet uppmanar de belgiska myndigheterna att tillhandahålla stöd som är skräddarsytt för denna grupp för att hjälpa arbetstagarna att utveckla nödvändiga färdigheter för att hitta nya jobb av hög kvalitet, samtidigt som åtgärder vidtas för att minska konkurserna och ta itu med de sociala skillnader som leder till utestängning av arbetskraft. Parlamentet betonar att unionen upprätthåller ett företagsvänligt klimat som utnyttjar ekonomisk tillväxt, främjar innovation, stöder teknisk utveckling, stärker konkurrenskraften och minskar onödiga regelbördor och förenklar byråkratiska förfaranden, och betonar behovet av politik som främjar industriell konkurrenskraft, territoriell, ekonomisk och social sammanhållning och regional utveckling. Parlamentet betonar betydelsen av en konkurrenskraftig och motståndskraftig europeisk stålsektor som grund för en stark industri av hög kvalitet och som en central pelare för unionens strategiska oberoende.</w:t>
      </w:r>
    </w:p>
    <w:p w14:paraId="01AA623F" w14:textId="77777777" w:rsidR="00512D63" w:rsidRPr="00F256C0" w:rsidRDefault="00512D63" w:rsidP="00512D63">
      <w:pPr>
        <w:pStyle w:val="NormalHanging12a"/>
      </w:pPr>
      <w:r w:rsidRPr="00F256C0">
        <w:lastRenderedPageBreak/>
        <w:t>7.</w:t>
      </w:r>
      <w:r w:rsidRPr="00F256C0">
        <w:tab/>
        <w:t>Europaparlamentet påminner om att 1 av 4 registrerade arbetssökande i Vallonien är över 50 år och möter stora hinder för återinträde på arbetsmarknaden. Parlamentet noterar att övergångarna på arbetsmarknaden för Libertys arbetstagare, trots deras höga specialiseringsnivå, försvåras av deras höga ålder (52 % av arbetstagarna är 55 år eller äldre). Parlamentet noterar att 69 % av de uppsagda arbetstagarna har en låg utbildningsnivå.</w:t>
      </w:r>
    </w:p>
    <w:p w14:paraId="0087C3B0" w14:textId="77777777" w:rsidR="00512D63" w:rsidRPr="00F256C0" w:rsidRDefault="00512D63" w:rsidP="00512D63">
      <w:pPr>
        <w:pStyle w:val="NormalHanging12a"/>
      </w:pPr>
      <w:bookmarkStart w:id="8" w:name="_Hlk226546977"/>
      <w:r w:rsidRPr="00F256C0">
        <w:t>8.</w:t>
      </w:r>
      <w:r w:rsidRPr="00F256C0">
        <w:tab/>
        <w:t>Europaparlamentet påminner om att de individanpassade tjänster som ska tillhandahållas arbetstagarna i samförstånd med fackföreningar och regionala myndigheter består av följande åtgärder: Omställning och yrkesvägledning. Utbildning, omskolning och yrkesutbildning, inbegripet it-färdigheter. Stöd för företagande. Starta eget-bidrag. Incitament och andra bidrag. Parlamentet betonar vikten av att öka investeringarna i innovation, kompetens och industriell modernisering för att stärka den europeiska industrins konkurrenskraft och säkerställa att arbetstagarna är rustade för arbetsmarknadens föränderliga behov.</w:t>
      </w:r>
      <w:bookmarkEnd w:id="8"/>
    </w:p>
    <w:p w14:paraId="736ADE46" w14:textId="77777777" w:rsidR="00512D63" w:rsidRPr="00F256C0" w:rsidRDefault="00512D63" w:rsidP="00512D63">
      <w:pPr>
        <w:pStyle w:val="NormalHanging12a"/>
      </w:pPr>
      <w:r w:rsidRPr="00F256C0">
        <w:t>9.</w:t>
      </w:r>
      <w:r w:rsidRPr="00F256C0">
        <w:tab/>
        <w:t xml:space="preserve">Europaparlamentet betonar vikten av att främja framtidsorienterade arbetstillfällen av hög kvalitet som stärker konkurrenskraften, främjar digital omvandling och tillgodoser arbetsmarknadens behov, för att säkerställa långsiktig ekonomisk och social </w:t>
      </w:r>
      <w:proofErr w:type="spellStart"/>
      <w:r w:rsidRPr="00F256C0">
        <w:t>resiliens</w:t>
      </w:r>
      <w:proofErr w:type="spellEnd"/>
      <w:r w:rsidRPr="00F256C0">
        <w:t>. Parlamentet anser därför att utnyttjandet av EGF måste ingå i en bredare politisk insats på alla politiska nivåer för att säkerställa att de berörda arbetstagarna hittar lämpliga möjligheter i linje med sina kvalifikationer och färdigheter. Parlamentet påpekar att EGF är ett instrument för solidaritet och rättvis omställning och att unionens främsta uppgift måste vara att förhindra sådana nedläggningar.</w:t>
      </w:r>
    </w:p>
    <w:p w14:paraId="65DE2220" w14:textId="77777777" w:rsidR="00512D63" w:rsidRPr="00F256C0" w:rsidRDefault="00512D63" w:rsidP="00512D63">
      <w:pPr>
        <w:pStyle w:val="NormalHanging12a"/>
      </w:pPr>
      <w:r w:rsidRPr="00F256C0">
        <w:t>10.</w:t>
      </w:r>
      <w:r w:rsidRPr="00F256C0">
        <w:tab/>
        <w:t>Europaparlamentet understryker vikten av att stärka unionens industriella konkurrenskraft och främja investeringar i strategiska industrisektorer för att förhindra ytterligare avindustrialisering och uppsägningar och stödja skapandet av arbetstillfällen. Parlamentet betonar behovet av en övergång till förnybar energi, tillsammans med andra åtgärder för att säkerställa överkomliga energipriser.</w:t>
      </w:r>
    </w:p>
    <w:p w14:paraId="15D018A5" w14:textId="77777777" w:rsidR="00512D63" w:rsidRPr="00F256C0" w:rsidRDefault="00512D63" w:rsidP="00512D63">
      <w:pPr>
        <w:pStyle w:val="NormalHanging12a"/>
        <w:rPr>
          <w:bCs/>
          <w:iCs/>
        </w:rPr>
      </w:pPr>
      <w:r w:rsidRPr="00F256C0">
        <w:t>11.</w:t>
      </w:r>
      <w:r w:rsidRPr="00F256C0">
        <w:tab/>
        <w:t>Europaparlamentet betonar att de belgiska myndigheterna ska säkerställa unionsfinansieringens synlighet och lyfta fram dess mervärde genom att tillhandahålla effektiv och riktad information till stödmottagare, regionala och lokala myndigheter, arbetsmarknadens parter och den bredare allmänheten.</w:t>
      </w:r>
    </w:p>
    <w:p w14:paraId="6B4E1E72" w14:textId="77777777" w:rsidR="00512D63" w:rsidRPr="00F256C0" w:rsidRDefault="00512D63" w:rsidP="00512D63">
      <w:pPr>
        <w:pStyle w:val="NormalHanging12a"/>
      </w:pPr>
      <w:r w:rsidRPr="00F256C0">
        <w:t>12.</w:t>
      </w:r>
      <w:r w:rsidRPr="00F256C0">
        <w:tab/>
        <w:t xml:space="preserve">Europaparlamentet efterlyser en grundlig slutlig utvärdering tillsammans med arbetsmarknadens parter av de åtgärder som genomförts, inbegripet tydlig och transparent information om hur medlen har använts, återintegreringen av arbetstagare på arbetsmarknaden och huruvida </w:t>
      </w:r>
      <w:proofErr w:type="spellStart"/>
      <w:r w:rsidRPr="00F256C0">
        <w:t>EGF:s</w:t>
      </w:r>
      <w:proofErr w:type="spellEnd"/>
      <w:r w:rsidRPr="00F256C0">
        <w:t xml:space="preserve"> mål har uppnåtts. Parlamentet betonar i detta sammanhang vikten av regelbunden övervakning av de åtgärder som finansieras av EGF för att bedöma deras effektivitet.</w:t>
      </w:r>
    </w:p>
    <w:p w14:paraId="2EF2F792" w14:textId="77777777" w:rsidR="00512D63" w:rsidRPr="00F256C0" w:rsidRDefault="00512D63" w:rsidP="00512D63">
      <w:pPr>
        <w:pStyle w:val="NormalHanging12a"/>
      </w:pPr>
      <w:r w:rsidRPr="00F256C0">
        <w:t>13.</w:t>
      </w:r>
      <w:r w:rsidRPr="00F256C0">
        <w:tab/>
        <w:t>Europarlamentet noterar att Belgien började tillhandahålla individanpassade tjänster till de berörda stödmottagarna den 1 juni 2025 och att perioden för berättigande till ekonomiskt bidrag från EGF kommer att löpa från och med detta datum och till och med 24 månader efter den dag då finansieringsbeslutet träder i kraft.</w:t>
      </w:r>
    </w:p>
    <w:p w14:paraId="3A107521" w14:textId="77777777" w:rsidR="00512D63" w:rsidRPr="00F256C0" w:rsidRDefault="00512D63" w:rsidP="00512D63">
      <w:pPr>
        <w:pStyle w:val="NormalHanging12a"/>
        <w:rPr>
          <w:sz w:val="23"/>
          <w:szCs w:val="23"/>
        </w:rPr>
      </w:pPr>
      <w:r w:rsidRPr="00F256C0">
        <w:t>14.</w:t>
      </w:r>
      <w:r w:rsidRPr="00F256C0">
        <w:tab/>
        <w:t xml:space="preserve">Europaparlamentet noterar att Belgien började ådra sig administrativa kostnader för att genomföra EGF den 22 april 2025, och att dessa utgifter därför ska berättiga till ekonomiskt bidrag från EGF från och med detta datum och till och med 31 månader </w:t>
      </w:r>
      <w:r w:rsidRPr="00F256C0">
        <w:lastRenderedPageBreak/>
        <w:t>efter den dag då finansieringsbeslutet träder i kraft.</w:t>
      </w:r>
    </w:p>
    <w:p w14:paraId="246A4BB5" w14:textId="77777777" w:rsidR="00512D63" w:rsidRPr="00F256C0" w:rsidRDefault="00512D63" w:rsidP="00512D63">
      <w:pPr>
        <w:pStyle w:val="NormalHanging12a"/>
      </w:pPr>
      <w:r w:rsidRPr="00F256C0">
        <w:t>15.</w:t>
      </w:r>
      <w:r w:rsidRPr="00F256C0">
        <w:tab/>
        <w:t>Europaparlamentet noterar att de belgiska myndigheterna har bekräftat att principerna om likabehandling och icke-diskriminering kommer att respekteras när det gäller tillgången till de föreslagna åtgärderna och deras genomförande och att dubbelfinansiering kommer att förhindras.</w:t>
      </w:r>
    </w:p>
    <w:p w14:paraId="1CE714A1" w14:textId="77777777" w:rsidR="00512D63" w:rsidRPr="00F256C0" w:rsidRDefault="00512D63" w:rsidP="00512D63">
      <w:pPr>
        <w:pStyle w:val="NormalHanging12a"/>
      </w:pPr>
      <w:r w:rsidRPr="00F256C0">
        <w:t>16.</w:t>
      </w:r>
      <w:r w:rsidRPr="00F256C0">
        <w:tab/>
        <w:t>Europaparlamentet upprepar att bidrag från EGF inte får ersätta åtgärder som enligt nationell rätt eller kollektivavtal åligger offentliga myndigheter eller företagen. Parlamentet påminner om att EGF är en begränsad, riktad och kompletterande mekanism och inte kan ersätta strukturekonomisk politik, som huvudsakligen faller inom medlemsstaternas behörighet.</w:t>
      </w:r>
    </w:p>
    <w:p w14:paraId="680F2EF7" w14:textId="77777777" w:rsidR="00512D63" w:rsidRPr="00F256C0" w:rsidRDefault="00512D63" w:rsidP="00512D63">
      <w:pPr>
        <w:pStyle w:val="NormalHanging12a"/>
      </w:pPr>
      <w:r w:rsidRPr="00F256C0">
        <w:t>17.</w:t>
      </w:r>
      <w:r w:rsidRPr="00F256C0">
        <w:tab/>
        <w:t>Europaparlamentet godkänner det bifogade beslutet.</w:t>
      </w:r>
    </w:p>
    <w:p w14:paraId="2989A8B3" w14:textId="77777777" w:rsidR="00512D63" w:rsidRPr="00F256C0" w:rsidRDefault="00512D63" w:rsidP="00512D63">
      <w:pPr>
        <w:pStyle w:val="NormalHanging12a"/>
      </w:pPr>
      <w:r w:rsidRPr="00F256C0">
        <w:t>18.</w:t>
      </w:r>
      <w:r w:rsidRPr="00F256C0">
        <w:tab/>
        <w:t xml:space="preserve">Europaparlamentet uppdrar åt talmannen att tillsammans med rådets ordförande underteckna beslutet och se till att det offentliggörs i </w:t>
      </w:r>
      <w:r w:rsidRPr="00F256C0">
        <w:rPr>
          <w:i/>
          <w:iCs/>
        </w:rPr>
        <w:t>Europeiska unionens officiella tidning.</w:t>
      </w:r>
    </w:p>
    <w:p w14:paraId="2119B53E" w14:textId="77777777" w:rsidR="00512D63" w:rsidRPr="00F256C0" w:rsidRDefault="00512D63" w:rsidP="00512D63">
      <w:pPr>
        <w:pStyle w:val="NormalHanging12a"/>
      </w:pPr>
      <w:r w:rsidRPr="00F256C0">
        <w:t>19.</w:t>
      </w:r>
      <w:r w:rsidRPr="00F256C0">
        <w:tab/>
        <w:t>Europaparlamentet uppdrar åt talmannen att översända denna resolution med bilaga till rådet och kommissionen.</w:t>
      </w:r>
    </w:p>
    <w:p w14:paraId="724AD9AC" w14:textId="77777777" w:rsidR="00512D63" w:rsidRPr="00F256C0" w:rsidRDefault="00512D63" w:rsidP="00512D63">
      <w:pPr>
        <w:rPr>
          <w:noProof/>
        </w:rPr>
      </w:pPr>
    </w:p>
    <w:p w14:paraId="3C8D86A2" w14:textId="77777777" w:rsidR="00512D63" w:rsidRPr="00F256C0" w:rsidRDefault="00512D63" w:rsidP="00512D63">
      <w:pPr>
        <w:pStyle w:val="PageHeading"/>
        <w:rPr>
          <w:noProof/>
        </w:rPr>
        <w:sectPr w:rsidR="00512D63" w:rsidRPr="00F256C0" w:rsidSect="004A4A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72C51A" w14:textId="77777777" w:rsidR="00512D63" w:rsidRPr="00F256C0" w:rsidRDefault="00512D63" w:rsidP="00512D63">
      <w:pPr>
        <w:pStyle w:val="PageHeading"/>
        <w:rPr>
          <w:noProof/>
        </w:rPr>
      </w:pPr>
      <w:bookmarkStart w:id="9" w:name="_Toc227075835"/>
      <w:bookmarkStart w:id="10" w:name="_Toc227745137"/>
      <w:r w:rsidRPr="00F256C0">
        <w:lastRenderedPageBreak/>
        <w:t>BILAGA: EUROPAPARLAMENTETS OCH RÅDETS BESLUT</w:t>
      </w:r>
      <w:bookmarkEnd w:id="9"/>
      <w:bookmarkEnd w:id="10"/>
    </w:p>
    <w:p w14:paraId="7A003E86" w14:textId="77777777" w:rsidR="00512D63" w:rsidRDefault="00512D63" w:rsidP="00EC297C">
      <w:pPr>
        <w:pStyle w:val="NormalHanging12a"/>
        <w:ind w:left="0" w:firstLine="0"/>
        <w:jc w:val="center"/>
        <w:rPr>
          <w:b/>
        </w:rPr>
      </w:pPr>
      <w:r w:rsidRPr="00F256C0">
        <w:rPr>
          <w:b/>
        </w:rPr>
        <w:t>om utnyttjande av Europeiska fonden för justering för globaliseringseffekter för uppsagda arbetstagare efter en ansökan från Belgien – EGF/2025/008 BE/Liberty</w:t>
      </w:r>
    </w:p>
    <w:p w14:paraId="35EA8A1E" w14:textId="31B09754" w:rsidR="00EC297C" w:rsidRPr="00EC297C" w:rsidRDefault="00EC297C" w:rsidP="00EC297C">
      <w:pPr>
        <w:widowControl/>
        <w:jc w:val="both"/>
        <w:rPr>
          <w:rFonts w:eastAsia="Calibri"/>
          <w:i/>
          <w:szCs w:val="24"/>
          <w:lang w:eastAsia="en-US"/>
        </w:rPr>
      </w:pPr>
      <w:r w:rsidRPr="00EC297C">
        <w:rPr>
          <w:rFonts w:eastAsia="Calibri"/>
          <w:i/>
          <w:szCs w:val="24"/>
          <w:lang w:eastAsia="en-US"/>
        </w:rPr>
        <w:t>(Texten till denna bilaga återges inte här eftersom den motsvaras av den slutliga rättsakten, beslut</w:t>
      </w:r>
      <w:r>
        <w:rPr>
          <w:rFonts w:eastAsia="Calibri"/>
          <w:i/>
          <w:szCs w:val="24"/>
          <w:lang w:eastAsia="en-US"/>
        </w:rPr>
        <w:t xml:space="preserve"> </w:t>
      </w:r>
      <w:r w:rsidRPr="00EC297C">
        <w:rPr>
          <w:rFonts w:eastAsia="Calibri"/>
          <w:i/>
          <w:szCs w:val="24"/>
          <w:lang w:eastAsia="en-US"/>
        </w:rPr>
        <w:t xml:space="preserve">(EU) </w:t>
      </w:r>
      <w:r>
        <w:rPr>
          <w:rFonts w:eastAsia="Calibri"/>
          <w:i/>
          <w:szCs w:val="24"/>
          <w:lang w:eastAsia="en-US"/>
        </w:rPr>
        <w:t>2026</w:t>
      </w:r>
      <w:r w:rsidRPr="00EC297C">
        <w:rPr>
          <w:rFonts w:eastAsia="Calibri"/>
          <w:i/>
          <w:szCs w:val="24"/>
          <w:lang w:eastAsia="en-US"/>
        </w:rPr>
        <w:t>/</w:t>
      </w:r>
      <w:r>
        <w:rPr>
          <w:rFonts w:eastAsia="Calibri"/>
          <w:i/>
          <w:szCs w:val="24"/>
          <w:lang w:eastAsia="en-US"/>
        </w:rPr>
        <w:t>1134</w:t>
      </w:r>
      <w:r w:rsidRPr="00EC297C">
        <w:rPr>
          <w:rFonts w:eastAsia="Calibri"/>
          <w:i/>
          <w:szCs w:val="24"/>
          <w:lang w:eastAsia="en-US"/>
        </w:rPr>
        <w:t>.)</w:t>
      </w:r>
    </w:p>
    <w:p w14:paraId="6BC748A1" w14:textId="77777777" w:rsidR="00EC297C" w:rsidRPr="00F256C0" w:rsidRDefault="00EC297C" w:rsidP="00512D63">
      <w:pPr>
        <w:pStyle w:val="NormalHanging12a"/>
        <w:rPr>
          <w:b/>
          <w:bCs/>
        </w:rPr>
      </w:pPr>
    </w:p>
    <w:sectPr w:rsidR="00EC297C" w:rsidRPr="00F256C0" w:rsidSect="004A4AA8">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FE76D" w14:textId="77777777" w:rsidR="00784F20" w:rsidRPr="004A4AA8" w:rsidRDefault="00784F20">
      <w:r w:rsidRPr="004A4AA8">
        <w:separator/>
      </w:r>
    </w:p>
  </w:endnote>
  <w:endnote w:type="continuationSeparator" w:id="0">
    <w:p w14:paraId="3B5D56F7" w14:textId="77777777" w:rsidR="00784F20" w:rsidRPr="004A4AA8" w:rsidRDefault="00784F20">
      <w:r w:rsidRPr="004A4A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BD89" w14:textId="77777777" w:rsidR="00512D63" w:rsidRPr="004A4AA8" w:rsidRDefault="00512D63" w:rsidP="0047114D">
    <w:pPr>
      <w:pStyle w:val="EPFooter"/>
    </w:pPr>
    <w:r w:rsidRPr="004A4AA8">
      <w:t>PE</w:t>
    </w:r>
    <w:r w:rsidRPr="004A4AA8">
      <w:rPr>
        <w:rStyle w:val="HideTWBExt"/>
      </w:rPr>
      <w:t>&lt;</w:t>
    </w:r>
    <w:proofErr w:type="spellStart"/>
    <w:r w:rsidRPr="004A4AA8">
      <w:rPr>
        <w:rStyle w:val="HideTWBExt"/>
      </w:rPr>
      <w:t>NoPE</w:t>
    </w:r>
    <w:proofErr w:type="spellEnd"/>
    <w:r w:rsidRPr="004A4AA8">
      <w:rPr>
        <w:rStyle w:val="HideTWBExt"/>
      </w:rPr>
      <w:t>&gt;</w:t>
    </w:r>
    <w:r w:rsidRPr="004A4AA8">
      <w:t>785.333</w:t>
    </w:r>
    <w:r w:rsidRPr="004A4AA8">
      <w:rPr>
        <w:rStyle w:val="HideTWBExt"/>
      </w:rPr>
      <w:t>&lt;/</w:t>
    </w:r>
    <w:proofErr w:type="spellStart"/>
    <w:r w:rsidRPr="004A4AA8">
      <w:rPr>
        <w:rStyle w:val="HideTWBExt"/>
      </w:rPr>
      <w:t>NoPE</w:t>
    </w:r>
    <w:proofErr w:type="spellEnd"/>
    <w:r w:rsidRPr="004A4AA8">
      <w:rPr>
        <w:rStyle w:val="HideTWBExt"/>
      </w:rPr>
      <w:t>&gt;&lt;Version&gt;</w:t>
    </w:r>
    <w:r w:rsidRPr="004A4AA8">
      <w:t>v03-00</w:t>
    </w:r>
    <w:r w:rsidRPr="004A4AA8">
      <w:rPr>
        <w:rStyle w:val="HideTWBExt"/>
      </w:rPr>
      <w:t>&lt;/Version&gt;</w:t>
    </w:r>
    <w:r w:rsidRPr="004A4AA8">
      <w:tab/>
    </w:r>
    <w:r w:rsidRPr="004A4AA8">
      <w:fldChar w:fldCharType="begin"/>
    </w:r>
    <w:r w:rsidRPr="004A4AA8">
      <w:instrText xml:space="preserve"> PAGE  \* MERGEFORMAT </w:instrText>
    </w:r>
    <w:r w:rsidRPr="004A4AA8">
      <w:fldChar w:fldCharType="separate"/>
    </w:r>
    <w:r w:rsidRPr="004A4AA8">
      <w:rPr>
        <w:noProof/>
      </w:rPr>
      <w:t>2</w:t>
    </w:r>
    <w:r w:rsidRPr="004A4AA8">
      <w:fldChar w:fldCharType="end"/>
    </w:r>
    <w:r w:rsidRPr="004A4AA8">
      <w:t>/</w:t>
    </w:r>
    <w:fldSimple w:instr=" NUMPAGES  \* MERGEFORMAT ">
      <w:r w:rsidRPr="004A4AA8">
        <w:rPr>
          <w:noProof/>
        </w:rPr>
        <w:t>19</w:t>
      </w:r>
    </w:fldSimple>
    <w:r w:rsidRPr="004A4AA8">
      <w:tab/>
    </w:r>
    <w:r w:rsidRPr="004A4AA8">
      <w:rPr>
        <w:rStyle w:val="HideTWBExt"/>
      </w:rPr>
      <w:t>&lt;PathFdR&gt;</w:t>
    </w:r>
    <w:r w:rsidRPr="004A4AA8">
      <w:t>RR\1341391SV.docx</w:t>
    </w:r>
    <w:r w:rsidRPr="004A4AA8">
      <w:rPr>
        <w:rStyle w:val="HideTWBExt"/>
      </w:rPr>
      <w:t>&lt;/</w:t>
    </w:r>
    <w:proofErr w:type="spellStart"/>
    <w:r w:rsidRPr="004A4AA8">
      <w:rPr>
        <w:rStyle w:val="HideTWBExt"/>
      </w:rPr>
      <w:t>PathFdR</w:t>
    </w:r>
    <w:proofErr w:type="spellEnd"/>
    <w:r w:rsidRPr="004A4AA8">
      <w:rPr>
        <w:rStyle w:val="HideTWBExt"/>
      </w:rPr>
      <w:t>&gt;</w:t>
    </w:r>
  </w:p>
  <w:p w14:paraId="1B77E9B8" w14:textId="77777777" w:rsidR="00512D63" w:rsidRPr="004A4AA8" w:rsidRDefault="00512D63" w:rsidP="0047114D">
    <w:pPr>
      <w:pStyle w:val="EPFooter2"/>
    </w:pPr>
    <w:r w:rsidRPr="004A4AA8">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5C7A3" w14:textId="545271E7" w:rsidR="00512D63" w:rsidRPr="004A4AA8" w:rsidRDefault="00512D63" w:rsidP="0047114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DA6F6" w14:textId="77777777" w:rsidR="00512D63" w:rsidRPr="004A4AA8" w:rsidRDefault="00512D63" w:rsidP="0047114D">
    <w:pPr>
      <w:pStyle w:val="EPFooter"/>
    </w:pPr>
    <w:r w:rsidRPr="004A4AA8">
      <w:rPr>
        <w:rStyle w:val="HideTWBExt"/>
      </w:rPr>
      <w:t>&lt;PathFdR&gt;</w:t>
    </w:r>
    <w:r w:rsidRPr="004A4AA8">
      <w:t>RR\1341391SV.docx</w:t>
    </w:r>
    <w:r w:rsidRPr="004A4AA8">
      <w:rPr>
        <w:rStyle w:val="HideTWBExt"/>
      </w:rPr>
      <w:t>&lt;/</w:t>
    </w:r>
    <w:proofErr w:type="spellStart"/>
    <w:r w:rsidRPr="004A4AA8">
      <w:rPr>
        <w:rStyle w:val="HideTWBExt"/>
      </w:rPr>
      <w:t>PathFdR</w:t>
    </w:r>
    <w:proofErr w:type="spellEnd"/>
    <w:r w:rsidRPr="004A4AA8">
      <w:rPr>
        <w:rStyle w:val="HideTWBExt"/>
      </w:rPr>
      <w:t>&gt;</w:t>
    </w:r>
    <w:r w:rsidRPr="004A4AA8">
      <w:tab/>
    </w:r>
    <w:r w:rsidRPr="004A4AA8">
      <w:tab/>
      <w:t>PE</w:t>
    </w:r>
    <w:r w:rsidRPr="004A4AA8">
      <w:rPr>
        <w:rStyle w:val="HideTWBExt"/>
      </w:rPr>
      <w:t>&lt;</w:t>
    </w:r>
    <w:proofErr w:type="spellStart"/>
    <w:r w:rsidRPr="004A4AA8">
      <w:rPr>
        <w:rStyle w:val="HideTWBExt"/>
      </w:rPr>
      <w:t>NoPE</w:t>
    </w:r>
    <w:proofErr w:type="spellEnd"/>
    <w:r w:rsidRPr="004A4AA8">
      <w:rPr>
        <w:rStyle w:val="HideTWBExt"/>
      </w:rPr>
      <w:t>&gt;</w:t>
    </w:r>
    <w:r w:rsidRPr="004A4AA8">
      <w:t>785.333</w:t>
    </w:r>
    <w:r w:rsidRPr="004A4AA8">
      <w:rPr>
        <w:rStyle w:val="HideTWBExt"/>
      </w:rPr>
      <w:t>&lt;/</w:t>
    </w:r>
    <w:proofErr w:type="spellStart"/>
    <w:r w:rsidRPr="004A4AA8">
      <w:rPr>
        <w:rStyle w:val="HideTWBExt"/>
      </w:rPr>
      <w:t>NoPE</w:t>
    </w:r>
    <w:proofErr w:type="spellEnd"/>
    <w:r w:rsidRPr="004A4AA8">
      <w:rPr>
        <w:rStyle w:val="HideTWBExt"/>
      </w:rPr>
      <w:t>&gt;&lt;Version&gt;</w:t>
    </w:r>
    <w:r w:rsidRPr="004A4AA8">
      <w:t>v03-00</w:t>
    </w:r>
    <w:r w:rsidRPr="004A4AA8">
      <w:rPr>
        <w:rStyle w:val="HideTWBExt"/>
      </w:rPr>
      <w:t>&lt;/Version&gt;</w:t>
    </w:r>
  </w:p>
  <w:p w14:paraId="4A6AFF49" w14:textId="77777777" w:rsidR="00512D63" w:rsidRPr="004A4AA8" w:rsidRDefault="00512D63" w:rsidP="0047114D">
    <w:pPr>
      <w:pStyle w:val="EPFooter2"/>
    </w:pPr>
    <w:r w:rsidRPr="004A4AA8">
      <w:t>SV</w:t>
    </w:r>
    <w:r w:rsidRPr="004A4AA8">
      <w:tab/>
    </w:r>
    <w:r w:rsidRPr="004A4AA8">
      <w:rPr>
        <w:b w:val="0"/>
        <w:i/>
        <w:color w:val="C0C0C0"/>
        <w:sz w:val="22"/>
      </w:rPr>
      <w:t>Förenade i mångfalden</w:t>
    </w:r>
    <w:r w:rsidRPr="004A4AA8">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84E6" w14:textId="77777777" w:rsidR="00064002" w:rsidRPr="004A4AA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3E62" w14:textId="77777777" w:rsidR="00064002" w:rsidRPr="004A4AA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87C75" w14:textId="77777777" w:rsidR="00064002" w:rsidRPr="004A4A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D406F" w14:textId="77777777" w:rsidR="00784F20" w:rsidRPr="004A4AA8" w:rsidRDefault="00784F20">
      <w:r w:rsidRPr="004A4AA8">
        <w:separator/>
      </w:r>
    </w:p>
  </w:footnote>
  <w:footnote w:type="continuationSeparator" w:id="0">
    <w:p w14:paraId="39CD1F5C" w14:textId="77777777" w:rsidR="00784F20" w:rsidRPr="004A4AA8" w:rsidRDefault="00784F20">
      <w:r w:rsidRPr="004A4AA8">
        <w:continuationSeparator/>
      </w:r>
    </w:p>
  </w:footnote>
  <w:footnote w:id="1">
    <w:p w14:paraId="3BEBB406" w14:textId="68C3D1F0" w:rsidR="00512D63" w:rsidRPr="00590639" w:rsidRDefault="00512D63" w:rsidP="004A4AA8">
      <w:pPr>
        <w:pStyle w:val="FootnoteText"/>
        <w:ind w:left="567" w:hanging="567"/>
        <w:rPr>
          <w:sz w:val="24"/>
          <w:lang w:val="fi-FI"/>
        </w:rPr>
      </w:pPr>
      <w:r w:rsidRPr="004A4AA8">
        <w:rPr>
          <w:rStyle w:val="FootnoteReference"/>
          <w:sz w:val="24"/>
          <w:lang w:val="sv-SE"/>
        </w:rPr>
        <w:footnoteRef/>
      </w:r>
      <w:r w:rsidR="004A4AA8" w:rsidRPr="00590639">
        <w:rPr>
          <w:sz w:val="24"/>
          <w:lang w:val="fi-FI"/>
        </w:rPr>
        <w:t xml:space="preserve"> </w:t>
      </w:r>
      <w:r w:rsidR="004A4AA8" w:rsidRPr="00590639">
        <w:rPr>
          <w:sz w:val="24"/>
          <w:lang w:val="fi-FI"/>
        </w:rPr>
        <w:tab/>
      </w:r>
      <w:r w:rsidRPr="00590639">
        <w:rPr>
          <w:sz w:val="24"/>
          <w:lang w:val="fi-FI"/>
        </w:rPr>
        <w:t xml:space="preserve">EUT L 153, 3.5.2021, s. 48, ELI: </w:t>
      </w:r>
      <w:hyperlink r:id="rId1" w:history="1">
        <w:r w:rsidRPr="00590639">
          <w:rPr>
            <w:rStyle w:val="Hyperlink"/>
            <w:sz w:val="24"/>
            <w:lang w:val="fi-FI"/>
          </w:rPr>
          <w:t>http://data.europa.eu/eli/reg/2021/691/oj</w:t>
        </w:r>
      </w:hyperlink>
      <w:r w:rsidRPr="00590639">
        <w:rPr>
          <w:sz w:val="24"/>
          <w:lang w:val="fi-FI"/>
        </w:rPr>
        <w:t>.</w:t>
      </w:r>
    </w:p>
  </w:footnote>
  <w:footnote w:id="2">
    <w:p w14:paraId="5C662F2E" w14:textId="01AA2CDE" w:rsidR="00512D63" w:rsidRPr="00590639" w:rsidRDefault="00512D63" w:rsidP="004A4AA8">
      <w:pPr>
        <w:pStyle w:val="FootnoteText"/>
        <w:ind w:left="567" w:hanging="567"/>
        <w:rPr>
          <w:sz w:val="24"/>
          <w:lang w:val="fi-FI"/>
        </w:rPr>
      </w:pPr>
      <w:r w:rsidRPr="004A4AA8">
        <w:rPr>
          <w:rStyle w:val="FootnoteReference"/>
          <w:sz w:val="24"/>
          <w:lang w:val="sv-SE"/>
        </w:rPr>
        <w:footnoteRef/>
      </w:r>
      <w:r w:rsidR="004A4AA8" w:rsidRPr="00590639">
        <w:rPr>
          <w:sz w:val="24"/>
          <w:lang w:val="fi-FI"/>
        </w:rPr>
        <w:t xml:space="preserve"> </w:t>
      </w:r>
      <w:r w:rsidR="004A4AA8" w:rsidRPr="00590639">
        <w:rPr>
          <w:sz w:val="24"/>
          <w:lang w:val="fi-FI"/>
        </w:rPr>
        <w:tab/>
      </w:r>
      <w:r w:rsidRPr="00590639">
        <w:rPr>
          <w:sz w:val="24"/>
          <w:lang w:val="fi-FI"/>
        </w:rPr>
        <w:t xml:space="preserve">EUT L 433 I, 22.12.2020, s. 11, ELI: </w:t>
      </w:r>
      <w:hyperlink r:id="rId2" w:history="1">
        <w:r w:rsidRPr="00590639">
          <w:rPr>
            <w:rStyle w:val="Hyperlink"/>
            <w:sz w:val="24"/>
            <w:lang w:val="fi-FI"/>
          </w:rPr>
          <w:t>http://data.europa.eu/eli/reg/2020/2093/oj</w:t>
        </w:r>
      </w:hyperlink>
      <w:r w:rsidRPr="00590639">
        <w:rPr>
          <w:sz w:val="24"/>
          <w:lang w:val="fi-FI"/>
        </w:rPr>
        <w:t>.</w:t>
      </w:r>
    </w:p>
  </w:footnote>
  <w:footnote w:id="3">
    <w:p w14:paraId="572CF238" w14:textId="5CD92D5F" w:rsidR="00512D63" w:rsidRPr="004A4AA8" w:rsidRDefault="00512D63" w:rsidP="004A4AA8">
      <w:pPr>
        <w:pStyle w:val="FootnoteText"/>
        <w:ind w:left="567" w:hanging="567"/>
        <w:rPr>
          <w:sz w:val="24"/>
          <w:lang w:val="sv-SE"/>
        </w:rPr>
      </w:pPr>
      <w:r w:rsidRPr="004A4AA8">
        <w:rPr>
          <w:rStyle w:val="FootnoteReference"/>
          <w:sz w:val="24"/>
          <w:lang w:val="sv-SE"/>
        </w:rPr>
        <w:footnoteRef/>
      </w:r>
      <w:r w:rsidR="004A4AA8" w:rsidRPr="004A4AA8">
        <w:rPr>
          <w:sz w:val="24"/>
          <w:shd w:val="clear" w:color="auto" w:fill="FFFFFF"/>
          <w:lang w:val="sv-SE"/>
        </w:rPr>
        <w:t xml:space="preserve"> </w:t>
      </w:r>
      <w:r w:rsidR="004A4AA8" w:rsidRPr="004A4AA8">
        <w:rPr>
          <w:sz w:val="24"/>
          <w:shd w:val="clear" w:color="auto" w:fill="FFFFFF"/>
          <w:lang w:val="sv-SE"/>
        </w:rPr>
        <w:tab/>
      </w:r>
      <w:r w:rsidRPr="004A4AA8">
        <w:rPr>
          <w:sz w:val="24"/>
          <w:shd w:val="clear" w:color="auto" w:fill="FFFFFF"/>
          <w:lang w:val="sv-SE"/>
        </w:rPr>
        <w:t>Rådets förordning (EU, Euratom) 2024/765 av den 29 februari 2024 om ändring av förordning (EU, Euratom) 2020/2093 om den fleråriga budgetramen 2021–2027 (EUT L</w:t>
      </w:r>
      <w:r w:rsidR="00EC297C">
        <w:rPr>
          <w:sz w:val="24"/>
          <w:shd w:val="clear" w:color="auto" w:fill="FFFFFF"/>
          <w:lang w:val="sv-SE"/>
        </w:rPr>
        <w:t>,</w:t>
      </w:r>
      <w:r w:rsidRPr="004A4AA8">
        <w:rPr>
          <w:sz w:val="24"/>
          <w:shd w:val="clear" w:color="auto" w:fill="FFFFFF"/>
          <w:lang w:val="sv-SE"/>
        </w:rPr>
        <w:t> 2024/765, 29.2.2024, ELI:</w:t>
      </w:r>
      <w:r w:rsidRPr="004A4AA8">
        <w:rPr>
          <w:color w:val="333333"/>
          <w:sz w:val="24"/>
          <w:shd w:val="clear" w:color="auto" w:fill="FFFFFF"/>
          <w:lang w:val="sv-SE"/>
        </w:rPr>
        <w:t xml:space="preserve"> </w:t>
      </w:r>
      <w:hyperlink r:id="rId3" w:history="1">
        <w:r w:rsidRPr="004A4AA8">
          <w:rPr>
            <w:rStyle w:val="Hyperlink"/>
            <w:sz w:val="24"/>
            <w:shd w:val="clear" w:color="auto" w:fill="FFFFFF"/>
            <w:lang w:val="sv-SE"/>
          </w:rPr>
          <w:t>http://data.europa.eu/eli/reg/2024/765/oj</w:t>
        </w:r>
      </w:hyperlink>
      <w:r w:rsidRPr="004A4AA8">
        <w:rPr>
          <w:sz w:val="24"/>
          <w:lang w:val="sv-SE"/>
        </w:rPr>
        <w:t>).</w:t>
      </w:r>
    </w:p>
  </w:footnote>
  <w:footnote w:id="4">
    <w:p w14:paraId="72552781" w14:textId="33728D87" w:rsidR="00512D63" w:rsidRPr="00590639" w:rsidRDefault="00512D63" w:rsidP="004A4AA8">
      <w:pPr>
        <w:pStyle w:val="FootnoteText"/>
        <w:ind w:left="567" w:hanging="567"/>
        <w:rPr>
          <w:sz w:val="24"/>
          <w:lang w:val="fi-FI"/>
        </w:rPr>
      </w:pPr>
      <w:r w:rsidRPr="004A4AA8">
        <w:rPr>
          <w:rStyle w:val="FootnoteReference"/>
          <w:sz w:val="24"/>
          <w:lang w:val="sv-SE"/>
        </w:rPr>
        <w:footnoteRef/>
      </w:r>
      <w:r w:rsidR="004A4AA8" w:rsidRPr="00590639">
        <w:rPr>
          <w:sz w:val="24"/>
          <w:lang w:val="fi-FI"/>
        </w:rPr>
        <w:t xml:space="preserve"> </w:t>
      </w:r>
      <w:r w:rsidR="004A4AA8" w:rsidRPr="00590639">
        <w:rPr>
          <w:sz w:val="24"/>
          <w:lang w:val="fi-FI"/>
        </w:rPr>
        <w:tab/>
      </w:r>
      <w:r w:rsidRPr="00590639">
        <w:rPr>
          <w:sz w:val="24"/>
          <w:lang w:val="fi-FI"/>
        </w:rPr>
        <w:t xml:space="preserve">EUT L 433 I, 22.12.2020, s. 28, ELI: </w:t>
      </w:r>
      <w:hyperlink r:id="rId4" w:history="1">
        <w:r w:rsidRPr="00590639">
          <w:rPr>
            <w:rStyle w:val="Hyperlink"/>
            <w:sz w:val="24"/>
            <w:lang w:val="fi-FI"/>
          </w:rPr>
          <w:t>http://data.europa.eu/eli/agree_interinstit/2020/1222/oj</w:t>
        </w:r>
      </w:hyperlink>
      <w:r w:rsidRPr="00590639">
        <w:rPr>
          <w:sz w:val="24"/>
          <w:lang w:val="fi-FI"/>
        </w:rPr>
        <w:t>.</w:t>
      </w:r>
    </w:p>
  </w:footnote>
  <w:footnote w:id="5">
    <w:p w14:paraId="47D985E9" w14:textId="068E474C" w:rsidR="00512D63" w:rsidRPr="004A4AA8" w:rsidRDefault="00512D63" w:rsidP="004A4AA8">
      <w:pPr>
        <w:pStyle w:val="FootnoteText"/>
        <w:ind w:left="567" w:hanging="567"/>
        <w:rPr>
          <w:sz w:val="24"/>
          <w:lang w:val="sv-SE"/>
        </w:rPr>
      </w:pPr>
      <w:r w:rsidRPr="004A4AA8">
        <w:rPr>
          <w:rStyle w:val="FootnoteReference"/>
          <w:sz w:val="24"/>
          <w:lang w:val="sv-SE"/>
        </w:rPr>
        <w:footnoteRef/>
      </w:r>
      <w:r w:rsidR="004A4AA8" w:rsidRPr="004A4AA8">
        <w:rPr>
          <w:sz w:val="24"/>
          <w:lang w:val="sv-SE"/>
        </w:rPr>
        <w:t xml:space="preserve"> </w:t>
      </w:r>
      <w:r w:rsidR="004A4AA8" w:rsidRPr="004A4AA8">
        <w:rPr>
          <w:sz w:val="24"/>
          <w:lang w:val="sv-SE"/>
        </w:rPr>
        <w:tab/>
      </w:r>
      <w:r w:rsidRPr="004A4AA8">
        <w:rPr>
          <w:sz w:val="24"/>
          <w:lang w:val="sv-SE"/>
        </w:rPr>
        <w:t>I den mening som avses i artikel 3 i EGF-förordningen.</w:t>
      </w:r>
    </w:p>
  </w:footnote>
  <w:footnote w:id="6">
    <w:p w14:paraId="7EF313D5" w14:textId="314F612A" w:rsidR="00512D63" w:rsidRPr="004A4AA8" w:rsidRDefault="00512D63" w:rsidP="004A4AA8">
      <w:pPr>
        <w:pStyle w:val="FootnoteText"/>
        <w:ind w:left="567" w:hanging="567"/>
        <w:rPr>
          <w:sz w:val="24"/>
          <w:lang w:val="sv-SE"/>
        </w:rPr>
      </w:pPr>
      <w:r w:rsidRPr="004A4AA8">
        <w:rPr>
          <w:rStyle w:val="FootnoteReference"/>
          <w:sz w:val="24"/>
          <w:lang w:val="sv-SE"/>
        </w:rPr>
        <w:footnoteRef/>
      </w:r>
      <w:r w:rsidR="004A4AA8" w:rsidRPr="004A4AA8">
        <w:rPr>
          <w:sz w:val="24"/>
          <w:lang w:val="sv-SE"/>
        </w:rPr>
        <w:t xml:space="preserve"> </w:t>
      </w:r>
      <w:r w:rsidR="004A4AA8" w:rsidRPr="004A4AA8">
        <w:rPr>
          <w:sz w:val="24"/>
          <w:lang w:val="sv-SE"/>
        </w:rPr>
        <w:tab/>
      </w:r>
      <w:r w:rsidRPr="004A4AA8">
        <w:rPr>
          <w:sz w:val="24"/>
          <w:lang w:val="sv-SE"/>
        </w:rPr>
        <w:t>Artikel 8 i förordningen om den fleråriga budgetramen.</w:t>
      </w:r>
    </w:p>
  </w:footnote>
  <w:footnote w:id="7">
    <w:p w14:paraId="4E4CCA90" w14:textId="3F371EDD" w:rsidR="00512D63" w:rsidRPr="004A4AA8" w:rsidRDefault="00512D63" w:rsidP="004A4AA8">
      <w:pPr>
        <w:pStyle w:val="FootnoteText"/>
        <w:ind w:left="567" w:hanging="567"/>
        <w:rPr>
          <w:sz w:val="24"/>
          <w:lang w:val="sv-SE"/>
        </w:rPr>
      </w:pPr>
      <w:r w:rsidRPr="004A4AA8">
        <w:rPr>
          <w:rStyle w:val="FootnoteReference"/>
          <w:sz w:val="24"/>
          <w:lang w:val="sv-SE"/>
        </w:rPr>
        <w:footnoteRef/>
      </w:r>
      <w:r w:rsidR="004A4AA8" w:rsidRPr="004A4AA8">
        <w:rPr>
          <w:sz w:val="24"/>
          <w:lang w:val="sv-SE"/>
        </w:rPr>
        <w:t xml:space="preserve"> </w:t>
      </w:r>
      <w:r w:rsidR="004A4AA8" w:rsidRPr="004A4AA8">
        <w:rPr>
          <w:sz w:val="24"/>
          <w:lang w:val="sv-SE"/>
        </w:rPr>
        <w:tab/>
      </w:r>
      <w:hyperlink r:id="rId5" w:history="1">
        <w:r w:rsidRPr="004A4AA8">
          <w:rPr>
            <w:rStyle w:val="Hyperlink"/>
            <w:sz w:val="24"/>
            <w:lang w:val="sv-SE"/>
          </w:rPr>
          <w:t xml:space="preserve">Belgiens </w:t>
        </w:r>
        <w:proofErr w:type="spellStart"/>
        <w:r w:rsidRPr="004A4AA8">
          <w:rPr>
            <w:rStyle w:val="Hyperlink"/>
            <w:sz w:val="24"/>
            <w:lang w:val="sv-SE"/>
          </w:rPr>
          <w:t>centralbank.</w:t>
        </w:r>
      </w:hyperlink>
      <w:hyperlink r:id="rId6" w:history="1">
        <w:r w:rsidRPr="004A4AA8">
          <w:rPr>
            <w:rStyle w:val="Hyperlink"/>
            <w:sz w:val="24"/>
            <w:lang w:val="sv-SE"/>
          </w:rPr>
          <w:t>Ekonomisk</w:t>
        </w:r>
        <w:proofErr w:type="spellEnd"/>
        <w:r w:rsidRPr="004A4AA8">
          <w:rPr>
            <w:rStyle w:val="Hyperlink"/>
            <w:sz w:val="24"/>
            <w:lang w:val="sv-SE"/>
          </w:rPr>
          <w:t xml:space="preserve"> översikt 2024</w:t>
        </w:r>
      </w:hyperlink>
      <w:r w:rsidRPr="004A4AA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A26CC" w14:textId="77777777" w:rsidR="00512D63" w:rsidRPr="004A4AA8" w:rsidRDefault="00512D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EBC6" w14:textId="77777777" w:rsidR="00512D63" w:rsidRPr="004A4AA8" w:rsidRDefault="00512D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9B80" w14:textId="77777777" w:rsidR="00512D63" w:rsidRPr="004A4AA8" w:rsidRDefault="00512D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98F2A" w14:textId="77777777" w:rsidR="00064002" w:rsidRPr="004A4AA8"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405D" w14:textId="77777777" w:rsidR="00064002" w:rsidRPr="004A4AA8"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6986" w14:textId="77777777" w:rsidR="00064002" w:rsidRPr="004A4A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4676598">
    <w:abstractNumId w:val="9"/>
  </w:num>
  <w:num w:numId="2" w16cid:durableId="286201014">
    <w:abstractNumId w:val="9"/>
  </w:num>
  <w:num w:numId="3" w16cid:durableId="720397695">
    <w:abstractNumId w:val="7"/>
  </w:num>
  <w:num w:numId="4" w16cid:durableId="60518107">
    <w:abstractNumId w:val="7"/>
  </w:num>
  <w:num w:numId="5" w16cid:durableId="1266620684">
    <w:abstractNumId w:val="6"/>
  </w:num>
  <w:num w:numId="6" w16cid:durableId="586814716">
    <w:abstractNumId w:val="6"/>
  </w:num>
  <w:num w:numId="7" w16cid:durableId="604731215">
    <w:abstractNumId w:val="5"/>
  </w:num>
  <w:num w:numId="8" w16cid:durableId="780489241">
    <w:abstractNumId w:val="5"/>
  </w:num>
  <w:num w:numId="9" w16cid:durableId="1470660377">
    <w:abstractNumId w:val="4"/>
  </w:num>
  <w:num w:numId="10" w16cid:durableId="1840460381">
    <w:abstractNumId w:val="4"/>
  </w:num>
  <w:num w:numId="11" w16cid:durableId="1272519301">
    <w:abstractNumId w:val="8"/>
  </w:num>
  <w:num w:numId="12" w16cid:durableId="991368981">
    <w:abstractNumId w:val="8"/>
  </w:num>
  <w:num w:numId="13" w16cid:durableId="696195928">
    <w:abstractNumId w:val="3"/>
  </w:num>
  <w:num w:numId="14" w16cid:durableId="2132506488">
    <w:abstractNumId w:val="3"/>
  </w:num>
  <w:num w:numId="15" w16cid:durableId="1433739513">
    <w:abstractNumId w:val="2"/>
  </w:num>
  <w:num w:numId="16" w16cid:durableId="408190760">
    <w:abstractNumId w:val="2"/>
  </w:num>
  <w:num w:numId="17" w16cid:durableId="640617712">
    <w:abstractNumId w:val="1"/>
  </w:num>
  <w:num w:numId="18" w16cid:durableId="1727023095">
    <w:abstractNumId w:val="1"/>
  </w:num>
  <w:num w:numId="19" w16cid:durableId="1559589738">
    <w:abstractNumId w:val="0"/>
  </w:num>
  <w:num w:numId="20" w16cid:durableId="1300191462">
    <w:abstractNumId w:val="0"/>
  </w:num>
  <w:num w:numId="21" w16cid:durableId="450974720">
    <w:abstractNumId w:val="9"/>
  </w:num>
  <w:num w:numId="22" w16cid:durableId="238754170">
    <w:abstractNumId w:val="7"/>
  </w:num>
  <w:num w:numId="23" w16cid:durableId="1276323735">
    <w:abstractNumId w:val="6"/>
  </w:num>
  <w:num w:numId="24" w16cid:durableId="692650361">
    <w:abstractNumId w:val="5"/>
  </w:num>
  <w:num w:numId="25" w16cid:durableId="751776426">
    <w:abstractNumId w:val="4"/>
  </w:num>
  <w:num w:numId="26" w16cid:durableId="343824869">
    <w:abstractNumId w:val="8"/>
  </w:num>
  <w:num w:numId="27" w16cid:durableId="439034903">
    <w:abstractNumId w:val="3"/>
  </w:num>
  <w:num w:numId="28" w16cid:durableId="1670133196">
    <w:abstractNumId w:val="2"/>
  </w:num>
  <w:num w:numId="29" w16cid:durableId="1842498903">
    <w:abstractNumId w:val="1"/>
  </w:num>
  <w:num w:numId="30" w16cid:durableId="266818039">
    <w:abstractNumId w:val="0"/>
  </w:num>
  <w:num w:numId="31" w16cid:durableId="771241653">
    <w:abstractNumId w:val="9"/>
  </w:num>
  <w:num w:numId="32" w16cid:durableId="1903523429">
    <w:abstractNumId w:val="7"/>
  </w:num>
  <w:num w:numId="33" w16cid:durableId="428619259">
    <w:abstractNumId w:val="6"/>
  </w:num>
  <w:num w:numId="34" w16cid:durableId="1610041182">
    <w:abstractNumId w:val="5"/>
  </w:num>
  <w:num w:numId="35" w16cid:durableId="454376479">
    <w:abstractNumId w:val="4"/>
  </w:num>
  <w:num w:numId="36" w16cid:durableId="337660277">
    <w:abstractNumId w:val="8"/>
  </w:num>
  <w:num w:numId="37" w16cid:durableId="2073042771">
    <w:abstractNumId w:val="3"/>
  </w:num>
  <w:num w:numId="38" w16cid:durableId="1941374240">
    <w:abstractNumId w:val="2"/>
  </w:num>
  <w:num w:numId="39" w16cid:durableId="1521160885">
    <w:abstractNumId w:val="1"/>
  </w:num>
  <w:num w:numId="40" w16cid:durableId="761998394">
    <w:abstractNumId w:val="0"/>
  </w:num>
  <w:num w:numId="41" w16cid:durableId="311520905">
    <w:abstractNumId w:val="10"/>
  </w:num>
  <w:num w:numId="42" w16cid:durableId="1748726835">
    <w:abstractNumId w:val="10"/>
  </w:num>
  <w:num w:numId="43" w16cid:durableId="161512136">
    <w:abstractNumId w:val="10"/>
  </w:num>
  <w:num w:numId="44" w16cid:durableId="281350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SV"/>
    <w:docVar w:name="dvnumam" w:val="0"/>
    <w:docVar w:name="dvpe" w:val="785.333"/>
    <w:docVar w:name="dvrapporteur" w:val="Föredragande: "/>
    <w:docVar w:name="dvtitre" w:val="Europaparlamentets lagstiftningsresolution av den xx xx 2026 om förslaget till Europaparlamentets och rådets beslut om utnyttjande av Europeiska fonden för justering för globaliseringseffekter för uppsagda arbetstagare efter en ansökan från Belgien – EGF/2025/008 BE/Liberty(COM(2026)0004 – C10-0062/2026 – 2026/0066(BUD))"/>
  </w:docVars>
  <w:rsids>
    <w:rsidRoot w:val="00784F20"/>
    <w:rsid w:val="00002272"/>
    <w:rsid w:val="00064002"/>
    <w:rsid w:val="000677B9"/>
    <w:rsid w:val="000831BA"/>
    <w:rsid w:val="000A42CC"/>
    <w:rsid w:val="000D38F1"/>
    <w:rsid w:val="000E7DD9"/>
    <w:rsid w:val="0010095E"/>
    <w:rsid w:val="00125B37"/>
    <w:rsid w:val="00187494"/>
    <w:rsid w:val="001B409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4AA8"/>
    <w:rsid w:val="004C0004"/>
    <w:rsid w:val="004C5D52"/>
    <w:rsid w:val="0050519A"/>
    <w:rsid w:val="005072A1"/>
    <w:rsid w:val="00512D63"/>
    <w:rsid w:val="00514517"/>
    <w:rsid w:val="00545827"/>
    <w:rsid w:val="00560270"/>
    <w:rsid w:val="00590639"/>
    <w:rsid w:val="005C2568"/>
    <w:rsid w:val="005F1B17"/>
    <w:rsid w:val="006037C0"/>
    <w:rsid w:val="006631B6"/>
    <w:rsid w:val="00680577"/>
    <w:rsid w:val="006F74FA"/>
    <w:rsid w:val="00731ADD"/>
    <w:rsid w:val="00734777"/>
    <w:rsid w:val="00747932"/>
    <w:rsid w:val="00751A4A"/>
    <w:rsid w:val="00756632"/>
    <w:rsid w:val="00762C74"/>
    <w:rsid w:val="00784F20"/>
    <w:rsid w:val="007860D6"/>
    <w:rsid w:val="00786EC0"/>
    <w:rsid w:val="007D1690"/>
    <w:rsid w:val="007E22AD"/>
    <w:rsid w:val="00817416"/>
    <w:rsid w:val="00842779"/>
    <w:rsid w:val="00865F67"/>
    <w:rsid w:val="00881A7B"/>
    <w:rsid w:val="008840E5"/>
    <w:rsid w:val="00887B3E"/>
    <w:rsid w:val="008C2AC6"/>
    <w:rsid w:val="008E430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76E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A2C"/>
    <w:rsid w:val="00E365E1"/>
    <w:rsid w:val="00E820A4"/>
    <w:rsid w:val="00EB006A"/>
    <w:rsid w:val="00EB4772"/>
    <w:rsid w:val="00EC297C"/>
    <w:rsid w:val="00ED169E"/>
    <w:rsid w:val="00ED4235"/>
    <w:rsid w:val="00F04346"/>
    <w:rsid w:val="00F075DC"/>
    <w:rsid w:val="00F149E9"/>
    <w:rsid w:val="00F256C0"/>
    <w:rsid w:val="00F3360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16698"/>
  <w15:chartTrackingRefBased/>
  <w15:docId w15:val="{17CEB956-C1F8-4D18-811C-3AD4FC9A8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12D6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12D63"/>
    <w:pPr>
      <w:keepNext/>
      <w:spacing w:after="480"/>
      <w:jc w:val="center"/>
    </w:pPr>
    <w:rPr>
      <w:rFonts w:ascii="Arial" w:hAnsi="Arial" w:cs="Arial"/>
      <w:b/>
    </w:rPr>
  </w:style>
  <w:style w:type="paragraph" w:customStyle="1" w:styleId="NormalBold">
    <w:name w:val="NormalBold"/>
    <w:basedOn w:val="Normal"/>
    <w:rsid w:val="00512D63"/>
    <w:rPr>
      <w:b/>
    </w:rPr>
  </w:style>
  <w:style w:type="paragraph" w:customStyle="1" w:styleId="NormalHanging12a">
    <w:name w:val="NormalHanging12a"/>
    <w:basedOn w:val="Normal"/>
    <w:link w:val="NormalHanging12aChar"/>
    <w:rsid w:val="00512D63"/>
    <w:pPr>
      <w:spacing w:after="240"/>
      <w:ind w:left="567" w:hanging="567"/>
    </w:pPr>
  </w:style>
  <w:style w:type="paragraph" w:styleId="Header">
    <w:name w:val="header"/>
    <w:basedOn w:val="Normal"/>
    <w:link w:val="HeaderChar"/>
    <w:rsid w:val="00512D63"/>
    <w:pPr>
      <w:tabs>
        <w:tab w:val="center" w:pos="4513"/>
        <w:tab w:val="right" w:pos="9026"/>
      </w:tabs>
    </w:pPr>
  </w:style>
  <w:style w:type="character" w:customStyle="1" w:styleId="HeaderChar">
    <w:name w:val="Header Char"/>
    <w:basedOn w:val="DefaultParagraphFont"/>
    <w:link w:val="Header"/>
    <w:rsid w:val="00512D63"/>
    <w:rPr>
      <w:sz w:val="24"/>
      <w:lang w:val="sv-SE"/>
    </w:rPr>
  </w:style>
  <w:style w:type="paragraph" w:customStyle="1" w:styleId="EPFooter">
    <w:name w:val="EPFooter"/>
    <w:basedOn w:val="Normal"/>
    <w:rsid w:val="00512D63"/>
    <w:pPr>
      <w:tabs>
        <w:tab w:val="center" w:pos="4535"/>
        <w:tab w:val="right" w:pos="9071"/>
      </w:tabs>
      <w:spacing w:before="240" w:after="240"/>
    </w:pPr>
    <w:rPr>
      <w:color w:val="010000"/>
      <w:sz w:val="22"/>
    </w:rPr>
  </w:style>
  <w:style w:type="paragraph" w:customStyle="1" w:styleId="EPComma">
    <w:name w:val="EPComma"/>
    <w:basedOn w:val="Normal"/>
    <w:rsid w:val="00512D63"/>
    <w:pPr>
      <w:spacing w:before="480" w:after="240"/>
    </w:pPr>
  </w:style>
  <w:style w:type="character" w:styleId="Hyperlink">
    <w:name w:val="Hyperlink"/>
    <w:basedOn w:val="DefaultParagraphFont"/>
    <w:uiPriority w:val="99"/>
    <w:rsid w:val="00512D63"/>
    <w:rPr>
      <w:color w:val="0563C1" w:themeColor="hyperlink"/>
      <w:u w:val="single"/>
    </w:rPr>
  </w:style>
  <w:style w:type="character" w:customStyle="1" w:styleId="NormalHanging12aChar">
    <w:name w:val="NormalHanging12a Char"/>
    <w:basedOn w:val="DefaultParagraphFont"/>
    <w:link w:val="NormalHanging12a"/>
    <w:locked/>
    <w:rsid w:val="00512D63"/>
    <w:rPr>
      <w:sz w:val="24"/>
      <w:lang w:val="sv-SE"/>
    </w:rPr>
  </w:style>
  <w:style w:type="paragraph" w:customStyle="1" w:styleId="Institutionquisigne">
    <w:name w:val="Institution qui signe"/>
    <w:basedOn w:val="Normal"/>
    <w:next w:val="Personnequisigne"/>
    <w:rsid w:val="00512D6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12D6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12D6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12D6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12D6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512D63"/>
    <w:pPr>
      <w:widowControl/>
      <w:tabs>
        <w:tab w:val="left" w:pos="4252"/>
      </w:tabs>
    </w:pPr>
    <w:rPr>
      <w:rFonts w:eastAsiaTheme="minorHAnsi"/>
      <w:i/>
      <w:szCs w:val="22"/>
      <w:lang w:eastAsia="en-US"/>
    </w:rPr>
  </w:style>
  <w:style w:type="paragraph" w:customStyle="1" w:styleId="ManualConsidrant">
    <w:name w:val="Manual Considérant"/>
    <w:basedOn w:val="Normal"/>
    <w:rsid w:val="00512D63"/>
    <w:pPr>
      <w:widowControl/>
      <w:spacing w:before="120" w:after="120"/>
      <w:ind w:left="709" w:hanging="709"/>
      <w:jc w:val="both"/>
    </w:pPr>
    <w:rPr>
      <w:rFonts w:eastAsiaTheme="minorHAnsi"/>
      <w:szCs w:val="22"/>
      <w:lang w:eastAsia="en-US"/>
    </w:rPr>
  </w:style>
  <w:style w:type="character" w:styleId="CommentReference">
    <w:name w:val="annotation reference"/>
    <w:uiPriority w:val="99"/>
    <w:unhideWhenUsed/>
    <w:rsid w:val="00512D63"/>
    <w:rPr>
      <w:rFonts w:ascii="Times New Roman" w:hAnsi="Times New Roman" w:cs="Times New Roman" w:hint="default"/>
      <w:sz w:val="16"/>
      <w:szCs w:val="16"/>
    </w:rPr>
  </w:style>
  <w:style w:type="character" w:customStyle="1" w:styleId="PageHeadingChar">
    <w:name w:val="PageHeading Char"/>
    <w:basedOn w:val="DefaultParagraphFont"/>
    <w:link w:val="PageHeading"/>
    <w:locked/>
    <w:rsid w:val="00512D63"/>
    <w:rPr>
      <w:rFonts w:ascii="Arial" w:hAnsi="Arial" w:cs="Arial"/>
      <w:b/>
      <w:sz w:val="24"/>
      <w:lang w:val="sv-SE"/>
    </w:rPr>
  </w:style>
  <w:style w:type="paragraph" w:styleId="CommentText">
    <w:name w:val="annotation text"/>
    <w:basedOn w:val="Normal"/>
    <w:link w:val="CommentTextChar"/>
    <w:rsid w:val="001B4093"/>
    <w:rPr>
      <w:sz w:val="20"/>
    </w:rPr>
  </w:style>
  <w:style w:type="character" w:customStyle="1" w:styleId="CommentTextChar">
    <w:name w:val="Comment Text Char"/>
    <w:basedOn w:val="DefaultParagraphFont"/>
    <w:link w:val="CommentText"/>
    <w:rsid w:val="001B4093"/>
    <w:rPr>
      <w:lang w:val="sv-SE"/>
    </w:rPr>
  </w:style>
  <w:style w:type="paragraph" w:styleId="CommentSubject">
    <w:name w:val="annotation subject"/>
    <w:basedOn w:val="CommentText"/>
    <w:next w:val="CommentText"/>
    <w:link w:val="CommentSubjectChar"/>
    <w:rsid w:val="001B4093"/>
    <w:rPr>
      <w:b/>
      <w:bCs/>
    </w:rPr>
  </w:style>
  <w:style w:type="character" w:customStyle="1" w:styleId="CommentSubjectChar">
    <w:name w:val="Comment Subject Char"/>
    <w:basedOn w:val="CommentTextChar"/>
    <w:link w:val="CommentSubject"/>
    <w:rsid w:val="001B4093"/>
    <w:rPr>
      <w:b/>
      <w:bCs/>
      <w:lang w:val="sv-SE"/>
    </w:rPr>
  </w:style>
  <w:style w:type="character" w:styleId="UnresolvedMention">
    <w:name w:val="Unresolved Mention"/>
    <w:basedOn w:val="DefaultParagraphFont"/>
    <w:uiPriority w:val="99"/>
    <w:semiHidden/>
    <w:unhideWhenUsed/>
    <w:rsid w:val="001B40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www.nbb.be/doc/ts/publications/economicreview/2024/ecorevi2024_h02.pdf" TargetMode="External"/><Relationship Id="rId5" Type="http://schemas.openxmlformats.org/officeDocument/2006/relationships/hyperlink" Target="https://www.nbb.be/doc/ts/publications/economicreview/2024/ecorevi2024_h02.pdf"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2026-07-09T10:38:00Z</dcterms:created>
  <dcterms:modified xsi:type="dcterms:W3CDTF">2026-07-09T10:38:00Z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P10_TA(2026)0145_</vt:lpwstr>
  </property>
  <property fmtid="{D5CDD505-2E9C-101B-9397-08002B2CF9AE}" pid="4" name="&lt;Type&gt;">
    <vt:lpwstr>RR</vt:lpwstr>
  </property>
</Properties>
</file>