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0F54" w14:paraId="065B64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9011CA" w14:textId="77777777" w:rsidR="00751A4A" w:rsidRPr="00BF0F54" w:rsidRDefault="00CD7DAB" w:rsidP="0010095E">
            <w:pPr>
              <w:pStyle w:val="EPName"/>
            </w:pPr>
            <w:r w:rsidRPr="00BF0F54">
              <w:t>Evropský parlament</w:t>
            </w:r>
          </w:p>
          <w:p w14:paraId="01072317" w14:textId="77777777" w:rsidR="00751A4A" w:rsidRPr="00BF0F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F54">
              <w:t>2024</w:t>
            </w:r>
            <w:r w:rsidR="00817416" w:rsidRPr="00BF0F54">
              <w:t>-202</w:t>
            </w:r>
            <w:r w:rsidRPr="00BF0F54">
              <w:t>9</w:t>
            </w:r>
          </w:p>
        </w:tc>
        <w:tc>
          <w:tcPr>
            <w:tcW w:w="2268" w:type="dxa"/>
            <w:shd w:val="clear" w:color="auto" w:fill="auto"/>
          </w:tcPr>
          <w:p w14:paraId="09D9DF62" w14:textId="77777777" w:rsidR="00751A4A" w:rsidRPr="00BF0F54" w:rsidRDefault="00187494" w:rsidP="0010095E">
            <w:pPr>
              <w:pStyle w:val="EPLogo"/>
            </w:pPr>
            <w:r w:rsidRPr="00BF0F54">
              <w:rPr>
                <w:noProof/>
                <w:lang w:eastAsia="ja-JP"/>
              </w:rPr>
              <w:drawing>
                <wp:inline distT="0" distB="0" distL="0" distR="0" wp14:anchorId="5F705300" wp14:editId="732D0D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314CE5" w14:textId="77777777" w:rsidR="00D058B8" w:rsidRPr="00BF0F54" w:rsidRDefault="00D058B8" w:rsidP="004C5D52">
      <w:pPr>
        <w:pStyle w:val="LineTop"/>
      </w:pPr>
    </w:p>
    <w:p w14:paraId="2D5FD6CE" w14:textId="77777777" w:rsidR="00680577" w:rsidRPr="00BF0F54" w:rsidRDefault="00CD7DAB" w:rsidP="00680577">
      <w:pPr>
        <w:pStyle w:val="EPBodyTA1"/>
      </w:pPr>
      <w:r w:rsidRPr="00BF0F54">
        <w:t>PŘIJATÉ TEXTY</w:t>
      </w:r>
    </w:p>
    <w:p w14:paraId="50C06464" w14:textId="77777777" w:rsidR="00D058B8" w:rsidRPr="00BF0F54" w:rsidRDefault="00D058B8" w:rsidP="00D058B8">
      <w:pPr>
        <w:pStyle w:val="LineBottom"/>
      </w:pPr>
    </w:p>
    <w:p w14:paraId="7FD83C12" w14:textId="27A8CF71" w:rsidR="00CD7DAB" w:rsidRPr="00BF0F54" w:rsidRDefault="00CD7DAB" w:rsidP="00CD7DAB">
      <w:pPr>
        <w:pStyle w:val="ATHeading1"/>
      </w:pPr>
      <w:bookmarkStart w:id="0" w:name="TANumber"/>
      <w:r w:rsidRPr="00BF0F54">
        <w:t>P10_TA(2026)0</w:t>
      </w:r>
      <w:r w:rsidR="00914100">
        <w:t>148</w:t>
      </w:r>
      <w:bookmarkEnd w:id="0"/>
    </w:p>
    <w:p w14:paraId="25858663" w14:textId="77777777" w:rsidR="00CD7DAB" w:rsidRPr="00BF0F54" w:rsidRDefault="00CD7DAB" w:rsidP="00CD7DAB">
      <w:pPr>
        <w:pStyle w:val="ATHeading2"/>
      </w:pPr>
      <w:bookmarkStart w:id="1" w:name="title"/>
      <w:r w:rsidRPr="00BF0F54">
        <w:t>Kontrola uplatňování práva Evropské unie v letech 2023 a 2024</w:t>
      </w:r>
      <w:bookmarkEnd w:id="1"/>
    </w:p>
    <w:p w14:paraId="0E814395" w14:textId="77777777" w:rsidR="00CD7DAB" w:rsidRPr="00BF0F54" w:rsidRDefault="00CD7DAB" w:rsidP="00CD7DAB">
      <w:pPr>
        <w:rPr>
          <w:i/>
          <w:vanish/>
        </w:rPr>
      </w:pPr>
      <w:r w:rsidRPr="00BF0F54">
        <w:rPr>
          <w:i/>
        </w:rPr>
        <w:fldChar w:fldCharType="begin"/>
      </w:r>
      <w:r w:rsidRPr="00BF0F54">
        <w:rPr>
          <w:i/>
        </w:rPr>
        <w:instrText xml:space="preserve"> TC"(</w:instrText>
      </w:r>
      <w:bookmarkStart w:id="2" w:name="DocNumber"/>
      <w:r w:rsidRPr="00BF0F54">
        <w:rPr>
          <w:i/>
        </w:rPr>
        <w:instrText>A10-0037/2026</w:instrText>
      </w:r>
      <w:bookmarkEnd w:id="2"/>
      <w:r w:rsidRPr="00BF0F54">
        <w:rPr>
          <w:i/>
        </w:rPr>
        <w:instrText xml:space="preserve"> - Zpravodaj: Dainius Žalimas)"\l3 \n&gt; \* MERGEFORMAT </w:instrText>
      </w:r>
      <w:r w:rsidRPr="00BF0F54">
        <w:rPr>
          <w:i/>
        </w:rPr>
        <w:fldChar w:fldCharType="end"/>
      </w:r>
    </w:p>
    <w:p w14:paraId="100A66C6" w14:textId="77777777" w:rsidR="00CD7DAB" w:rsidRPr="00BF0F54" w:rsidRDefault="00CD7DAB" w:rsidP="00CD7DAB">
      <w:pPr>
        <w:rPr>
          <w:vanish/>
        </w:rPr>
      </w:pPr>
      <w:bookmarkStart w:id="3" w:name="Commission"/>
      <w:r w:rsidRPr="00BF0F54">
        <w:rPr>
          <w:vanish/>
        </w:rPr>
        <w:t>Výbor pro právní záležitosti</w:t>
      </w:r>
      <w:bookmarkEnd w:id="3"/>
    </w:p>
    <w:p w14:paraId="7A1583E1" w14:textId="77777777" w:rsidR="00CD7DAB" w:rsidRPr="00BF0F54" w:rsidRDefault="00CD7DAB" w:rsidP="00CD7DAB">
      <w:pPr>
        <w:rPr>
          <w:vanish/>
        </w:rPr>
      </w:pPr>
      <w:bookmarkStart w:id="4" w:name="PE"/>
      <w:r w:rsidRPr="00BF0F54">
        <w:rPr>
          <w:vanish/>
        </w:rPr>
        <w:t>PE778.115</w:t>
      </w:r>
      <w:bookmarkEnd w:id="4"/>
    </w:p>
    <w:p w14:paraId="267159A8" w14:textId="4F9A804C" w:rsidR="00CD7DAB" w:rsidRPr="00BF0F54" w:rsidRDefault="00CD7DAB" w:rsidP="00CD7DAB">
      <w:pPr>
        <w:pStyle w:val="ATHeading3"/>
      </w:pPr>
      <w:bookmarkStart w:id="5" w:name="Sujet"/>
      <w:r w:rsidRPr="00BF0F54">
        <w:t>Usnesení Evropského parlamentu ze dne</w:t>
      </w:r>
      <w:r w:rsidR="000249D5">
        <w:t xml:space="preserve"> </w:t>
      </w:r>
      <w:r w:rsidR="003C3957">
        <w:t>2</w:t>
      </w:r>
      <w:r w:rsidR="00914100">
        <w:t>9</w:t>
      </w:r>
      <w:r w:rsidR="000249D5">
        <w:t>. dubna</w:t>
      </w:r>
      <w:r w:rsidRPr="00BF0F54">
        <w:t xml:space="preserve"> 2026 o kontrole uplatňování práva Evropské unie v letech 2023 a 2024</w:t>
      </w:r>
      <w:bookmarkEnd w:id="5"/>
      <w:r w:rsidRPr="00BF0F54">
        <w:t xml:space="preserve"> </w:t>
      </w:r>
      <w:bookmarkStart w:id="6" w:name="References"/>
      <w:r w:rsidRPr="00BF0F54">
        <w:t>(2025/2016(INI))</w:t>
      </w:r>
      <w:bookmarkEnd w:id="6"/>
    </w:p>
    <w:p w14:paraId="58401AB1" w14:textId="77777777" w:rsidR="00EC0A14" w:rsidRPr="00BF0F54" w:rsidRDefault="00EC0A14" w:rsidP="00EC0A14">
      <w:pPr>
        <w:pStyle w:val="Normal12"/>
      </w:pPr>
      <w:r w:rsidRPr="00BF0F54">
        <w:rPr>
          <w:i/>
        </w:rPr>
        <w:t>Evropský parlament</w:t>
      </w:r>
      <w:r w:rsidRPr="00BF0F54">
        <w:t>,</w:t>
      </w:r>
    </w:p>
    <w:p w14:paraId="2E4CE12B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 ohledem na Smlouvu o Evropské unii (SEU), a zejména na článek 2 a 3 této smlouvy,</w:t>
      </w:r>
    </w:p>
    <w:p w14:paraId="5666EDC9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 Listinu základních práv Evropské unie ze dne 18. prosince 2000,</w:t>
      </w:r>
    </w:p>
    <w:p w14:paraId="45BD1694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evropský pilíř sociálních práv ze dne 17. listopadu 2017,</w:t>
      </w:r>
    </w:p>
    <w:p w14:paraId="02180E73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 zprávu Komise ze dne 25. července 2024 s názvem „Kontrola uplatňování práva Unie: výroční zpráva za rok 2023“ (</w:t>
      </w:r>
      <w:hyperlink r:id="rId9" w:tgtFrame="https://eur-lex.europa.eu/legal-content/EN/ALL/?uri=CELEX:52024DC0358" w:history="1">
        <w:r w:rsidRPr="000249D5">
          <w:t>COM(2024)0358</w:t>
        </w:r>
      </w:hyperlink>
      <w:r w:rsidRPr="00BF0F54">
        <w:t>),</w:t>
      </w:r>
    </w:p>
    <w:p w14:paraId="6FEF0DB8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zprávu Komise ze dne 21. října 2025 nazvanou „Výroční přehledová zpráva o zjednodušení, provádění a prosazování 2025“ (COM(2025)0871) a na výroční zprávy evropských komisařů o pokroku v oblasti zjednodušení, provádění a prosazování práva Unie za rok 2025 ze září 2025,</w:t>
      </w:r>
    </w:p>
    <w:p w14:paraId="40EE31AD" w14:textId="3091DCC9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své usnesení ze dne 23. listopadu 2023 o kontrole uplatňování práva Unie v letech 2020, 2021 a 2022</w:t>
      </w:r>
      <w:r w:rsidR="003C3957">
        <w:rPr>
          <w:rStyle w:val="FootnoteReference"/>
        </w:rPr>
        <w:footnoteReference w:id="1"/>
      </w:r>
      <w:r w:rsidRPr="00BF0F54">
        <w:t>,</w:t>
      </w:r>
    </w:p>
    <w:p w14:paraId="0CF47E8F" w14:textId="14C35E7F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své usnesení ze dne 9. června 2016 o otevřené, efektivní a nezávislé správě Evropské unie</w:t>
      </w:r>
      <w:r w:rsidR="003C3957">
        <w:rPr>
          <w:rStyle w:val="FootnoteReference"/>
        </w:rPr>
        <w:footnoteReference w:id="2"/>
      </w:r>
      <w:r w:rsidRPr="00BF0F54">
        <w:t xml:space="preserve"> a na svůj návrh nařízení Evropského parlamentu a Rady o otevřené, efektivní a nezávislé správě Evropské unie, který usnesení obsahuje,</w:t>
      </w:r>
    </w:p>
    <w:p w14:paraId="1AA7FD15" w14:textId="45C4E7D6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své usnesení ze dne 22. listopadu 2023 obsahující doporučení Komisi o digitalizaci a správním právu</w:t>
      </w:r>
      <w:r w:rsidR="003C3957">
        <w:rPr>
          <w:rStyle w:val="FootnoteReference"/>
        </w:rPr>
        <w:footnoteReference w:id="3"/>
      </w:r>
      <w:r w:rsidRPr="00BF0F54">
        <w:t>,</w:t>
      </w:r>
    </w:p>
    <w:p w14:paraId="39A4CCE5" w14:textId="177723A9" w:rsidR="00EC0A14" w:rsidRPr="00BF0F54" w:rsidRDefault="00EC0A14" w:rsidP="00EC0A14">
      <w:pPr>
        <w:pStyle w:val="NormalHanging"/>
      </w:pPr>
      <w:r w:rsidRPr="00BF0F54">
        <w:lastRenderedPageBreak/>
        <w:t>–</w:t>
      </w:r>
      <w:r w:rsidRPr="00BF0F54">
        <w:tab/>
        <w:t>s ohledem na interinstitucionální dohodu mezi Evropským parlamentem, Radou Evropské unie a Evropskou komisí o zdokonalení tvorby právních předpisů ze dne 13. dubna 2016</w:t>
      </w:r>
      <w:r w:rsidR="003C3957">
        <w:rPr>
          <w:rStyle w:val="FootnoteReference"/>
        </w:rPr>
        <w:footnoteReference w:id="4"/>
      </w:r>
      <w:r w:rsidRPr="00BF0F54">
        <w:t>,</w:t>
      </w:r>
    </w:p>
    <w:p w14:paraId="025544DD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 ohledem na sdělení Komise ze dne 21. května 2025 nazvané „Jednotný trh: náš evropský domácí trh v nejistém světě – Strategie pro jednoduchý, hladce fungující a silný jednotný trh“ (</w:t>
      </w:r>
      <w:hyperlink r:id="rId10" w:tgtFrame="https://eur-lex.europa.eu/legal-content/EN/ALL/?uri=CELEX:52025DC0500" w:history="1">
        <w:r w:rsidRPr="000249D5">
          <w:t>COM(2025)0500</w:t>
        </w:r>
      </w:hyperlink>
      <w:r w:rsidRPr="00BF0F54">
        <w:t>),</w:t>
      </w:r>
    </w:p>
    <w:p w14:paraId="1C3F7355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sdělení Komise ze dne 11. února 2025 s názvem „Společná cesta do budoucna: odvážnější, jednodušší a rychlejší Unie“ (</w:t>
      </w:r>
      <w:hyperlink r:id="rId11" w:tgtFrame="https://eur-lex.europa.eu/legal-content/EN/ALL/?uri=CELEX:52025DC0045" w:history="1">
        <w:r w:rsidRPr="000249D5">
          <w:t>COM(2025)0045</w:t>
        </w:r>
      </w:hyperlink>
      <w:r w:rsidRPr="00BF0F54">
        <w:t>),</w:t>
      </w:r>
    </w:p>
    <w:p w14:paraId="49383B54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sdělení Komise ze dne 11. února 2025 s názvem „Inkluzivnější a bezpečnější Evropa: sdělení o provádění a zjednodušování“ (</w:t>
      </w:r>
      <w:hyperlink r:id="rId12" w:tgtFrame="https://eur-lex.europa.eu/legal-content/EN/ALL/?uri=CELEX:52025DC0047" w:history="1">
        <w:r w:rsidRPr="000249D5">
          <w:t>COM(2025)0047</w:t>
        </w:r>
      </w:hyperlink>
      <w:r w:rsidRPr="00BF0F54">
        <w:t>),</w:t>
      </w:r>
    </w:p>
    <w:p w14:paraId="0D48DFE2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pracovní dokument útvarů Komise ze dne 14. července 2023 nazvaný „Hodnotící zpráva o pracovních metodách Komise pro kontrolu uplatňování práva EU“ (SWD(2023)0254),</w:t>
      </w:r>
    </w:p>
    <w:p w14:paraId="3FC196D3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 ohledem na zvláštní zprávu Evropského účetního dvora č. 28/2024 s názvem „Prosazování práva EU“,</w:t>
      </w:r>
    </w:p>
    <w:p w14:paraId="00C3FF90" w14:textId="5E28F5EA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stanovisko Evropského výboru regionů ze dne 28. srpna 2025 nazvané „Evropa jednodušší a rychlejší“</w:t>
      </w:r>
      <w:r w:rsidR="003C3957">
        <w:rPr>
          <w:rStyle w:val="FootnoteReference"/>
        </w:rPr>
        <w:footnoteReference w:id="5"/>
      </w:r>
      <w:r w:rsidRPr="00BF0F54">
        <w:t>,</w:t>
      </w:r>
    </w:p>
    <w:p w14:paraId="7A2FE1CB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 ohledem na zprávu Maria Graghiho ze září 2024 s názvem „Budoucnost evropské konkurenceschopnosti – strategie konkurenceschopnosti pro Evropu“,</w:t>
      </w:r>
    </w:p>
    <w:p w14:paraId="19F62894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zprávu Enrica Letty z dubna 2024 nazvanou „Mnohem více než jen trh“,</w:t>
      </w:r>
    </w:p>
    <w:p w14:paraId="137F7023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článek 55 jednacího řádu,</w:t>
      </w:r>
    </w:p>
    <w:p w14:paraId="1AFDB54D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stanovisko Petičního výboru,</w:t>
      </w:r>
    </w:p>
    <w:p w14:paraId="1221027F" w14:textId="77777777" w:rsidR="00EC0A14" w:rsidRPr="00BF0F54" w:rsidRDefault="00EC0A14" w:rsidP="00EC0A14">
      <w:pPr>
        <w:pStyle w:val="NormalHanging"/>
      </w:pPr>
      <w:r w:rsidRPr="00BF0F54">
        <w:t>–</w:t>
      </w:r>
      <w:r w:rsidRPr="00BF0F54">
        <w:tab/>
        <w:t>s ohledem na zprávu Výboru pro právní záležitosti (A10-0037/2026),</w:t>
      </w:r>
    </w:p>
    <w:p w14:paraId="17698C78" w14:textId="77777777" w:rsidR="00EC0A14" w:rsidRPr="00BF0F54" w:rsidRDefault="00EC0A14" w:rsidP="00EC0A14">
      <w:pPr>
        <w:pStyle w:val="NormalHanging"/>
      </w:pPr>
      <w:r w:rsidRPr="00BF0F54">
        <w:t>A.</w:t>
      </w:r>
      <w:r w:rsidRPr="00BF0F54">
        <w:tab/>
        <w:t>vzhledem k tomu, že tvorba právních předpisů EU je založena na hodnotách, kterými je úcta k lidské důstojnosti, svoboda, demokracie, rovnost, právní stát a dodržování lidských práv a které jsou zakotveny v článku 2 Smlouvy o EU; vzhledem k tomu, že pro dosažení cílů EU, zajištění řádného fungování jednotného trhu a zachování prostoru svobody, bezpečnosti a práva je nezbytné jednotné, důsledné a účinné uplatňování práva EU ve všech členských státech; vzhledem k tomu, že vnější důvěryhodnost EU závisí na její schopnosti zajistit neomezené dodržování těchto hodnot a zásad uvnitř Unie;</w:t>
      </w:r>
    </w:p>
    <w:p w14:paraId="473E9243" w14:textId="77777777" w:rsidR="00EC0A14" w:rsidRPr="00BF0F54" w:rsidRDefault="00EC0A14" w:rsidP="00EC0A14">
      <w:pPr>
        <w:pStyle w:val="NormalHanging"/>
      </w:pPr>
      <w:r w:rsidRPr="00BF0F54">
        <w:t>B.</w:t>
      </w:r>
      <w:r w:rsidRPr="00BF0F54">
        <w:tab/>
        <w:t xml:space="preserve">vzhledem k tomu, že podle čl. 4 odst. 3 Smlouvy o EU a článku 288 a čl. 291 odst. 1 Smlouvy o fungování Evropské unie nesou primární odpovědnost za správné a harmonizované provádění právních předpisů EU v právu členských států ve stanovených lhůtách a za jeho používání a uplatňování členské státy; vzhledem k tomu, že zásada loajální spolupráce s sebou nese odpovědnost za podporu EU </w:t>
      </w:r>
      <w:r w:rsidRPr="00BF0F54">
        <w:lastRenderedPageBreak/>
        <w:t>při plnění jejích úkolů a zdržení se veškerých opatření, která by mohla ohrozit dosažení cílů EU;</w:t>
      </w:r>
      <w:r w:rsidRPr="00BF0F54">
        <w:rPr>
          <w:b/>
          <w:i/>
        </w:rPr>
        <w:t xml:space="preserve"> </w:t>
      </w:r>
      <w:r w:rsidRPr="00BF0F54">
        <w:t>vzhledem k tomu, že právní předpisy EU jsou účinné pouze tehdy, pokud jsou na jedné straně provedeny v právu členských států včas, úplně a přesně a na straně druhé pokud je členské státy v rámci svého práva řádně uplatňují, což je nezbytné k zajištění přínosu politiky EU pro všechny unijní občany, mj. ochrany jejich základních práv, a rovných podmínek pro podniky na celém vnitřním trhu; vzhledem k tomu, že v této souvislosti je prosazování práva EU klíčem k zachování rovných podmínek mezi členskými státy;</w:t>
      </w:r>
    </w:p>
    <w:p w14:paraId="467DF6CC" w14:textId="77777777" w:rsidR="00EC0A14" w:rsidRPr="00BF0F54" w:rsidRDefault="00EC0A14" w:rsidP="00EC0A14">
      <w:pPr>
        <w:pStyle w:val="NormalHanging"/>
      </w:pPr>
      <w:r w:rsidRPr="00BF0F54">
        <w:t>C.</w:t>
      </w:r>
      <w:r w:rsidRPr="00BF0F54">
        <w:tab/>
        <w:t>vzhledem k tomu, že kvalita, jasnost, provázanost a dostupnost právních předpisů EU je základním předpokladem jejich správného, účinného, včasného a úplného provedení ve vnitrostátním právu a uplatňování; vzhledem k tomu, že složitost, překrývání aktů, rozdílné definice a nejednoznačná formulace zvyšují riziko průtahů, rozdílného výkladu a nedostatečného dodržování předpisů; vzhledem k tomu, že právní předpisy EU by měly být vypracovány jasným, racionálním a technicky proveditelným způsobem, který členským státům, občanům a podnikům umožní pochopit, uplatňovat a využívat svá práva a plnit povinnosti podle práva EU; vzhledem k tomu, že technický pokrok, včetně umělé inteligence, nabízí nové příležitosti ke zlepšení tvorby právních předpisů, kontroly, posuzování souladu a komunikace s občany a podniky za předpokladu, že se jeho využití bude řídit transparentními, etickými rámci, které zajistí bezpečnost údajů;</w:t>
      </w:r>
    </w:p>
    <w:p w14:paraId="6971BD82" w14:textId="77777777" w:rsidR="00EC0A14" w:rsidRPr="00BF0F54" w:rsidRDefault="00EC0A14" w:rsidP="00EC0A14">
      <w:pPr>
        <w:pStyle w:val="NormalHanging"/>
      </w:pPr>
      <w:r w:rsidRPr="00BF0F54">
        <w:t>D.</w:t>
      </w:r>
      <w:r w:rsidRPr="00BF0F54">
        <w:tab/>
        <w:t>vzhledem k tomu, že řízení o neplnění povinností a další mechanismy na podporu uplatňování a dodržování předpisů zaručují, aby pozdní či neúplné provedení právních předpisů EU v právu členských států nebo jejich nesprávné uplatňování nemělo negativní vliv na občany a podniky EU; vzhledem k tomu, že včasné a důsledné zahajování řízení o neplnění povinností ze strany Komise představuje doplňkový nástroj k zajištění souladu s právem EU; vzhledem k tomu, že za vhodnější způsob řešení problému neplnění povinností považuje Komise spíše dialog s vnitrostátními orgány než podávání žalob na členské státy u Soudního dvora EU, což považuje za krajní opatření; vzhledem k tomu, že v roce 2016 se Komise rozhodla, že při řešení případů neplnění povinností a stížností se bude přednostně zabývat nejzávažnějšími případy porušování práva EU, které mají značný dopad na zájmy občanů a podniků; vzhledem k tomu, že tento nový cílenější přístup začala uplatňovat v roce 2017;</w:t>
      </w:r>
    </w:p>
    <w:p w14:paraId="4B80166B" w14:textId="77777777" w:rsidR="00EC0A14" w:rsidRPr="00BF0F54" w:rsidRDefault="00EC0A14" w:rsidP="00EC0A14">
      <w:pPr>
        <w:pStyle w:val="NormalHanging"/>
      </w:pPr>
      <w:r w:rsidRPr="00BF0F54">
        <w:t>E.</w:t>
      </w:r>
      <w:r w:rsidRPr="00BF0F54">
        <w:tab/>
        <w:t>vzhledem k tomu, že veřejné konzultace a předběžné i následné posuzování dopadu právních předpisů jsou zásadními nástroji pro jejich fundovanou, účinnou, odpovědnou a transparentní tvorbu;</w:t>
      </w:r>
    </w:p>
    <w:p w14:paraId="0BE8D9D2" w14:textId="77777777" w:rsidR="00EC0A14" w:rsidRDefault="00EC0A14" w:rsidP="00EC0A14">
      <w:pPr>
        <w:pStyle w:val="NormalHanging"/>
      </w:pPr>
      <w:r w:rsidRPr="00BF0F54">
        <w:t>F.</w:t>
      </w:r>
      <w:r w:rsidRPr="00BF0F54">
        <w:tab/>
        <w:t>vzhledem k tomu, že petice a stížnosti předložené Parlamentu jsou cenným zdrojem informací o nedostatcích a mezerách při uplatňování právních předpisů EU na úrovni členských států a mohou přispět ke kontrole správného uplatňování a provádění právních předpisů EU členskými státy ve svém právu ve všech oblastech politiky; vzhledem k tomu, že značný počet petic se týká uplatňování právních předpisů EU v oblasti životního prostředí, ochrany základních práv a dodržování zásad právního státu a demokracie; vzhledem k tomu, že podněty občanů, jako je tento, poskytují cenné poznatky o skutečném uplatňování práva EU a měly by systematicky sloužit jako podklad pro opatření v oblasti monitorování a prosazování práva;</w:t>
      </w:r>
    </w:p>
    <w:p w14:paraId="4AF42684" w14:textId="150FF5CD" w:rsidR="00914100" w:rsidRPr="00BF0F54" w:rsidRDefault="00914100" w:rsidP="00EC0A14">
      <w:pPr>
        <w:pStyle w:val="NormalHanging"/>
      </w:pPr>
      <w:r>
        <w:t>G</w:t>
      </w:r>
      <w:r w:rsidRPr="00914100">
        <w:t>.</w:t>
      </w:r>
      <w:r w:rsidRPr="00914100">
        <w:tab/>
        <w:t xml:space="preserve">vzhledem k tomu, že stále více petic předkládaných Parlamentu se zabývá právy a bezpečností dětí a dospívajících v digitálním prostředí, zejména riziky pohlavního zneužívání a vykořisťování; vzhledem k tomu, že petice se týkají nedostatků v ochraně </w:t>
      </w:r>
      <w:r w:rsidRPr="00914100">
        <w:lastRenderedPageBreak/>
        <w:t>dětí obecně, včetně bezpečnosti na internetu a přístupu ke službám ochrany dětí; vzhledem k tomu, že předkladatelé petic často upozorňují na přetrvávající nedostatky a opakované porušování předpisů při provádění práva EU ze strany členských států v těchto oblastech, což prokazuje nutnost posílit dohled a včasné návazné sledování;</w:t>
      </w:r>
    </w:p>
    <w:p w14:paraId="7EF903AF" w14:textId="0FB2496D" w:rsidR="00EC0A14" w:rsidRPr="00BF0F54" w:rsidRDefault="00914100" w:rsidP="00EC0A14">
      <w:pPr>
        <w:pStyle w:val="NormalHanging"/>
      </w:pPr>
      <w:r>
        <w:t>H</w:t>
      </w:r>
      <w:r w:rsidR="00EC0A14" w:rsidRPr="00BF0F54">
        <w:t>.</w:t>
      </w:r>
      <w:r w:rsidR="00EC0A14" w:rsidRPr="00BF0F54">
        <w:tab/>
        <w:t>vzhledem k tomu, že Komise bohužel nezveřejnila výroční zprávu o kontrole uplatňování práva EU za rok 2024, čímž porušila praxi, která byla zavedena před 40 lety – v roce 1983;</w:t>
      </w:r>
    </w:p>
    <w:p w14:paraId="320F4BD5" w14:textId="45B7890E" w:rsidR="00EC0A14" w:rsidRPr="00BF0F54" w:rsidRDefault="00914100" w:rsidP="00EC0A14">
      <w:pPr>
        <w:pStyle w:val="NormalHanging"/>
      </w:pPr>
      <w:r>
        <w:t>I</w:t>
      </w:r>
      <w:r w:rsidR="00EC0A14" w:rsidRPr="00BF0F54">
        <w:t>.</w:t>
      </w:r>
      <w:r w:rsidR="00EC0A14" w:rsidRPr="00BF0F54">
        <w:tab/>
        <w:t>vzhledem k tomu, že se v souhrnné zprávě Komise o zjednodušování, provádění a prosazování práva za rok 2025 klade velký důraz na iniciativy v oblasti zjednodušování právních předpisů; vzhledem k tomu, že tento důraz by měl být vyvážen stejně podrobnou analýzou jejich provádění a prosazování; vzhledem k tomu, že bez dohledu a účinného a účelného prosazování právních předpisů ze strany Komise by mohlo dojít k závažnému narušení přeshraničního podnikání a volného pohybu osob, zboží, kapitálu a služeb v EU; vzhledem k tomu, že Komise by měla přijmout donucovací opatření, aby zaručila všechna práva vyplývající z právních předpisů EU, zejména lidská práva; vzhledem k tomu, že účinnost a důvěryhodnost práva EU závisí na jeho schopnosti přinášet všem občanům a regionům hmatatelné sociální, environmentální a hospodářské výhody a zajistit, aby nikdo nebyl při uplatňování pravidel EU opomenut; vzhledem k tomu, že zásadní význam z hlediska zajištění demokratické odpovědnosti vůči občanům EU a posílení důvěry veřejnosti v orgány EU má zásada parlamentní kontroly činnosti Komise, včetně kontroly uplatňování práva EU ze strany Komise;</w:t>
      </w:r>
    </w:p>
    <w:p w14:paraId="0FDCFC94" w14:textId="37458321" w:rsidR="00EC0A14" w:rsidRPr="00BF0F54" w:rsidRDefault="00914100" w:rsidP="00EC0A14">
      <w:pPr>
        <w:pStyle w:val="NormalHanging"/>
      </w:pPr>
      <w:r>
        <w:t>J</w:t>
      </w:r>
      <w:r w:rsidR="00EC0A14" w:rsidRPr="00BF0F54">
        <w:t>.</w:t>
      </w:r>
      <w:r w:rsidR="00EC0A14" w:rsidRPr="00BF0F54">
        <w:tab/>
        <w:t>vzhledem k tomu, že počet uzavřených případů nesplnění povinnosti dramaticky klesl, a to z 1030 v roce 2023 na 535 v roce 2024; vzhledem k tomu, že došlo ke zvýšení počtu neuzavřených případů ze 1461 v roce 2023 na 1493 v roce 2024; vzhledem k tomu, že došlo ke zvýšení počtu nových případů nesplnění povinnosti z 528 v roce 2023 na 567 v roce 2024; vzhledem k tomu, že předběžné údaje za rok 2025 týkající se období od 1. ledna do 31. července</w:t>
      </w:r>
      <w:r w:rsidR="003D3855">
        <w:t xml:space="preserve"> </w:t>
      </w:r>
      <w:r w:rsidR="00EC0A14" w:rsidRPr="00BF0F54">
        <w:t>ukazují, že bylo uzavřeno 345 případů, zatímco počet neuzavřených případů dosahoval 1559; vzhledem k tomu, že údaje jsou buď neúplné, nejsou zatím k dispozici, nebo nejsou uvedeny na internetových stránkách Komise; vzhledem k tomu, že v letech 2023, 2024 a 2025 se největší počet probíhajících řízení o nesplnění povinnosti týkal bez výjimky oblasti životního prostředí; vzhledem k tomu, že v roce 2023 následovala po této oblasti politiky oblast energetiky a dopravy; vzhledem k tomu, že v roce 2024 po ní následovala politika v oblasti spravedlnosti a spotřebitelů a v oblasti mobility a dopravy; vzhledem k tomu, že v roce 2025 následovala politika v oblasti spravedlnosti a spotřebitelů a v oblasti energetiky;</w:t>
      </w:r>
    </w:p>
    <w:p w14:paraId="2BD27735" w14:textId="19966A1F" w:rsidR="00EC0A14" w:rsidRPr="00BF0F54" w:rsidRDefault="00914100" w:rsidP="00EC0A14">
      <w:pPr>
        <w:pStyle w:val="NormalHanging"/>
      </w:pPr>
      <w:r>
        <w:t>K</w:t>
      </w:r>
      <w:r w:rsidR="00EC0A14" w:rsidRPr="00BF0F54">
        <w:t>.</w:t>
      </w:r>
      <w:r w:rsidR="00EC0A14" w:rsidRPr="00BF0F54">
        <w:tab/>
        <w:t>vzhledem k tomu, že existují případy, kdy některé členské státy neustále porušují právo EU a systematicky odmítají provádět rozsudky Soudního dvora Evropské unie;</w:t>
      </w:r>
    </w:p>
    <w:p w14:paraId="443403FF" w14:textId="77777777" w:rsidR="00EC0A14" w:rsidRPr="00BF0F54" w:rsidRDefault="00EC0A14" w:rsidP="00EC0A14">
      <w:pPr>
        <w:pStyle w:val="Normal12a"/>
        <w:rPr>
          <w:i/>
          <w:iCs/>
        </w:rPr>
      </w:pPr>
      <w:r w:rsidRPr="00BF0F54">
        <w:rPr>
          <w:b/>
          <w:i/>
        </w:rPr>
        <w:t>Kontrola a prosazování práva EU</w:t>
      </w:r>
    </w:p>
    <w:p w14:paraId="1A8A1C04" w14:textId="77777777" w:rsidR="00EC0A14" w:rsidRPr="00BF0F54" w:rsidRDefault="00EC0A14" w:rsidP="00EC0A14">
      <w:pPr>
        <w:pStyle w:val="NormalHanging12a"/>
      </w:pPr>
      <w:r w:rsidRPr="00BF0F54">
        <w:t>1.</w:t>
      </w:r>
      <w:r w:rsidRPr="00BF0F54">
        <w:tab/>
        <w:t>bere na vědomí zprávu Komise o kontrole uplatňování práva EU za rok 2023;</w:t>
      </w:r>
    </w:p>
    <w:p w14:paraId="3F6178C8" w14:textId="77777777" w:rsidR="00EC0A14" w:rsidRPr="00BF0F54" w:rsidRDefault="00EC0A14" w:rsidP="00EC0A14">
      <w:pPr>
        <w:pStyle w:val="NormalHanging12a"/>
      </w:pPr>
      <w:r w:rsidRPr="00BF0F54">
        <w:t>2.</w:t>
      </w:r>
      <w:r w:rsidRPr="00BF0F54">
        <w:tab/>
        <w:t xml:space="preserve">s politováním konstatuje, že Komise nezveřejnila výroční zprávu o kontrole uplatňování práva EU za rok 2024, a porušila tak praxi, která byla zavedena před 40 lety – v roce 1983; zdůrazňuje, že pravidelná každoroční kontrola uplatňování práva EU je </w:t>
      </w:r>
      <w:r w:rsidRPr="00BF0F54">
        <w:lastRenderedPageBreak/>
        <w:t>zásadním nástrojem, který Komise používá v souladu s čl. 17 odst. 1 SEU k plnění své úlohy strážkyně Smluv, protože umožňuje zajistit a kontrolovat správné uplatňování a prosazování práva EU ve všech členských státech a transparentním způsobem přístupným pro všechny sledovat pokrok dosažený v této oblasti; domnívá se, že výroční zpráva o kontrole uplatňování práva EU je klíčovým nástrojem, který umožňuje kontrolu správného provádění práva EU v právu členských států a jeho uplatňování a zajišťuje institucionální rovnováhu, jak je stanoveno ve Smlouvách; zdůrazňuje, že Parlament musí být neustále informován a že se na tyto zprávy spoléhá jako spolutvůrce právních předpisů, ale i při provádění politické kontroly Komise podle čl. 14 odst. 1 SEU, aby zajistil řádné uplatňování výsad ze strany Komise; zdůrazňuje, že je důležité zajistit každoroční kontrolu uplatňování práva EU v jednotlivých zemích, aby se zabránilo porušování základních práv a zásad právního státu v důsledku jeho nedodržování; vyzývá Komisi, aby věnovala zvláštní pozornost svobodě projevu, pluralitě sdělovacích prostředků, rovnosti a zákazu diskriminace, jejichž porušení by mohlo mít přímý dopad na důvěru občanů v EU; domnívá se, že transparentní a přístupné podávání zpráv přispívá k informování občanů o uplatňování právních předpisů EU a omezuje prostor pro zavádějící informace o fungování Unie; se znepokojením konstatuje, že vnitrostátní ústavní a nejvyšší soudy v některých členských státech podkopávají zavedenou doktrínu přednosti práva EU; zdůrazňuje, že tento vývoj by měl vždy vést k urychleným opatřením Komise v oblasti prosazování práva, včetně zahájení řízení o neplnění povinností;</w:t>
      </w:r>
    </w:p>
    <w:p w14:paraId="19635465" w14:textId="77777777" w:rsidR="00EC0A14" w:rsidRPr="00BF0F54" w:rsidRDefault="00EC0A14" w:rsidP="00EC0A14">
      <w:pPr>
        <w:pStyle w:val="NormalHanging12a"/>
      </w:pPr>
      <w:r w:rsidRPr="00BF0F54">
        <w:t>3.</w:t>
      </w:r>
      <w:r w:rsidRPr="00BF0F54">
        <w:tab/>
        <w:t>bere na vědomí přechod Komise k novému cyklu podávání zpráv o kontrole uplatňování práva EU, jehož součástí jsou výroční zprávy každého komisaře o dosažení pokroku při zjednodušování, uplatňování a prosazování práva EU a souhrnná výroční zpráva o zjednodušování, uplatňování a prosazování práva EU; vítá výroční souhrnnou zprávu za rok 2025 a výroční zprávy komisařů o dosaženém pokroku za rok 2025, které se vztahují na období od 1. ledna do 31. července, jako cenný zdroj věcných informací o stavu uplatňování práva EU ve všech odvětvích a všech členských státech; konstatuje, že zprávy mají přehlednou strukturu; s politováním však konstatuje, že se analýza přespříliš zabývá dosaženými výsledky a málo pozornosti je v ní věnováno přetrvávajícím problémům a systémovým nedostatkům při prosazování práva EU; konstatuje, že nedostatečné srovnávací údaje a ukazatele zaměřené na výsledky vedou k omezením při posuzování skutečného pokroku v průběhu času; zdůrazňuje, že výroční souhrnná zpráva musí jít nad rámec popisné činnosti a poskytovat věcné a kritické posouzení systémových problémů a nedostatků při uplatňování a prosazování právních předpisů EU, včetně jasného a transparentního zjišťování nedostatků a kroků plánovaných k jejich řešení; vyzývá Komisi, aby v budoucích souhrnných zprávách zajistila jednotný postup a aby kapitoly týkající se zjednodušení právních předpisů byly vyváženy analýzou jejich uplatňování a prosazování; vyzývá Komisi, aby překročila rámec formální, procedurální kontroly zaměřené pouze na provádění směrnic v právu členských států; zdůrazňuje, že kontrola by měla zachycovat skutečnou účinnost práva EU při dosahování jejích cílů; žádá Komisi, aby zveřejnila metodiku použitou při vypracovávání souhrnných zpráv s cílem zajistit transparentnost a účinnou parlamentní kontrolu; poukazuje na význam dobré spolupráce mezi orgány, zejména prostřednictvím trvalého strukturovaného dialogu mezi Komisí a Parlamentem, s cílem zajistit neomezenou transparentnost a dostupnost a zvýšit důvěryhodnost a užitečnost zpráv pro tvůrce politiky a občany;</w:t>
      </w:r>
    </w:p>
    <w:p w14:paraId="12A961F6" w14:textId="77777777" w:rsidR="00EC0A14" w:rsidRPr="00BF0F54" w:rsidRDefault="00EC0A14" w:rsidP="00EC0A14">
      <w:pPr>
        <w:pStyle w:val="NormalHanging12a"/>
      </w:pPr>
      <w:r w:rsidRPr="00BF0F54">
        <w:t>4.</w:t>
      </w:r>
      <w:r w:rsidRPr="00BF0F54">
        <w:tab/>
        <w:t xml:space="preserve">vyzývá k transparentnější spolupráci mezi Komisí, Parlamentem a Radou při uplatňování a prosazování práva EU, mimo jiné prostřednictvím pravidelného </w:t>
      </w:r>
      <w:r w:rsidRPr="00BF0F54">
        <w:lastRenderedPageBreak/>
        <w:t>strukturovaného dialogu, systematické výměny údajů a včasného předávání příslušných dokumentů Parlamentu v souladu s interinstitucionální dohodou o zdokonalení tvorby právních předpisů;</w:t>
      </w:r>
    </w:p>
    <w:p w14:paraId="071FE7D9" w14:textId="77777777" w:rsidR="00EC0A14" w:rsidRPr="00BF0F54" w:rsidRDefault="00EC0A14" w:rsidP="00EC0A14">
      <w:pPr>
        <w:pStyle w:val="NormalHanging12a"/>
      </w:pPr>
      <w:r w:rsidRPr="00BF0F54">
        <w:t>5.</w:t>
      </w:r>
      <w:r w:rsidRPr="00BF0F54">
        <w:tab/>
        <w:t>vyjadřuje politování nad nedostatkem informací o základních politických prioritách EU ve výroční zprávě Komise o kontrole uplatňování práva EU za rok 2023, ale i v její souhrnné zprávě o zjednodušování, provádění a prosazování práva EU;</w:t>
      </w:r>
    </w:p>
    <w:p w14:paraId="6E0E1C43" w14:textId="77777777" w:rsidR="00EC0A14" w:rsidRPr="00BF0F54" w:rsidRDefault="00EC0A14" w:rsidP="00EC0A14">
      <w:pPr>
        <w:pStyle w:val="NormalHanging12a"/>
      </w:pPr>
      <w:r w:rsidRPr="00BF0F54">
        <w:t>6.</w:t>
      </w:r>
      <w:r w:rsidRPr="00BF0F54">
        <w:tab/>
        <w:t>zdůrazňuje, že je třeba posílit mechanismy předběžné kontroly, které by zajistily, aby byly legislativní návrhy plně v souladu s rozdělením pravomocí stanoveným ve Smlouvách, tak aby se zabránilo situacím, kdy mohou být akty, které byly přijaty řádným legislativním postupem a schváleny členskými státy, z důvodu právního základu nebo pravomocí následně, a to i částečně zrušeny; poukazuje na to, že větší právní kontrola ve všech fázích legislativního procesu má zásadní význam pro zajištění stability, předvídatelnosti a důvěryhodnosti právních předpisů EU; zdůrazňuje, že je třeba, aby Komise zajistila systematické kontroly dodržování předpisů s cílem zabránit tomu, aby právní předpisy EU zasahovaly do oblastí vyloučených z pravomoci EU, zejména v citlivých oblastech;</w:t>
      </w:r>
    </w:p>
    <w:p w14:paraId="2E5F2B87" w14:textId="77777777" w:rsidR="00EC0A14" w:rsidRPr="00BF0F54" w:rsidRDefault="00EC0A14" w:rsidP="00EC0A14">
      <w:pPr>
        <w:pStyle w:val="NormalHanging12a"/>
      </w:pPr>
      <w:r w:rsidRPr="00BF0F54">
        <w:t>7.</w:t>
      </w:r>
      <w:r w:rsidRPr="00BF0F54">
        <w:tab/>
        <w:t>vyzývá Komisi, aby zveřejnila výroční zprávu o transparentnosti věnovanou konkrétně cyklu kontroly, zjednodušování a prosazování právních předpisů, v níž by podrobně popsala metodické změny, zdroje údajů, problémy, s nimiž se setkala, a konzultace se zúčastněnými stranami a vnitrostátními správními orgány;</w:t>
      </w:r>
    </w:p>
    <w:p w14:paraId="1415B72F" w14:textId="77777777" w:rsidR="00EC0A14" w:rsidRPr="00BF0F54" w:rsidRDefault="00EC0A14" w:rsidP="00EC0A14">
      <w:pPr>
        <w:pStyle w:val="NormalHanging12a"/>
      </w:pPr>
      <w:r w:rsidRPr="00BF0F54">
        <w:t>8.</w:t>
      </w:r>
      <w:r w:rsidRPr="00BF0F54">
        <w:tab/>
        <w:t>všímá si, že se v souhrnné zprávě Komise za rok 2025 a v dostupných zprávách o pokroku dosaženém v jednotlivých odvětvích objevují zmínky o dialogu vedeném před zahájením řízení o nesplnění povinnosti (dříve znám pod názvem „pilotní postup EU“), o jeho současném fungování a o jeho úloze při hledání včasného řešení problémů předtím, než je zahájeno formální řízení o neplnění povinností; domnívá se však, že tyto zmínky by měly být podrobnější;</w:t>
      </w:r>
    </w:p>
    <w:p w14:paraId="20213116" w14:textId="77777777" w:rsidR="00EC0A14" w:rsidRPr="00BF0F54" w:rsidRDefault="00EC0A14" w:rsidP="00EC0A14">
      <w:pPr>
        <w:pStyle w:val="NormalHanging12a"/>
      </w:pPr>
      <w:r w:rsidRPr="00BF0F54">
        <w:t>9.</w:t>
      </w:r>
      <w:r w:rsidRPr="00BF0F54">
        <w:tab/>
        <w:t>zdůrazňuje, že petice, které Parlament obdržel, představují zásadní nástroj ke zjišťování nedostatků při uplatňování právních předpisů EU, včetně jejich systémového nebo strukturálního porušování v členských státech; naléhavě proto vyzývá Komisi, aby zajistila zohledňování informací a zjištění vyplývajících z petic a jejich začleňování do svých postupů při prosazování právních předpisů a kontrole; vyzývá Komisi zejména k tomu, aby poskytla podrobné statistické údaje o počtu petic, kterými se Komise dále zabývala, včetně petic, které vedly k dalšímu šetření prostřednictvím pilotních postupů EU nebo řízení o neplnění povinností;</w:t>
      </w:r>
    </w:p>
    <w:p w14:paraId="3464D682" w14:textId="77777777" w:rsidR="00EC0A14" w:rsidRPr="00BF0F54" w:rsidRDefault="00EC0A14" w:rsidP="00EC0A14">
      <w:pPr>
        <w:pStyle w:val="NormalHanging12a"/>
      </w:pPr>
      <w:r w:rsidRPr="00BF0F54">
        <w:t>10.</w:t>
      </w:r>
      <w:r w:rsidRPr="00BF0F54">
        <w:tab/>
        <w:t>vyjadřuje znepokojení nad pravidelnou absencí posouzení dopadů, které by bylo přiloženo k legislativním návrhům, zejména k legislativním návrhům, jež by mohly mít významný dopad na základní práva; zdůrazňuje, že posuzování dopadů právních předpisů EU přispívá k jejich kvalitě, a usnadňuje tak jejich uplatňování, ale vede i k větší transparentnosti a odpovědnosti orgánů EU; poukazuje na to, že při vypracovávání posouzení dopadů je důležité konzultovat příslušné zúčastněné strany a organizace občanské společnosti;</w:t>
      </w:r>
    </w:p>
    <w:p w14:paraId="1B8617F0" w14:textId="77777777" w:rsidR="00EC0A14" w:rsidRPr="00BF0F54" w:rsidRDefault="00EC0A14" w:rsidP="00EC0A14">
      <w:pPr>
        <w:pStyle w:val="NormalHanging12a"/>
      </w:pPr>
      <w:r w:rsidRPr="00BF0F54">
        <w:t>11.</w:t>
      </w:r>
      <w:r w:rsidRPr="00BF0F54">
        <w:tab/>
        <w:t xml:space="preserve">doporučuje, aby Komise do sledování toho, jak je uplatňováno právo EU, rozsáhle zapojila zúčastněné strany, organizace občanské společnosti a nezávislé odborníky </w:t>
      </w:r>
      <w:r w:rsidRPr="00BF0F54">
        <w:lastRenderedPageBreak/>
        <w:t>a plně využila jejich odborné znalosti a obeznámenost s uplatňováním unijního práva na místní úrovni;</w:t>
      </w:r>
    </w:p>
    <w:p w14:paraId="02511C72" w14:textId="77777777" w:rsidR="00EC0A14" w:rsidRPr="00BF0F54" w:rsidRDefault="00EC0A14" w:rsidP="00EC0A14">
      <w:pPr>
        <w:pStyle w:val="NormalHanging12a"/>
      </w:pPr>
      <w:r w:rsidRPr="00BF0F54">
        <w:t>12.</w:t>
      </w:r>
      <w:r w:rsidRPr="00BF0F54">
        <w:tab/>
        <w:t>znovu zdůrazňuje, že dodržování zásad právního státu je jedním ze základních předpokladů účinného a jednotného uplatňování práva EU ve všech členských státech, a uznává zásadní význam vymáhání práva pro ochranu základních práv; upozorňuje na to, že řádné a jednotné používání práva EU v oblasti svobody, bezpečnosti a práva je zcela nezbytné pro zaručení základních práv, vzájemné důvěry a právního státu v celé EU; se znepokojením bere na vědomí chronické nedostatky v provádění a uplatňování klíčových právních nástrojů; rozhodně podporuje mechanismus podmíněnosti dodržováním zásad právního státu a vyzývá Komisi, aby jej uplatňovala důsledně, objektivně a transparentně; zdůrazňuje, že je naléhavě nutné důkladněji ověřovat, zda členské státy dodržují základní hodnoty EU, konkrétně zásady právního státu a demokracie a lidská práva, jak je stanoveno v článku 2 Smlouvy o EU; upozorňuje na to, že mechanismus podle článku 7 Smlouvy o EU představuje základní nástroj prosazování práva v případě zřejmého nebezpečí, že by některý členský stát mohl porušit uvedené hodnoty, nebo v případě jejich vážného porušení; zdůrazňuje, že zásady právního státu jsou závazné nejen pro členské státy, ale i pro orgány a instituce EU, které by se měly zodpovídat za dodržování Smluv;</w:t>
      </w:r>
    </w:p>
    <w:p w14:paraId="7CBCF51C" w14:textId="1783DFE7" w:rsidR="00EC0A14" w:rsidRPr="00BF0F54" w:rsidRDefault="00EC0A14" w:rsidP="00EC0A14">
      <w:pPr>
        <w:pStyle w:val="NormalHanging12a"/>
      </w:pPr>
      <w:r w:rsidRPr="00BF0F54">
        <w:t>13.</w:t>
      </w:r>
      <w:r w:rsidRPr="00BF0F54">
        <w:tab/>
        <w:t>oceňuje úsilí Komise o posílení rámcového rozhodnutí Rady 2008/913/SVV ze dne 28. listopadu 2008 o boji proti některým formám a projevům rasismu a xenofobie prostřednictvím trestního práva</w:t>
      </w:r>
      <w:r w:rsidR="003C3957">
        <w:rPr>
          <w:rStyle w:val="FootnoteReference"/>
        </w:rPr>
        <w:footnoteReference w:id="6"/>
      </w:r>
      <w:r w:rsidRPr="00BF0F54">
        <w:t xml:space="preserve"> a nařízení o digitálních službách</w:t>
      </w:r>
      <w:r w:rsidR="003C3957">
        <w:rPr>
          <w:rStyle w:val="FootnoteReference"/>
        </w:rPr>
        <w:footnoteReference w:id="7"/>
      </w:r>
      <w:r w:rsidRPr="00BF0F54">
        <w:t>, čímž se snaží zajistit důraznou právní a institucionální ochranu před nenávistnými výroky, diskriminací a násilím v reálném životě i na internetu;</w:t>
      </w:r>
    </w:p>
    <w:p w14:paraId="7814401C" w14:textId="77777777" w:rsidR="00EC0A14" w:rsidRPr="00BF0F54" w:rsidRDefault="00EC0A14" w:rsidP="00EC0A14">
      <w:pPr>
        <w:pStyle w:val="NormalHanging12a"/>
      </w:pPr>
      <w:r w:rsidRPr="00BF0F54">
        <w:t>14.</w:t>
      </w:r>
      <w:r w:rsidRPr="00BF0F54">
        <w:tab/>
        <w:t>vyzývá justiční a donucovací orgány k intenzivnější přeshraniční spolupráci, aby bylo možné účinně potírat závažnou trestnou činnost, korupci a terorismus; podporuje větší digitalizaci justičních nástrojů, včetně plného zavedení systému e-Evidence a vytvoření digitální infrastruktury e-CODEX; zdůrazňuje, že je důležité posílit úlohu a provozní kapacity Úřadu evropského veřejného žalobce;</w:t>
      </w:r>
    </w:p>
    <w:p w14:paraId="3BEC7C91" w14:textId="77777777" w:rsidR="00EC0A14" w:rsidRPr="00BF0F54" w:rsidRDefault="00EC0A14" w:rsidP="00EC0A14">
      <w:pPr>
        <w:pStyle w:val="NormalHanging12a"/>
      </w:pPr>
      <w:r w:rsidRPr="00BF0F54">
        <w:t>15.</w:t>
      </w:r>
      <w:r w:rsidRPr="00BF0F54">
        <w:tab/>
        <w:t>zdůrazňuje, že když Komise prosazuje ochranu základních práv podle Listiny základních práv, která jsou totožná s právy zaručenými Úmluvou o ochraně lidských práv a základních svobod, měla by řádně zohledňovat judikaturu Evropského soudu pro lidská práva;</w:t>
      </w:r>
    </w:p>
    <w:p w14:paraId="7A738D08" w14:textId="77777777" w:rsidR="00EC0A14" w:rsidRPr="00BF0F54" w:rsidRDefault="00EC0A14" w:rsidP="00EC0A14">
      <w:pPr>
        <w:pStyle w:val="NormalHanging12a"/>
      </w:pPr>
      <w:r w:rsidRPr="00BF0F54">
        <w:t>16.</w:t>
      </w:r>
      <w:r w:rsidRPr="00BF0F54">
        <w:tab/>
        <w:t>vyzdvihuje strategická poručení uvedená ve zprávě Maria Draghiho a ve zprávě Enrica Letty a zdůrazňuje, že jsou relevantní pro posílení prováděcí kapacity EU, modernizaci jednotného trhu a zaručení soudržnější správy práva EU, která bude ve všech oblastech politik klást důraz na výsledky;</w:t>
      </w:r>
    </w:p>
    <w:p w14:paraId="3DF65B40" w14:textId="77777777" w:rsidR="00EC0A14" w:rsidRPr="00BF0F54" w:rsidRDefault="00EC0A14" w:rsidP="00EC0A14">
      <w:pPr>
        <w:pStyle w:val="Normal12a"/>
        <w:rPr>
          <w:i/>
          <w:iCs/>
        </w:rPr>
      </w:pPr>
      <w:r w:rsidRPr="00BF0F54">
        <w:rPr>
          <w:b/>
          <w:i/>
        </w:rPr>
        <w:t>Řízení o nesplnění povinnosti</w:t>
      </w:r>
    </w:p>
    <w:p w14:paraId="2F177D18" w14:textId="43B5A57A" w:rsidR="00EC0A14" w:rsidRPr="00BF0F54" w:rsidRDefault="00EC0A14" w:rsidP="00EC0A14">
      <w:pPr>
        <w:pStyle w:val="NormalHanging12a"/>
      </w:pPr>
      <w:r w:rsidRPr="00BF0F54">
        <w:lastRenderedPageBreak/>
        <w:t>17.</w:t>
      </w:r>
      <w:r w:rsidRPr="00BF0F54">
        <w:tab/>
        <w:t>vyjadřuje vážné znepokojení nad tím, že se Komise zdráhá zahájit řízení o nesplnění povinností u Soudního dvora Evropské unie i v případech, kdy se jedná o jasné a opakované porušování práva EU; apeluje na Komisi coby strážkyni Smluv, aby plně využívala všechny dostupné nástroje prosazování práva EU a nevyhýbala se ani podávání žalob, které jsou jedním ze základních donucovacích nástrojů, které slouží k zajištění dodržování práva EU a zachování jeho autority; s politováním konstatuje, že řízení o nesplnění povinnosti jsou stále zahajována selektivně kvůli tomu, že Komise upřednostňuje porušení, která podle jejího názoru mají největší dopad na veřejné a obchodní zájmy</w:t>
      </w:r>
      <w:r w:rsidR="003C3957">
        <w:rPr>
          <w:rStyle w:val="FootnoteReference"/>
        </w:rPr>
        <w:footnoteReference w:id="8"/>
      </w:r>
      <w:r w:rsidRPr="00BF0F54">
        <w:t>, a vyjadřuje znepokojení nad tím, že na případná porušení práva EU systematicky nereaguje přijetím donucovacích opatření; vyzdvihuje význam účinného sledování a preventivních opatření, aby občané nenesli náklady plynoucí z neúplného provedení právních předpisů EU ve vnitrostátním právu nebo z jejich nesprávného uplatňování členskými státy;</w:t>
      </w:r>
    </w:p>
    <w:p w14:paraId="3326C934" w14:textId="77777777" w:rsidR="00EC0A14" w:rsidRPr="00BF0F54" w:rsidRDefault="00EC0A14" w:rsidP="00EC0A14">
      <w:pPr>
        <w:pStyle w:val="NormalHanging12a"/>
      </w:pPr>
      <w:r w:rsidRPr="00BF0F54">
        <w:t>18.</w:t>
      </w:r>
      <w:r w:rsidRPr="00BF0F54">
        <w:tab/>
        <w:t>vytýká Komisi netransparentní používání kritérií, podle nichž upřednostňuje určité donucovací kroky před jinými; vyzývá Komisi, aby přijala a zveřejnila transparentní a objektivní kritéria pro případy nesplnění povinnosti, zejména pokud jde o výběr a upřednostňování případů, které se týkají závažného nebo systémového porušování základních práv, zásad právního státu nebo pravidel, kterými se řídí vnitřní trh; trvá na tom, že je nutné v celém řízení zvýšit transparentnost, mimo jiné zlepšit přístup veřejnosti k informacím o statusu, povaze a rozsahu zahájených řízení a o jejich výsledcích a o vstupech veřejnosti, a sice jak o obdržených, tak zohledněných informacích, zejména v počáteční fázi řízení o nesplnění povinnosti; vyzývá Komisi, aby aktivně a průběžně podávala zprávy o případech, kdy přijala opatření v návaznosti na podezření z vážného nesplnění povinnosti, a o případech, kdy se rozhodla, že neučiní žádné kroky;</w:t>
      </w:r>
    </w:p>
    <w:p w14:paraId="72018E4E" w14:textId="77777777" w:rsidR="00EC0A14" w:rsidRPr="00BF0F54" w:rsidRDefault="00EC0A14" w:rsidP="00EC0A14">
      <w:pPr>
        <w:pStyle w:val="NormalHanging12a"/>
      </w:pPr>
      <w:r w:rsidRPr="00BF0F54">
        <w:t>19.</w:t>
      </w:r>
      <w:r w:rsidRPr="00BF0F54">
        <w:tab/>
        <w:t>vyjadřuje politování nad tím, řízení o nesplnění povinnosti často není zahájeno v případě nesplnění rozsudku Soudního dvora EU; vyzývá Komisi, aby v uvedených případech důsledně zahajovala řízení o nesplnění povinnosti a mimo jiné požadovala zaplacení jednorázové částky nebo penále, zejména pokud dotčený členský stát systematicky porušuje právo EU nebo opakovaně nedodržel rozsudek Soudního dvora EU;</w:t>
      </w:r>
    </w:p>
    <w:p w14:paraId="40BD2BF0" w14:textId="77777777" w:rsidR="00EC0A14" w:rsidRDefault="00EC0A14" w:rsidP="00EC0A14">
      <w:pPr>
        <w:pStyle w:val="NormalHanging12a"/>
      </w:pPr>
      <w:r w:rsidRPr="00BF0F54">
        <w:t>20.</w:t>
      </w:r>
      <w:r w:rsidRPr="00BF0F54">
        <w:tab/>
        <w:t>zdůrazňuje, že stížnosti na údajné porušení práva EU členskými státy, které podávají občané, právníci nebo organizace občanské společnosti, jsou důležitým zdrojem informací o vymáhání práva EU; naléhá na Komisi, aby zajistila, že po obdržení stížnosti budou podniknuty náležité kroky, mimo jiné že v relevantních případech bude včas zahájeno řízení o nesplnění povinnosti nebo že bude podavatel jasně informován o důvodech, proč toto řízení zahájeno nebude; dále zdůrazňuje, že je důležité občanům poskytnout další možnosti, jak ohlásit nesprávný úřední postup orgánu či instituce EU nebo podvod, posílit finanční prostředky a personál úřadu Evropského veřejného ochránce práv a Evropského úřadu pro boj proti podvodům a zefektivnit mechanismus pro předkládání petic Evropskému parlamentu;</w:t>
      </w:r>
    </w:p>
    <w:p w14:paraId="2F0FEF36" w14:textId="7619394D" w:rsidR="00914100" w:rsidRPr="00BF0F54" w:rsidRDefault="00914100" w:rsidP="00EC0A14">
      <w:pPr>
        <w:pStyle w:val="NormalHanging12a"/>
      </w:pPr>
      <w:r>
        <w:t>21</w:t>
      </w:r>
      <w:r w:rsidRPr="00914100">
        <w:t>.</w:t>
      </w:r>
      <w:r w:rsidRPr="00914100">
        <w:tab/>
        <w:t xml:space="preserve">konstatuje, že Parlament obdržel několik petic, ve kterých se upozorňuje na vážné obavy ohledně pohlavního zneužívání dětí, zejména na internetu, a obecněji na opakované nebo systémové nedostatky při provádění práva EU týkajícího se ochrany </w:t>
      </w:r>
      <w:r w:rsidRPr="00914100">
        <w:lastRenderedPageBreak/>
        <w:t>dětí; zdůrazňuje, že v letech 2023 a 2025 zahájila Komise řízení o nesplnění povinnosti proti 18 členským státům kvůli nesprávnému provedení směrnice 2011/93/EU o boji proti pohlavnímu zneužívání dětí</w:t>
      </w:r>
      <w:r>
        <w:rPr>
          <w:rStyle w:val="FootnoteReference"/>
        </w:rPr>
        <w:footnoteReference w:id="9"/>
      </w:r>
      <w:r w:rsidRPr="00914100">
        <w:t>, z nichž bylo uzavřeno osm případů; vyzývá Komisi, aby upřednostnila prosazování práva v této oblasti a zajistila rychlé a účinné návazné sledování v případě petic, v nichž zaznívá obvinění z porušování předpisů, a to vzhledem ke zvláštní zranitelnosti dětí; vybízí v této souvislosti Komisi, aby využila všech dostupných procesních a právních prostředků k zajištění plného a účinného provádění právních předpisů EU zaměřených na prevenci pohlavního zneužívání dětí a na boj proti němu;</w:t>
      </w:r>
    </w:p>
    <w:p w14:paraId="344B7BB7" w14:textId="3A71DC63" w:rsidR="00EC0A14" w:rsidRPr="00BF0F54" w:rsidRDefault="00EC0A14" w:rsidP="00EC0A14">
      <w:pPr>
        <w:pStyle w:val="NormalHanging12a"/>
      </w:pPr>
      <w:r w:rsidRPr="00BF0F54">
        <w:t>2</w:t>
      </w:r>
      <w:r w:rsidR="00914100">
        <w:t>2</w:t>
      </w:r>
      <w:r w:rsidRPr="00BF0F54">
        <w:t>.</w:t>
      </w:r>
      <w:r w:rsidRPr="00BF0F54">
        <w:tab/>
        <w:t>se znepokojením si všímá, že v některých členských státech je ohroženo používání řízení o předběžné otázce, včetně pravomoci soudců požádat o rozhodnutí o předběžné otázce; zdůrazňuje, že takové překážky v dotčených členských státech oslabují řádné uplatňování práva EU; naléhavě vyzývá Komisi, aby plně využívala všechny relevantní nástroje k zajištění plného souladu s řízením o předběžné otázce;</w:t>
      </w:r>
    </w:p>
    <w:p w14:paraId="4ED5FA0A" w14:textId="3D20937D" w:rsidR="00EC0A14" w:rsidRPr="00BF0F54" w:rsidRDefault="00EC0A14" w:rsidP="00EC0A14">
      <w:pPr>
        <w:pStyle w:val="NormalHanging12a"/>
      </w:pPr>
      <w:r w:rsidRPr="00BF0F54">
        <w:t>2</w:t>
      </w:r>
      <w:r w:rsidR="00914100">
        <w:t>3</w:t>
      </w:r>
      <w:r w:rsidRPr="00BF0F54">
        <w:t>.</w:t>
      </w:r>
      <w:r w:rsidRPr="00BF0F54">
        <w:tab/>
        <w:t>naléhá na Komisi, aby účinně využívala fázi před zahájením řízení k tomu, aby dotčený členský stát začal co nejrychleji plnit povinnosti vyplývající z práva EU; důrazně Komisi vyzývá, aby stanovila lhůtu pro dialog před zahájením řízení o nesplnění povinnosti (který byl dříve znám pod označením pilotní řízení EU) s cílem zajistit rychlé vyřešení a vymáhání; doporučuje, aby v zájmu odpovědnosti a rychlého urovnání byly o těchto neformálních dialozích poskytovány podrobnější a snáze dostupné informace, včetně očekávaného časového plánu a výsledků;</w:t>
      </w:r>
    </w:p>
    <w:p w14:paraId="01E63451" w14:textId="77777777" w:rsidR="00EC0A14" w:rsidRPr="00BF0F54" w:rsidRDefault="00EC0A14" w:rsidP="00EC0A14">
      <w:pPr>
        <w:pStyle w:val="Normal12a"/>
        <w:rPr>
          <w:i/>
          <w:iCs/>
        </w:rPr>
      </w:pPr>
      <w:r w:rsidRPr="00BF0F54">
        <w:rPr>
          <w:b/>
          <w:i/>
        </w:rPr>
        <w:t>Uplatňování právních předpisů EU</w:t>
      </w:r>
    </w:p>
    <w:p w14:paraId="7771C35E" w14:textId="25C6EDDD" w:rsidR="00EC0A14" w:rsidRPr="00BF0F54" w:rsidRDefault="00EC0A14" w:rsidP="00EC0A14">
      <w:pPr>
        <w:pStyle w:val="NormalHanging12a"/>
      </w:pPr>
      <w:r w:rsidRPr="00BF0F54">
        <w:t>2</w:t>
      </w:r>
      <w:r w:rsidR="00914100">
        <w:t>4</w:t>
      </w:r>
      <w:r w:rsidRPr="00BF0F54">
        <w:t>.</w:t>
      </w:r>
      <w:r w:rsidRPr="00BF0F54">
        <w:tab/>
        <w:t>vybízí Komisi a členské státy, aby posílily strukturovanou spolupráci a mechanismy včasného varování, které pomáhají odhalovat problémy s prováděním právních předpisů EU ve vnitrostátním právu nebo s jeho uplatňováním dříve, než je nutné zahájit formální řízení o neplnění povinnosti; důrazně vyzývá členské státy, aby se striktně řídily časovými lhůtami pro provedení právních předpisů EU ve svém právu, dodržovaly pokyny Komise a aktivně a plně se zapojily do dialogu o uplatňování předpisů a aby Komisi včas informovaly o potenciálních překážkách a problémech s prováděním a uplatňováním práva EU, aby se zabránilo prodlevám, chybám a případným postihům; žádá, aby byla v tomto ohledu poskytnuta další podpora pro budování administrativních a technických kapacit členských států; s politováním konstatuje, že některé členské státy buď informují o problémech s prováděním právních předpisů EU ve svém právu anebo s jejich uplatňováním příliš pozdě nebo vůbec, což vede k prodlevám, které mají negativní důsledky pro občany a podniky v EU; připomíná, že členské státy se účastní legislativního procesu prostřednictvím Rady, která je spolutvůrcem právních předpisů; zdůrazňuje, že nedostatečné vymáhání unijních právních předpisů zhoršuje vnímání EU ze strany občanů i její schopnost dosahovat výsledků;</w:t>
      </w:r>
    </w:p>
    <w:p w14:paraId="6260D2FA" w14:textId="5BA00DC0" w:rsidR="00EC0A14" w:rsidRPr="00BF0F54" w:rsidRDefault="00EC0A14" w:rsidP="00EC0A14">
      <w:pPr>
        <w:pStyle w:val="NormalHanging12a"/>
      </w:pPr>
      <w:r w:rsidRPr="00BF0F54">
        <w:t>2</w:t>
      </w:r>
      <w:r w:rsidR="00914100">
        <w:t>5</w:t>
      </w:r>
      <w:r w:rsidRPr="00BF0F54">
        <w:t>.</w:t>
      </w:r>
      <w:r w:rsidRPr="00BF0F54">
        <w:tab/>
        <w:t xml:space="preserve">s uspokojením bere na vědomí, že byl zaveden nový nástroj, a sice dialog o provádění, který má členské státy podpořit při dodržování právních předpisů EU; zdůrazňuje, že je </w:t>
      </w:r>
      <w:r w:rsidRPr="00BF0F54">
        <w:lastRenderedPageBreak/>
        <w:t>důležité stanovit jasný, transparentní a inkluzivní postup pro určení, výběr a zapojení zúčastněných stran do těchto dialogů napříč členskými státy EU; se znepokojením konstatuje, že účast regionálních a místních orgánů v těchto dialozích zůstává omezená; zdůrazňuje, že smysluplné zapojení zúčastněných stran má zásadní význam pro zvýšení kvality, legitimity a účinnosti úsilí o uplatňování právních předpisů;</w:t>
      </w:r>
    </w:p>
    <w:p w14:paraId="378AABE5" w14:textId="263C701E" w:rsidR="00EC0A14" w:rsidRPr="00BF0F54" w:rsidRDefault="00EC0A14" w:rsidP="00EC0A14">
      <w:pPr>
        <w:pStyle w:val="NormalHanging12a"/>
      </w:pPr>
      <w:r w:rsidRPr="00BF0F54">
        <w:t>2</w:t>
      </w:r>
      <w:r w:rsidR="00914100">
        <w:t>6</w:t>
      </w:r>
      <w:r w:rsidRPr="00BF0F54">
        <w:t>.</w:t>
      </w:r>
      <w:r w:rsidRPr="00BF0F54">
        <w:tab/>
        <w:t>bere na vědomí, že podle srovnávacího přehledu výsledků v oblasti jednotného trhu bývá provedení směrnic o vnitřním trhu v EU opožděno v průměru o 11,9 měsíce, což znamená, že členským státům trvá průměrně o téměř celý rok déle, než je předepsaná lhůta, aby směrnice EU provedly ve vnitrostátním právu;</w:t>
      </w:r>
    </w:p>
    <w:p w14:paraId="5DF13952" w14:textId="77A601EA" w:rsidR="00EC0A14" w:rsidRPr="00BF0F54" w:rsidRDefault="00EC0A14" w:rsidP="00EC0A14">
      <w:pPr>
        <w:pStyle w:val="NormalHanging12a"/>
      </w:pPr>
      <w:r w:rsidRPr="00BF0F54">
        <w:t>2</w:t>
      </w:r>
      <w:r w:rsidR="00914100">
        <w:t>7</w:t>
      </w:r>
      <w:r w:rsidRPr="00BF0F54">
        <w:t>.</w:t>
      </w:r>
      <w:r w:rsidRPr="00BF0F54">
        <w:tab/>
        <w:t>se znepokojením poukazuje na skutečnost, že mnohé evropské legislativní akty obsahují odkazy na technické normy či akty v přenesené pravomoci a prováděcí akty, které jsou v okamžiku přijetí základního aktu stále ve fázi konceptu, takže je pro členské státy obtížné tyto akty plně provést ve stanovené lhůtě;</w:t>
      </w:r>
    </w:p>
    <w:p w14:paraId="0A30E36C" w14:textId="36A4781A" w:rsidR="00EC0A14" w:rsidRPr="00BF0F54" w:rsidRDefault="00EC0A14" w:rsidP="00EC0A14">
      <w:pPr>
        <w:pStyle w:val="NormalHanging12a"/>
      </w:pPr>
      <w:r w:rsidRPr="00BF0F54">
        <w:t>2</w:t>
      </w:r>
      <w:r w:rsidR="00914100">
        <w:t>8</w:t>
      </w:r>
      <w:r w:rsidRPr="00BF0F54">
        <w:t>.</w:t>
      </w:r>
      <w:r w:rsidRPr="00BF0F54">
        <w:tab/>
        <w:t xml:space="preserve">se znepokojením bere na vědomí omezení nové platformy Europa pro uplatňování předpisů EU, která byla spuštěna v dubnu 2025 a v níž mají být centrálně shromažďovány informace o donucovacích opatřeních Komise, případech nesplnění povinnosti, provádění směrnic ve vnitrostátním právu a dialogu před zahájením řízení o nesplnění povinnosti (dříve pilotní řízení EU); poukazuje na to, že platforma má sice velký potenciál, ale v současné době ji tvoří především tabulky s údaji, a proto by měla být zlepšena tak, aby transparentně poskytovala základní informace o probíhajících či skončených postupech a nabízela kompletní kvalitativní analýzy předkládaných údajů; konstatuje, že informace zveřejňované na platformě jsou primárně organizovány členskými státy, což skýtá obecný přehled o jejich úsilí vynakládaném na uplatňování předpisů; vyjadřuje politování nad tím, že neexistuje struktura, která by vycházela z právních aktů a umožňovala rychleji pochopit, v jaké fázi uplatňování se předpis nachází, související problémy a obtíže členských států s uplatňováním legislativních aktů; domnívá se, že takový analytický přístup by výrazněji zlepšil transparentnost a usnadnil posuzování uplatňování napříč EU, které by se více opíralo o fakta; vyzývá Komisi, aby platformu a její obsah zefektivnila, tak aby umožňovala transparentní a snadné provádění řady úkonů, včetně porovnávání a vyvozování závěrů v určitých případech, a stala se užitečným nástrojem zákonodárců, právníků a občanů, kteří si přejí získat informace o tom, jak je právo EU dodržováno v praxi; </w:t>
      </w:r>
    </w:p>
    <w:p w14:paraId="1091578A" w14:textId="5EA04E4B" w:rsidR="00EC0A14" w:rsidRPr="00BF0F54" w:rsidRDefault="00EC0A14" w:rsidP="00EC0A14">
      <w:pPr>
        <w:pStyle w:val="NormalHanging12a"/>
      </w:pPr>
      <w:r w:rsidRPr="00BF0F54">
        <w:t>2</w:t>
      </w:r>
      <w:r w:rsidR="00914100">
        <w:t>9</w:t>
      </w:r>
      <w:r w:rsidRPr="00BF0F54">
        <w:t>.</w:t>
      </w:r>
      <w:r w:rsidRPr="00BF0F54">
        <w:tab/>
        <w:t>zdůrazňuje, že pro zajištění odpovědnosti a získání důvěry veřejnosti má zásadní význam transparentní a včasné zveřejňování údajů o provádění právních předpisů EU ve vnitrostátním právu a o případech nesplnění povinnosti; vyzývá Komisi, aby tyto údaje zpřístupňovala v otevřeném a uživatelsky vstřícném formátu a usnadnila jejich porovnávání mezi členskými státy a různými oblastmi politik; vyzývá Komisi, aby zajistila nezbytnou transparentnost všech nástrojů a databází, které jsou používány ke sledování uplatňování právních předpisů EU, mimo jiné aby zveřejňovala metodické poznámky, kritéria pro shromažďování údajů a vysvětlení k ukazatelům; zdůrazňuje, že transparentnost má zásadní význam pro smysluplný dohled vykonávaný občany, výzkumnými pracovníky a orgány a institucemi EU;</w:t>
      </w:r>
    </w:p>
    <w:p w14:paraId="32D8108A" w14:textId="46E86CB6" w:rsidR="00EC0A14" w:rsidRPr="00BF0F54" w:rsidRDefault="00914100" w:rsidP="00EC0A14">
      <w:pPr>
        <w:pStyle w:val="NormalHanging12a"/>
      </w:pPr>
      <w:r>
        <w:t>30</w:t>
      </w:r>
      <w:r w:rsidR="00EC0A14" w:rsidRPr="00BF0F54">
        <w:t>.</w:t>
      </w:r>
      <w:r w:rsidR="00EC0A14" w:rsidRPr="00BF0F54">
        <w:tab/>
        <w:t xml:space="preserve">zdůrazňuje, že je nutné transparentněji poskytovat informace občanům a podnikům o jejich právech zaručených právními předpisy EU a o dostupných mechanismech v případě jejich porušení; vyzývá Komisi a členské státy, aby zlepšily viditelnost </w:t>
      </w:r>
      <w:r w:rsidR="00EC0A14" w:rsidRPr="00BF0F54">
        <w:lastRenderedPageBreak/>
        <w:t>a dostupnost postupů pro podávání stížností, mimo jiné pomocí digitálních nástrojů a mnohojazyčných informačních portálů;</w:t>
      </w:r>
    </w:p>
    <w:p w14:paraId="25FF5BF2" w14:textId="5D9F574F" w:rsidR="00EC0A14" w:rsidRPr="00BF0F54" w:rsidRDefault="00EC0A14" w:rsidP="00EC0A14">
      <w:pPr>
        <w:pStyle w:val="NormalHanging12a"/>
      </w:pPr>
      <w:r w:rsidRPr="00BF0F54">
        <w:t>3</w:t>
      </w:r>
      <w:r w:rsidR="00914100">
        <w:t>1</w:t>
      </w:r>
      <w:r w:rsidRPr="00BF0F54">
        <w:t>.</w:t>
      </w:r>
      <w:r w:rsidRPr="00BF0F54">
        <w:tab/>
        <w:t>naléhavě vyzývá Komisi, aby intenzivněji a modernějšími metodami sledovala uplatňování nařízení vzhledem k jejich rostoucímu významu jakožto hlavního legislativního nástroje; bere na vědomí problémy s používáním nařízení, jak dokládají nedostatky v údajích předkládaných Komisí, zejména pokud jde o jejich úplnost, přístupnost a důslednost; žádá Komisi, aby informovala o tom, jak své monitorovací činnosti a postupy přizpůsobila uplatňování nařízení a doporučením, která v této souvislosti vydala ve své zprávě o hodnocení pracovních metod Komise pro kontrolu uplatňování práva EU;</w:t>
      </w:r>
    </w:p>
    <w:p w14:paraId="50771646" w14:textId="44E55FB2" w:rsidR="00EC0A14" w:rsidRPr="00BF0F54" w:rsidRDefault="00EC0A14" w:rsidP="00EC0A14">
      <w:pPr>
        <w:pStyle w:val="NormalHanging12a"/>
      </w:pPr>
      <w:r w:rsidRPr="00BF0F54">
        <w:t>3</w:t>
      </w:r>
      <w:r w:rsidR="00914100">
        <w:t>2</w:t>
      </w:r>
      <w:r w:rsidRPr="00BF0F54">
        <w:t>.</w:t>
      </w:r>
      <w:r w:rsidRPr="00BF0F54">
        <w:tab/>
        <w:t>doporučuje, aby byla ukázněněji a omezeněji používána sekundární legislativa, konkrétně akty v přenesené pravomoci a prováděcí akty, a aby byly za tímto účelem konkrétně vymezeny nepodstatné prvky právních předpisů nebo omezena působnost těchto aktů na skutečně technické aspekty, které jsou nezbytné pro uplatňování primární legislativy; zdůrazňuje, že sekundární legislativa musí být přijímána transparentními postupy s jasnými harmonogramy, které spolunormotvůrcům poskytnou dostatek času na smysluplnou a účinnou kontrolu, a musí být zveřejňována včas, aby se zúčastněné strany mohly připravit na dodržování jejích ustanovení, a dále poukazuje na to, že taková opatření by měla být, je-li to možné, předkládána s předstihem nebo současně se vstupem primární legislativy v platnost, aby se zajistila právní jistota a vymahatelnost;</w:t>
      </w:r>
    </w:p>
    <w:p w14:paraId="039E6096" w14:textId="2E94FC04" w:rsidR="00EC0A14" w:rsidRPr="00BF0F54" w:rsidRDefault="00EC0A14" w:rsidP="00EC0A14">
      <w:pPr>
        <w:pStyle w:val="NormalHanging12a"/>
      </w:pPr>
      <w:r w:rsidRPr="00BF0F54">
        <w:t>3</w:t>
      </w:r>
      <w:r w:rsidR="00914100">
        <w:t>3</w:t>
      </w:r>
      <w:r w:rsidRPr="00BF0F54">
        <w:t>.</w:t>
      </w:r>
      <w:r w:rsidRPr="00BF0F54">
        <w:tab/>
        <w:t xml:space="preserve">je pevně přesvědčen o tom, že soudní orgány členských států a EU mají zásadní podíl na vytváření solidní judikatury, a tak na zachování právní jistoty v celé společnosti a na celém trhu EU; v této souvislosti zdůrazňuje, že je důležité nejen zachovat nezávislost soudnictví, ale také vyčlenit značné finanční a lidské zdroje pro soudní orgány; </w:t>
      </w:r>
    </w:p>
    <w:p w14:paraId="6DEC1635" w14:textId="249502D1" w:rsidR="00EC0A14" w:rsidRPr="00BF0F54" w:rsidRDefault="00EC0A14" w:rsidP="00EC0A14">
      <w:pPr>
        <w:pStyle w:val="NormalHanging12a"/>
      </w:pPr>
      <w:r w:rsidRPr="00BF0F54">
        <w:t>3</w:t>
      </w:r>
      <w:r w:rsidR="00914100">
        <w:t>4</w:t>
      </w:r>
      <w:r w:rsidRPr="00BF0F54">
        <w:t>.</w:t>
      </w:r>
      <w:r w:rsidRPr="00BF0F54">
        <w:tab/>
        <w:t>upozorňuje na to, že v některých členských státech s federálním uspořádáním nebo se silnými pravomocemi regionů, je pro provedení právních předpisů EU ve vnitrostátním právu zapotřebí více legislativních postupů na více správních úrovních;</w:t>
      </w:r>
    </w:p>
    <w:p w14:paraId="151CE68B" w14:textId="0399CBD8" w:rsidR="00EC0A14" w:rsidRPr="00BF0F54" w:rsidRDefault="00EC0A14" w:rsidP="00EC0A14">
      <w:pPr>
        <w:pStyle w:val="NormalHanging12a"/>
      </w:pPr>
      <w:r w:rsidRPr="00BF0F54">
        <w:t>3</w:t>
      </w:r>
      <w:r w:rsidR="00914100">
        <w:t>5</w:t>
      </w:r>
      <w:r w:rsidRPr="00BF0F54">
        <w:t>.</w:t>
      </w:r>
      <w:r w:rsidRPr="00BF0F54">
        <w:tab/>
        <w:t>vyzdvihuje význam zintenzivnění přeshraniční spolupráce soudních a donucovacích orgánů pro účinné potírání závažné trestné činnosti, korupce a terorismu, zejména posílením úlohy a provozní kapacity Úřadu evropského veřejného žalobce;</w:t>
      </w:r>
    </w:p>
    <w:p w14:paraId="10C51C92" w14:textId="3E2DCE9F" w:rsidR="00EC0A14" w:rsidRPr="00BF0F54" w:rsidRDefault="00EC0A14" w:rsidP="00EC0A14">
      <w:pPr>
        <w:pStyle w:val="NormalHanging12a"/>
      </w:pPr>
      <w:r w:rsidRPr="00BF0F54">
        <w:t>3</w:t>
      </w:r>
      <w:r w:rsidR="00914100">
        <w:t>6</w:t>
      </w:r>
      <w:r w:rsidRPr="00BF0F54">
        <w:t>.</w:t>
      </w:r>
      <w:r w:rsidRPr="00BF0F54">
        <w:tab/>
        <w:t>v zájmu rychlejšího a důvěryhodného rozhodování soudních orgánů podporuje další digitalizaci justičních nástrojů, jako jsou systémy e-Evidence a e-CODEX, a to zejména v přeshraničních postupech;</w:t>
      </w:r>
    </w:p>
    <w:p w14:paraId="74E5B7BF" w14:textId="77777777" w:rsidR="00EC0A14" w:rsidRPr="00BF0F54" w:rsidRDefault="00EC0A14" w:rsidP="00EC0A14">
      <w:pPr>
        <w:pStyle w:val="Normal12a"/>
        <w:rPr>
          <w:i/>
          <w:iCs/>
        </w:rPr>
      </w:pPr>
      <w:r w:rsidRPr="00BF0F54">
        <w:rPr>
          <w:b/>
          <w:i/>
        </w:rPr>
        <w:t>Zjednodušování</w:t>
      </w:r>
    </w:p>
    <w:p w14:paraId="2BC708C2" w14:textId="7E5C8997" w:rsidR="00EC0A14" w:rsidRPr="00BF0F54" w:rsidRDefault="00EC0A14" w:rsidP="00EC0A14">
      <w:pPr>
        <w:pStyle w:val="NormalHanging12a"/>
      </w:pPr>
      <w:r w:rsidRPr="00BF0F54">
        <w:t>3</w:t>
      </w:r>
      <w:r w:rsidR="00914100">
        <w:t>7</w:t>
      </w:r>
      <w:r w:rsidRPr="00BF0F54">
        <w:t>.</w:t>
      </w:r>
      <w:r w:rsidRPr="00BF0F54">
        <w:tab/>
        <w:t xml:space="preserve">zdůrazňuje, že zjednodušování právních předpisů EU nesmí být spojeno s deregulací; zdůrazňuje, že Komise ve svém úsilí o zjednodušení právních předpisů, v jehož rámci spojuje do balíčků různé legislativní akty, by v žádném případě neměla postupovat automaticky a že je povinna v nezbytných případech provádět rozsáhlá posouzení dopadů a vést smysluplné konzultace se zúčastněnými stranami; poukazuje na to, že zjednodušení právních textů a postupů může zvýšit jasnost, právní jistotu a administrativní efektivitu; opakuje, že kvalitní, jasné a kompaktní právní předpisy EU jsou zásadním předpokladem jejich účinného, správného a jednotného provedení v právu členských států způsobem, který zachová základní politické cíle a záruky; </w:t>
      </w:r>
      <w:r w:rsidRPr="00BF0F54">
        <w:lastRenderedPageBreak/>
        <w:t>zdůrazňuje, že v rámci toto zjednodušování je nutné snížit technickou složitost, zabránit překrývání právních předpisů, sladit definice a postupy zavedené akty, které upravují související oblasti, a zaručit technicky proveditelné uplatňování ve vnitrostátním právu; poukazuje na to, že je důležité zajistit soudržnost legislativních nástrojů, aby nedocházelo ke zdvojování a rozporům, které brání účinnému uplatňování právních předpisů; zdůrazňuje, že snížení administrativní zátěže je pevně spjato se zajištěním přístupnosti, čehož lze účinně dosáhnout pomocí vhodně koncipovaných digitálních nástrojů, které mohou jednoduše využívat všichni uživatelé bez výjimky;</w:t>
      </w:r>
    </w:p>
    <w:p w14:paraId="0DA7C363" w14:textId="3F177245" w:rsidR="00EC0A14" w:rsidRPr="00BF0F54" w:rsidRDefault="00EC0A14" w:rsidP="00EC0A14">
      <w:pPr>
        <w:pStyle w:val="NormalHanging12a"/>
      </w:pPr>
      <w:r w:rsidRPr="00BF0F54">
        <w:t>3</w:t>
      </w:r>
      <w:r w:rsidR="00914100">
        <w:t>8</w:t>
      </w:r>
      <w:r w:rsidRPr="00BF0F54">
        <w:t>.</w:t>
      </w:r>
      <w:r w:rsidRPr="00BF0F54">
        <w:tab/>
        <w:t>konstatuje, že v roce 2023 bylo 59 ze 130 řádných legislativních postupů zveřejněno bez posouzení dopadů a v roce 2024 bylo bez posouzení dopadů zveřejněno 26 z 31 řádných legislativních postupů; se znepokojením dále konstatuje, že Komise v období od 1. prosince 2024 do 26. září 2025 zveřejnila 80 řádných legislativních postupů, z nichž pouze 18 se opíralo o celkem 12 posouzení dopadů; požaduje, aby byla posouzení dopadů prováděna u všech aktů; vyjadřuje politování nad tím, že tomu tak u několika politicky citlivých návrhů v minulosti nebylo;</w:t>
      </w:r>
    </w:p>
    <w:p w14:paraId="77FF5652" w14:textId="0187AA32" w:rsidR="00EC0A14" w:rsidRPr="00BF0F54" w:rsidRDefault="00EC0A14" w:rsidP="00EC0A14">
      <w:pPr>
        <w:pStyle w:val="NormalHanging12a"/>
      </w:pPr>
      <w:r w:rsidRPr="00BF0F54">
        <w:t>3</w:t>
      </w:r>
      <w:r w:rsidR="00914100">
        <w:t>9</w:t>
      </w:r>
      <w:r w:rsidRPr="00BF0F54">
        <w:t>.</w:t>
      </w:r>
      <w:r w:rsidRPr="00BF0F54">
        <w:tab/>
        <w:t>bere na vědomí cíle v oblasti snižování zátěže stanovené Komisí v jejím pracovním programu na rok 2025; vítá plány Komise provádět zátěžové testy a kontroly skutečného stavu právních předpisů EU s cílem zajistit, aby účinně plnily své politické cíle; v této souvislosti připomíná význam systematického hodnocení právních předpisů pro tvorbu politik založenou na důkazech, jak je stanoveno v souboru nástrojů Komise pro zlepšování právní úpravy; naléhavě vyzývá k tomu, aby byly jmenovanému komisaři poskytnuty nezbytné pravomoci, zdroje a analytické nástroje k vedení tohoto úsilí a k zajištění toho, aby všechny legislativní akty byly přiměřené, vymahatelné a vhodné pro daný účel;</w:t>
      </w:r>
    </w:p>
    <w:p w14:paraId="199F922F" w14:textId="4C98ED92" w:rsidR="00EC0A14" w:rsidRPr="00BF0F54" w:rsidRDefault="00914100" w:rsidP="00EC0A14">
      <w:pPr>
        <w:pStyle w:val="NormalHanging12a"/>
      </w:pPr>
      <w:r>
        <w:t>40</w:t>
      </w:r>
      <w:r w:rsidR="00EC0A14" w:rsidRPr="00BF0F54">
        <w:t>.</w:t>
      </w:r>
      <w:r w:rsidR="00EC0A14" w:rsidRPr="00BF0F54">
        <w:tab/>
        <w:t>zdůrazňuje případy legislativních aktů, které nebyly nikdy uplatněny; vyzývá Komisi, aby tyto případy pravidelně sledovala, posuzovala důvody tohoto nedostatečného uplatňování, rozhodla, zda je třeba akty zjednodušit, a předložila návrhy na jejich změnu;</w:t>
      </w:r>
    </w:p>
    <w:p w14:paraId="19B7DB6F" w14:textId="21DED6BB" w:rsidR="00EC0A14" w:rsidRPr="00BF0F54" w:rsidRDefault="00EC0A14" w:rsidP="00EC0A14">
      <w:pPr>
        <w:pStyle w:val="NormalHanging12a"/>
      </w:pPr>
      <w:r w:rsidRPr="00BF0F54">
        <w:t>4</w:t>
      </w:r>
      <w:r w:rsidR="00914100">
        <w:t>1</w:t>
      </w:r>
      <w:r w:rsidRPr="00BF0F54">
        <w:t>.</w:t>
      </w:r>
      <w:r w:rsidRPr="00BF0F54">
        <w:tab/>
        <w:t>připomíná, že tvorba právních předpisů EU je založena na interinstitucionální rovnováze mezi spolunormotvůrci a společném závazku transparentně spolupracovat v průběhu celého legislativního cyklu; konstatuje, že je to třeba zohledňovat při stanovování nebo přezkumu víceletých priorit a v každoročním společném prohlášení o ročních interinstitucionálních prioritách; důrazně kritizuje nedávný postup Komise, která bez dostatečného odůvodnění stáhla legislativní návrhy, zejména ty, které již byly předmětem třístranných jednání, neboť takové kroky podkopávají důvěryhodnost interinstitucionální spolupráce a demokratickou odpovědnost; připomíná, že každý záměr Komise stáhnout projednávané legislativní akty, které byly oznámeny v jejích ročních pracovních programech, musí být náležitě odůvodněn a podložen, aby bylo možné řádně konzultovat se spolunormotvůrci EU; konstatuje, že nedostatek řádných konzultací ohrožuje vyvážený výkon výsad orgánů EU, vytváří právní nejistotu pro podniky a podkopává důvěru obyčejných lidí v tvorbu právních předpisů EU; vyzývá proto Komisi, aby plně zapojila Evropský parlament a Radu v rané fázi stažení a v průběhu celého postupu a aby před případným stažením provedla důkladné posouzení dopadů založené na důkazech a komplexně zvážila přínosy a náklady, včetně nákladů na nedodržování předpisů a nečinnost;</w:t>
      </w:r>
    </w:p>
    <w:p w14:paraId="3D69FA4E" w14:textId="7CE076F5" w:rsidR="00EC0A14" w:rsidRPr="00BF0F54" w:rsidRDefault="00EC0A14" w:rsidP="00EC0A14">
      <w:pPr>
        <w:pStyle w:val="NormalHanging12a"/>
      </w:pPr>
      <w:r w:rsidRPr="00BF0F54">
        <w:lastRenderedPageBreak/>
        <w:t>4</w:t>
      </w:r>
      <w:r w:rsidR="00914100">
        <w:t>2</w:t>
      </w:r>
      <w:r w:rsidRPr="00BF0F54">
        <w:t>.</w:t>
      </w:r>
      <w:r w:rsidRPr="00BF0F54">
        <w:tab/>
        <w:t>doporučuje, aby Komise předložila právní předpisy ke kodifikaci minimálních norem pro správní postupy ve všech členských státech v souladu s usnesením Evropského parlamentu ze dne 22. listopadu 2023 obsahujícím doporučení Komisi o digitalizaci a správním právu; zdůrazňuje, že tyto právní předpisy by měly podporovat spravedlnost, transparentnost a digitalizaci ve veřejné správě EU, včetně záruk odpovědného využívání umělé inteligence při rozhodování;</w:t>
      </w:r>
    </w:p>
    <w:p w14:paraId="25B45908" w14:textId="4A408998" w:rsidR="00EC0A14" w:rsidRPr="00BF0F54" w:rsidRDefault="00EC0A14" w:rsidP="00EC0A14">
      <w:pPr>
        <w:pStyle w:val="NormalHanging12a"/>
      </w:pPr>
      <w:r w:rsidRPr="00BF0F54">
        <w:t>4</w:t>
      </w:r>
      <w:r w:rsidR="00914100">
        <w:t>3</w:t>
      </w:r>
      <w:r w:rsidRPr="00BF0F54">
        <w:t>.</w:t>
      </w:r>
      <w:r w:rsidRPr="00BF0F54">
        <w:tab/>
        <w:t>vyzývá k výraznému zjednodušení administrativních povinností příjemců finančních prostředků EU s cílem zajistit řádné a účinné využívání finančních prostředků EU, zejména prostřednictvím širšího využívání modelů podávání zpráv založených na výsledcích, omezení zdvojování auditních postupů a jasného právního rozlišování mezi neúmyslnými chybami a záměrnými podvody; vyjadřuje politování nad tím, že do konce roku 2023 byla členským státům vyplacena pouze přibližně třetina celkových finančních prostředků z Nástroje pro oživení a odolnost, přičemž sedm členských států neobdrželo do konce roku 2023 žádné finanční prostředky za uspokojivé splnění milníků a cílů z Nástroje pro oživení a odolnost, protože vlády dohodnutých milníků nedosáhly</w:t>
      </w:r>
      <w:r w:rsidR="003C3957">
        <w:rPr>
          <w:rStyle w:val="FootnoteReference"/>
        </w:rPr>
        <w:footnoteReference w:id="10"/>
      </w:r>
      <w:r w:rsidRPr="00BF0F54">
        <w:t>; zdůrazňuje, že nadměrná administrativní zátěž, jakož i problémy se správní kapacitou a složitými pravidly na vnitrostátní úrovni oslabují přístup k financování EU a důvěryhodnost podpůrných politik EU;</w:t>
      </w:r>
    </w:p>
    <w:p w14:paraId="12C84174" w14:textId="28EB57F9" w:rsidR="00EC0A14" w:rsidRPr="00BF0F54" w:rsidRDefault="00EC0A14" w:rsidP="00EC0A14">
      <w:pPr>
        <w:pStyle w:val="NormalHanging12a"/>
      </w:pPr>
      <w:r w:rsidRPr="00BF0F54">
        <w:t>4</w:t>
      </w:r>
      <w:r w:rsidR="00914100">
        <w:t>4</w:t>
      </w:r>
      <w:r w:rsidRPr="00BF0F54">
        <w:t>.</w:t>
      </w:r>
      <w:r w:rsidRPr="00BF0F54">
        <w:tab/>
        <w:t>naléhavě vyzývá Komisi, aby posoudila proveditelnost sloučení stávajících a připravovaných právních předpisů v digitální oblasti, včetně rámců kybernetické bezpečnosti, do jednotného a soudržného souboru digitálních pravidel; doporučuje, aby takový nástroj obsahoval harmonizované definice, jednotné povinnosti podávání zpráv a jasné pokyny pro veřejné i soukromé subjekty s cílem zlepšit právní soudržnost a dodržování předpisů na celém jednotném digitálním trhu;</w:t>
      </w:r>
    </w:p>
    <w:p w14:paraId="2783C5CD" w14:textId="77777777" w:rsidR="00EC0A14" w:rsidRPr="00BF0F54" w:rsidRDefault="00EC0A14" w:rsidP="00EC0A14">
      <w:pPr>
        <w:pStyle w:val="Normal12a"/>
      </w:pPr>
      <w:r w:rsidRPr="00BF0F54">
        <w:rPr>
          <w:b/>
          <w:i/>
        </w:rPr>
        <w:t>Prvky specifické pro konkrétní odvětví</w:t>
      </w:r>
    </w:p>
    <w:p w14:paraId="054807F7" w14:textId="679AB76F" w:rsidR="00EC0A14" w:rsidRPr="00BF0F54" w:rsidRDefault="00EC0A14" w:rsidP="00EC0A14">
      <w:pPr>
        <w:pStyle w:val="NormalHanging12a"/>
      </w:pPr>
      <w:r w:rsidRPr="00BF0F54">
        <w:t>4</w:t>
      </w:r>
      <w:r w:rsidR="00914100">
        <w:t>5</w:t>
      </w:r>
      <w:r w:rsidRPr="00BF0F54">
        <w:t>.</w:t>
      </w:r>
      <w:r w:rsidRPr="00BF0F54">
        <w:tab/>
        <w:t>konstatuje, že v oblasti obchodu má v případě legislativních aktů s odloženými daty použitelnosti prvořadý význam stanovení jasných dat použitelnosti; připomíná, že pokyny Komise potřebné pro účinné a jednotné provádění těchto aktů by měly přinést jasnost a právní jistotu a neměly by oslabovat samotnou podstatu a účel základního aktu; vyjadřuje v této souvislosti hluboké politování nad negativním dopadem, který mají pro hospodářské subjekty EU a její mezinárodní partnery opakovaná zpoždění a nejasnosti, pokud jde o data použitelnosti a období postupného zavádění podle právních předpisů EU a mezinárodních dohod, jichž je EU smluvní stranou, což se projevuje mimo jiné oslabením důvěryhodnosti EU na globální scéně;</w:t>
      </w:r>
    </w:p>
    <w:p w14:paraId="376654F0" w14:textId="357BFE35" w:rsidR="00EC0A14" w:rsidRPr="00BF0F54" w:rsidRDefault="00EC0A14" w:rsidP="00EC0A14">
      <w:pPr>
        <w:pStyle w:val="NormalHanging12a"/>
      </w:pPr>
      <w:r w:rsidRPr="00BF0F54">
        <w:t>4</w:t>
      </w:r>
      <w:r w:rsidR="00914100">
        <w:t>6</w:t>
      </w:r>
      <w:r w:rsidRPr="00BF0F54">
        <w:t>.</w:t>
      </w:r>
      <w:r w:rsidRPr="00BF0F54">
        <w:tab/>
        <w:t>v oblasti zaměstnanosti vítá rozsudek Soudního dvora Evropské unie</w:t>
      </w:r>
      <w:r w:rsidR="003C3957">
        <w:rPr>
          <w:rStyle w:val="FootnoteReference"/>
        </w:rPr>
        <w:footnoteReference w:id="11"/>
      </w:r>
      <w:r w:rsidRPr="00BF0F54">
        <w:t>, který do značné míry potvrdil platnost směrnice o přiměřených minimálních mzdách</w:t>
      </w:r>
      <w:r w:rsidR="003C3957">
        <w:rPr>
          <w:rStyle w:val="FootnoteReference"/>
        </w:rPr>
        <w:footnoteReference w:id="12"/>
      </w:r>
      <w:r w:rsidRPr="00BF0F54">
        <w:t xml:space="preserve">; vyzývá členské </w:t>
      </w:r>
      <w:r w:rsidRPr="00BF0F54">
        <w:lastRenderedPageBreak/>
        <w:t>státy, které tuto směrnici dosud neprovedly do svých vnitrostátních právních systémů ve stanovené lhůtě, aby tak neprodleně učinily; naléhavě vyzývá Komisi, aby byla i nadále ostražitá a přijala veškerá vhodná opatření k zajištění úplného a včasného provedení a účinného uplatňování směrnice; podporuje zapojení Komise do dialogů před zahájením řízení o nesplnění povinnosti v oblasti bezpečnosti a ochrany zdraví při práci, které usnadňuje vnitrostátní legislativní změny zaměřené na posílení a harmonizaci minimálních úrovní ochrany pracovníků, čímž chrání práva pracovníků a přispívá k rovným podmínkám v celé EU; vyjadřuje politování nad tím, že několik členských států provedlo některé směrnice ve svých vnitrostátních právních předpisech pouze částečně;</w:t>
      </w:r>
    </w:p>
    <w:p w14:paraId="6BD55C98" w14:textId="70D40BC5" w:rsidR="00EC0A14" w:rsidRPr="00BF0F54" w:rsidRDefault="00EC0A14" w:rsidP="00EC0A14">
      <w:pPr>
        <w:pStyle w:val="NormalHanging12a"/>
      </w:pPr>
      <w:r w:rsidRPr="00BF0F54">
        <w:t>4</w:t>
      </w:r>
      <w:r w:rsidR="00914100">
        <w:t>7</w:t>
      </w:r>
      <w:r w:rsidRPr="00BF0F54">
        <w:t>.</w:t>
      </w:r>
      <w:r w:rsidRPr="00BF0F54">
        <w:tab/>
        <w:t>vítá přezkum provádění právních předpisů v oblasti životního prostředí; vyzývá Komisi, aby každoročně zveřejňovala přehledy provádění pro každý členský stát a oblast politiky se strojově čitelnými a srovnatelnými ukazateli a metadaty o stavu případu, které budou integrovat datové soubory Evropské agentury pro životní prostředí a Evropské agentury pro chemické látky a umožní analýzu trendů a referenční srovnávání; poukazuje na to, že podle přezkumu provádění právních předpisů v oblasti životního prostředí v roce 2025 činí náklady na neprovedení právních předpisů EU v oblasti životního prostředí 180 miliard EUR ročně, přičemž odstranění nedostatků v provádění by vyžadovalo 122 miliard EUR ročně, což dokazuje, že účinné provádění představuje spíše zdravou investici než náklady; zdůrazňuje, že ke dni 2. dubna 2025 probíhalo 309 řízení o nesplnění povinnosti v oblasti environmentálních právních předpisů, z nichž 45 % se týkalo znečištění a vody, 24 % nakládání s odpady, 24 % přírody a biologické rozmanitosti a 7 % správy; vyzývá členské státy, aby posílily své správní kapacity pro povolování, kontroly a monitorování, přijaly digitální nástroje pro povolování a prosazování a zajistily otevřené údaje o životním prostředí pro tvorbu politik založenou na důkazech a občanský dohled; se znepokojením konstatuje, že šíření a vrstvení prováděcích aktů a aktů v přenesené pravomoci může narušovat právní jasnost a včasné dodržování předpisů ze strany správních orgánů a odpovědných subjektů; zdůrazňuje, že zjednodušení by mělo zvýšit jasnost a jistotu, aniž by došlo ke snížení norem ochrany životního prostředí; vyzývá Komisi, aby ke zjednodušujícím iniciativám připojila posouzení dopadů na dodržování předpisů a pokyny pro odborníky z praxe; naléhavě vyzývá ke sladění financování EU s prioritami provádění tím, že bude vyčleněna podpora na odstranění nedostatků v dodržování právních předpisů v oblasti životního prostředí zjištěných v přezkumu a že budou postupně zrušeny dotace škodlivé pro životní prostředí; vyzývá Komisi, aby zvážila přiměřené a cílené podmínky v případech, kdy přetrvávající nedodržování předpisů ohrožuje cíle EU;</w:t>
      </w:r>
    </w:p>
    <w:p w14:paraId="734E1226" w14:textId="11D48093" w:rsidR="00EC0A14" w:rsidRPr="00BF0F54" w:rsidRDefault="00EC0A14" w:rsidP="00EC0A14">
      <w:pPr>
        <w:pStyle w:val="NormalHanging12a"/>
      </w:pPr>
      <w:r w:rsidRPr="00BF0F54">
        <w:t>4</w:t>
      </w:r>
      <w:r w:rsidR="00914100">
        <w:t>8</w:t>
      </w:r>
      <w:r w:rsidRPr="00BF0F54">
        <w:t>.</w:t>
      </w:r>
      <w:r w:rsidRPr="00BF0F54">
        <w:tab/>
        <w:t>vítá skutečnost, že Komise zahájila dialogy před zahájením řízení o nesplnění povinnosti s členskými státy, zejména s těmi, které včas nepředložily aktualizované návrhy vnitrostátních plánů v oblasti energetiky a klimatu na období 2021–2030, vyjadřuje však politování nad tím, že chybí podrobné harmonogramy pro dodržování předpisů a následná opatření ze strany členských států; zdůrazňuje, že je důležité zefektivnit provádění právních předpisů EU v oblasti klimatu a životního prostředí, včetně balíčku „Fit for 55“ a Zelené dohody pro Evropu; vyzývá k integrovanému monitorování, lepším mechanismům prosazování a užšímu sladění cílů EU v oblasti klimatu s vnitrostátními strategiemi s cílem zajistit včasné a soudržné plnění závazků EU v oblasti životního prostředí;</w:t>
      </w:r>
    </w:p>
    <w:p w14:paraId="151B4168" w14:textId="2055528F" w:rsidR="00EC0A14" w:rsidRPr="00BF0F54" w:rsidRDefault="00EC0A14" w:rsidP="00EC0A14">
      <w:pPr>
        <w:pStyle w:val="NormalHanging12a"/>
      </w:pPr>
      <w:r w:rsidRPr="00BF0F54">
        <w:lastRenderedPageBreak/>
        <w:t>4</w:t>
      </w:r>
      <w:r w:rsidR="00914100">
        <w:t>9</w:t>
      </w:r>
      <w:r w:rsidRPr="00BF0F54">
        <w:t>.</w:t>
      </w:r>
      <w:r w:rsidRPr="00BF0F54">
        <w:tab/>
        <w:t>konstatuje, že včasné a účinné provádění nedávno přijatých právních předpisů, včetně přepracovaného znění směrnice o energetické účinnosti</w:t>
      </w:r>
      <w:r w:rsidR="003C3957">
        <w:rPr>
          <w:rStyle w:val="FootnoteReference"/>
        </w:rPr>
        <w:footnoteReference w:id="13"/>
      </w:r>
      <w:r w:rsidRPr="00BF0F54">
        <w:t>, směrnice o obnovitelných zdrojích energie</w:t>
      </w:r>
      <w:r w:rsidR="003C3957">
        <w:rPr>
          <w:rStyle w:val="FootnoteReference"/>
        </w:rPr>
        <w:footnoteReference w:id="14"/>
      </w:r>
      <w:r w:rsidRPr="00BF0F54">
        <w:t>, balíčku o uspořádání trhu s elektřinou a směrnice o energetické náročnosti budov</w:t>
      </w:r>
      <w:r w:rsidR="003C3957">
        <w:rPr>
          <w:rStyle w:val="FootnoteReference"/>
        </w:rPr>
        <w:footnoteReference w:id="15"/>
      </w:r>
      <w:r w:rsidRPr="00BF0F54">
        <w:t>, má zásadní význam pro dosažení cílů EU v oblasti klimatu a energetiky do roku 2030, jakož i pro zajištění dokončení plně integrované a propojené energetické unie v souladu s nařízením (EU) 2022/869, kterým se stanoví hlavní směry pro transevropské energetické sítě</w:t>
      </w:r>
      <w:r w:rsidR="003C3957">
        <w:rPr>
          <w:rStyle w:val="FootnoteReference"/>
        </w:rPr>
        <w:footnoteReference w:id="16"/>
      </w:r>
      <w:r w:rsidRPr="00BF0F54">
        <w:t>, včetně jeho nadcházející revize, a nařízením (EU) 2018/1999 o správě energetické unie a opatření v oblasti klimatu</w:t>
      </w:r>
      <w:r w:rsidR="003C3957">
        <w:rPr>
          <w:rStyle w:val="FootnoteReference"/>
        </w:rPr>
        <w:footnoteReference w:id="17"/>
      </w:r>
      <w:r w:rsidRPr="00BF0F54">
        <w:t>; zdůrazňuje, že přetrvávající překážky, jako jsou zdlouhavé a složité administrativní postupy, nedostatečná digitalizace, chybějící správní kapacita povolovacích a regulačních orgánů a nejednotné nebo opožděné provádění ze strany členských států, nadále brání jednotnému uplatňování právních předpisů EU v oblasti energetiky, zpožďují modernizaci energetické infrastruktury a propojení a brání účinnému fungování vnitřního trhu s energií;</w:t>
      </w:r>
    </w:p>
    <w:p w14:paraId="51A8E129" w14:textId="044CF28C" w:rsidR="00EC0A14" w:rsidRPr="00BF0F54" w:rsidRDefault="00914100" w:rsidP="00EC0A14">
      <w:pPr>
        <w:pStyle w:val="NormalHanging12a"/>
      </w:pPr>
      <w:r>
        <w:t>50</w:t>
      </w:r>
      <w:r w:rsidR="00EC0A14" w:rsidRPr="00BF0F54">
        <w:t>.</w:t>
      </w:r>
      <w:r w:rsidR="00EC0A14" w:rsidRPr="00BF0F54">
        <w:tab/>
        <w:t xml:space="preserve">vyjadřuje politování nad tím, že prosazování právních předpisů v oblasti energetiky i nadále představuje významný podíl řízení o nesplnění povinnosti, zejména kvůli neúplnému nebo nesprávnému provedení právních předpisů EU ve vnitrostátním právu; zdůrazňuje, že nedostatky v provádění ustanovení týkajících se energetické infrastruktury a propojení podle nařízení (EU) 2022/869 a nařízení (EU) 2018/1999 dále zpožďují integraci vnitrostátních energetických systémů a ohrožují dosažení cílů EU v oblasti energetiky a klimatu; vyzývá Komisi, aby zajistila soudržnější přístup mezi řízeními o nesplnění povinnosti, monitorováním podle nařízení (EU) 2018/1999 a technickou podporou poskytovanou prostřednictvím Nástroje pro technickou podporu s cílem řešit případy nesouladu, které vyplývají z nedostatečné správní kapacity nebo nedostatečné právní jasnosti; vybízí Komisi, aby upřednostňovala donucovací a poradenská opatření, která usnadní včasné dokončení projektů společného zájmu </w:t>
      </w:r>
      <w:r w:rsidR="00EC0A14" w:rsidRPr="00BF0F54">
        <w:lastRenderedPageBreak/>
        <w:t>a další přeshraniční infrastruktury nezbytné pro dokončení vnitřního trhu s energií a energetické unie;</w:t>
      </w:r>
    </w:p>
    <w:p w14:paraId="56D2CC71" w14:textId="170199FD" w:rsidR="00EC0A14" w:rsidRPr="00BF0F54" w:rsidRDefault="00EC0A14" w:rsidP="00EC0A14">
      <w:pPr>
        <w:pStyle w:val="NormalHanging12a"/>
      </w:pPr>
      <w:r w:rsidRPr="00BF0F54">
        <w:t>5</w:t>
      </w:r>
      <w:r w:rsidR="00914100">
        <w:t>1</w:t>
      </w:r>
      <w:r w:rsidRPr="00BF0F54">
        <w:t>.</w:t>
      </w:r>
      <w:r w:rsidRPr="00BF0F54">
        <w:tab/>
        <w:t>naléhavě vyzývá členské státy, aby plně a správně provedly a uplatňovaly rámcové rozhodnutí Rady 2008/913/SVV a akt o digitálních službách, a vyzývá Komisi, aby pokračovala v řízeních o nesplnění povinnosti v případech systematického nedodržování předpisů; vítá zejména zřízení nového oddělení Komise, které se zabývá prováděním a prosazováním aktu o digitálních službách, což by mělo umožnit přijetí konkrétních opatření ve vztahu k velmi velkým platformám, které nedodržují právní předpisy, jakož i náležitá následná opatření týkající se spolupráce mezi Komisí a vnitrostátními koordinátory digitálních služeb;</w:t>
      </w:r>
    </w:p>
    <w:p w14:paraId="6FF9F020" w14:textId="337D2A12" w:rsidR="00EC0A14" w:rsidRPr="00BF0F54" w:rsidRDefault="00EC0A14" w:rsidP="00EC0A14">
      <w:pPr>
        <w:pStyle w:val="NormalHanging12a"/>
      </w:pPr>
      <w:r w:rsidRPr="00BF0F54">
        <w:t>5</w:t>
      </w:r>
      <w:r w:rsidR="00914100">
        <w:t>2</w:t>
      </w:r>
      <w:r w:rsidRPr="00BF0F54">
        <w:t>.</w:t>
      </w:r>
      <w:r w:rsidRPr="00BF0F54">
        <w:tab/>
        <w:t>zdůrazňuje skutečnost, že v oblasti zemědělství představuje největší podíl rozpočtu EU společná zemědělská politika (SZP) s 31 % celkových výdajů na období 2021–2027; upozorňuje, že je zásadní, aby byly právní předpisy EU a kontrolní systémy SZP účinně prováděny a prosazovány jak na úrovni EU, tak na vnitrostátní úrovni, aby se zajistilo, že finanční zájmy EU a jejích občanů budou účinně chráněny před jakýmkoli zneužitím finančních prostředků EU, které by mohlo mít nepříznivý dopad na zemědělce a veřejný obraz této politiky; poukazuje na to, že v některých členských státech dochází k zabírání půdy a zneužívání dotací v důsledku porušování práva EU, korupčních praktik nebo zapojení organizované trestné činnosti; zdůrazňuje, že k boji proti tomuto zneužívání je zapotřebí správné provádění právních předpisů EU spolu s účinnými monitorovacími a kontrolními opatřeními; v této souvislosti poukazuje na nedostatečnou transparentnost a přístup veřejnosti k údajům o rozdělování zemědělských dotací; vyjadřuje znepokojení nad tím, že soudní spolupráci navzdory četným právním nástrojům zavedeným v oblasti vymáhání majetku stále brání značné rozdíly mezi vnitrostátními právními systémy a nedostatek harmonizovaných předpisů; zdůrazňuje, že finanční nařízení EU</w:t>
      </w:r>
      <w:r w:rsidR="003C3957">
        <w:rPr>
          <w:rStyle w:val="FootnoteReference"/>
        </w:rPr>
        <w:footnoteReference w:id="18"/>
      </w:r>
      <w:r w:rsidRPr="00BF0F54">
        <w:t>, zejména článek 61, musí být dodržováno a prosazováno ve všech členských státech a musí se uplatňovat na všechny platby z fondů EU, včetně přímých plateb pro zemědělství;</w:t>
      </w:r>
    </w:p>
    <w:p w14:paraId="627DFD19" w14:textId="63C3BFFD" w:rsidR="00EC0A14" w:rsidRPr="00BF0F54" w:rsidRDefault="00EC0A14" w:rsidP="00EC0A14">
      <w:pPr>
        <w:pStyle w:val="NormalHanging12a"/>
      </w:pPr>
      <w:r w:rsidRPr="00BF0F54">
        <w:t>5</w:t>
      </w:r>
      <w:r w:rsidR="00914100">
        <w:t>3</w:t>
      </w:r>
      <w:r w:rsidRPr="00BF0F54">
        <w:t>.</w:t>
      </w:r>
      <w:r w:rsidRPr="00BF0F54">
        <w:tab/>
        <w:t>v oblasti audiovizuální a mediální politiky a kultury připomíná význam včasného a účinného provádění regulačních nástrojů, zejména Evropského aktu o svobodě sdělovacích prostředků</w:t>
      </w:r>
      <w:r w:rsidR="003C3957">
        <w:rPr>
          <w:rStyle w:val="FootnoteReference"/>
        </w:rPr>
        <w:footnoteReference w:id="19"/>
      </w:r>
      <w:r w:rsidRPr="00BF0F54">
        <w:t>, jako prostředku k zajištění udržitelného, pluralitního a odolného mediálního ekosystému schopného bojovat proti dezinformacím; zdůrazňuje, že je nezbytné provádět finanční nástroje v rámci jejich ročních programových období způsobem, který je v souladu s kritérii stanovenými v nařízení (EU) 2021/818</w:t>
      </w:r>
      <w:r w:rsidR="003C3957">
        <w:rPr>
          <w:rStyle w:val="FootnoteReference"/>
        </w:rPr>
        <w:footnoteReference w:id="20"/>
      </w:r>
      <w:r w:rsidRPr="00BF0F54">
        <w:t xml:space="preserve">, zejména pokud jde o program Kreativní Evropa na období 2021–2027, jehož hlavním posláním je podporovat kulturní odvětví a chránit nezávislost a uměleckou svobodu tvůrců; vyzývá Komisi, aby provedla komplexní a vyvážené </w:t>
      </w:r>
      <w:r w:rsidRPr="00BF0F54">
        <w:lastRenderedPageBreak/>
        <w:t>hodnocení směrnice o audiovizuálních mediálních službách</w:t>
      </w:r>
      <w:r w:rsidR="003C3957">
        <w:rPr>
          <w:rStyle w:val="FootnoteReference"/>
        </w:rPr>
        <w:footnoteReference w:id="21"/>
      </w:r>
      <w:r w:rsidRPr="00BF0F54">
        <w:t>, která je hlavním nástrojem regulace audiovizuálního a mediálního obsahu v EU;</w:t>
      </w:r>
    </w:p>
    <w:p w14:paraId="1663A37E" w14:textId="67A949BD" w:rsidR="00EC0A14" w:rsidRPr="00BF0F54" w:rsidRDefault="00EC0A14" w:rsidP="00EC0A14">
      <w:pPr>
        <w:pStyle w:val="NormalHanging12a"/>
      </w:pPr>
      <w:r w:rsidRPr="00BF0F54">
        <w:t>5</w:t>
      </w:r>
      <w:r w:rsidR="00914100">
        <w:t>4</w:t>
      </w:r>
      <w:r w:rsidRPr="00BF0F54">
        <w:t>.</w:t>
      </w:r>
      <w:r w:rsidRPr="00BF0F54">
        <w:tab/>
        <w:t>vyzývá Komisi, aby zajistila jednotné uplatňování a účinné prosazování pravidel vnitřního trhu ve všech odvětvích; vyjadřuje vážné znepokojení nad nátlakovými praktikami odkupu, které jsou ukládány evropským tvůrcům, zejména pokud jde o smlouvy založené na zahraničních právních předpisech a jurisdikcích, které mohou obcházet normy EU týkající se vhodné a přiměřené odměny; naléhavě vyzývá Komisi, aby předložila zvláštní legislativní návrh, který stanoví záruky, jež zabrání takovému obcházení a zajistí, aby se evropští tvůrci mohli účinně odvolávat na svá práva zakotvená v právních předpisech EU a prosazovat je;</w:t>
      </w:r>
    </w:p>
    <w:p w14:paraId="0783D279" w14:textId="647EC906" w:rsidR="00EC0A14" w:rsidRPr="00BF0F54" w:rsidRDefault="00EC0A14" w:rsidP="00EC0A14">
      <w:pPr>
        <w:pStyle w:val="NormalHanging12a"/>
      </w:pPr>
      <w:r w:rsidRPr="00BF0F54">
        <w:t>5</w:t>
      </w:r>
      <w:r w:rsidR="00914100">
        <w:t>5</w:t>
      </w:r>
      <w:r w:rsidRPr="00BF0F54">
        <w:t>.</w:t>
      </w:r>
      <w:r w:rsidRPr="00BF0F54">
        <w:tab/>
        <w:t>se znepokojením bere na vědomí přetrvávající nedostatky v provádění a uplatňování klíčových právních nástrojů týkajících se azylu, migrace, ochrany údajů, justiční spolupráce a prosazování práva;</w:t>
      </w:r>
    </w:p>
    <w:p w14:paraId="672E1A30" w14:textId="6EF2E490" w:rsidR="00EC0A14" w:rsidRPr="00BF0F54" w:rsidRDefault="00EC0A14" w:rsidP="00EC0A14">
      <w:pPr>
        <w:pStyle w:val="NormalHanging12a"/>
      </w:pPr>
      <w:r w:rsidRPr="00BF0F54">
        <w:t>5</w:t>
      </w:r>
      <w:r w:rsidR="00914100">
        <w:t>6</w:t>
      </w:r>
      <w:r w:rsidRPr="00BF0F54">
        <w:t>.</w:t>
      </w:r>
      <w:r w:rsidRPr="00BF0F54">
        <w:tab/>
        <w:t>konstatuje, že nejsou podávány zprávy o uplatňování strategie EU pro rovnost žen a mužů na období 2020–2025, o jejích opatřeních v boji proti diskriminaci, mimo jiné prostřednictvím aktu EU o přístupnosti</w:t>
      </w:r>
      <w:r w:rsidR="003C3957">
        <w:rPr>
          <w:rStyle w:val="FootnoteReference"/>
        </w:rPr>
        <w:footnoteReference w:id="22"/>
      </w:r>
      <w:r w:rsidRPr="00BF0F54">
        <w:t>, ani o strategii EU pro mládež; připomíná svůj závazek dosáhnout do roku 2030 cílů evropského pilíře sociálních práv pro silnou sociální Evropu, která je spravedlivá, inkluzivní a plná příležitostí; vyzývá Komisi, aby ve svých budoucích zprávách věnovala zvláštní kapitoly provádění těchto důležitých oblastí politiky; doporučuje, aby do své tvorby politiky zahrnula podrobné informace o boji proti trestným činům z nenávisti, o začleňování hlediska rovnosti žen a mužů a o systematickém ověřování dopadů na mladé lidi;</w:t>
      </w:r>
    </w:p>
    <w:p w14:paraId="6EAF800C" w14:textId="77777777" w:rsidR="00EC0A14" w:rsidRPr="00BF0F54" w:rsidRDefault="00EC0A14" w:rsidP="00EC0A14">
      <w:pPr>
        <w:pStyle w:val="NormalCenter12a"/>
      </w:pPr>
      <w:r w:rsidRPr="00BF0F54">
        <w:t>°</w:t>
      </w:r>
    </w:p>
    <w:p w14:paraId="5DD039AE" w14:textId="77777777" w:rsidR="00EC0A14" w:rsidRPr="00BF0F54" w:rsidRDefault="00EC0A14" w:rsidP="00EC0A14">
      <w:pPr>
        <w:pStyle w:val="NormalCenter12a"/>
      </w:pPr>
      <w:r w:rsidRPr="00BF0F54">
        <w:t>°</w:t>
      </w:r>
      <w:r w:rsidRPr="00BF0F54">
        <w:tab/>
        <w:t>°</w:t>
      </w:r>
    </w:p>
    <w:p w14:paraId="1841A2A7" w14:textId="77374C0A" w:rsidR="00BF0F54" w:rsidRPr="00BF0F54" w:rsidRDefault="00EC0A14" w:rsidP="00BF0F54">
      <w:pPr>
        <w:pStyle w:val="NormalHanging12a"/>
      </w:pPr>
      <w:r w:rsidRPr="00BF0F54">
        <w:t>5</w:t>
      </w:r>
      <w:r w:rsidR="00914100">
        <w:t>7</w:t>
      </w:r>
      <w:r w:rsidRPr="00BF0F54">
        <w:t>.</w:t>
      </w:r>
      <w:r w:rsidRPr="00BF0F54">
        <w:tab/>
        <w:t>pověřuje svou předsedkyni, aby předala toto usnesení Radě a Komisi.</w:t>
      </w:r>
    </w:p>
    <w:p w14:paraId="2CE0AF16" w14:textId="57E467B5" w:rsidR="00E365E1" w:rsidRPr="00BF0F54" w:rsidRDefault="00E365E1" w:rsidP="00CD7DAB"/>
    <w:sectPr w:rsidR="00E365E1" w:rsidRPr="00BF0F54" w:rsidSect="00BF0F5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A7E19" w14:textId="77777777" w:rsidR="00CD7DAB" w:rsidRPr="00BF0F54" w:rsidRDefault="00CD7DAB">
      <w:r w:rsidRPr="00BF0F54">
        <w:separator/>
      </w:r>
    </w:p>
  </w:endnote>
  <w:endnote w:type="continuationSeparator" w:id="0">
    <w:p w14:paraId="58C1906F" w14:textId="77777777" w:rsidR="00CD7DAB" w:rsidRPr="00BF0F54" w:rsidRDefault="00CD7DAB">
      <w:r w:rsidRPr="00BF0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9DD7" w14:textId="77777777" w:rsidR="00064002" w:rsidRPr="00BF0F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DE8D" w14:textId="77777777" w:rsidR="00064002" w:rsidRPr="00BF0F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DC02" w14:textId="77777777" w:rsidR="00064002" w:rsidRPr="00BF0F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30B7" w14:textId="77777777" w:rsidR="00CD7DAB" w:rsidRPr="00BF0F54" w:rsidRDefault="00CD7DAB">
      <w:r w:rsidRPr="00BF0F54">
        <w:separator/>
      </w:r>
    </w:p>
  </w:footnote>
  <w:footnote w:type="continuationSeparator" w:id="0">
    <w:p w14:paraId="25B9B901" w14:textId="77777777" w:rsidR="00CD7DAB" w:rsidRPr="00BF0F54" w:rsidRDefault="00CD7DAB">
      <w:r w:rsidRPr="00BF0F54">
        <w:continuationSeparator/>
      </w:r>
    </w:p>
  </w:footnote>
  <w:footnote w:id="1">
    <w:p w14:paraId="56D12554" w14:textId="4EDC70FE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Úř. věst. C, C/2024/4229, 24.7.2024, ELI: </w:t>
      </w:r>
      <w:hyperlink r:id="rId1" w:tgtFrame="http://data.europa.eu/eli/C/2024/4229/oj" w:history="1">
        <w:r w:rsidRPr="00BF0F54">
          <w:rPr>
            <w:rStyle w:val="Hyperlink"/>
            <w:sz w:val="24"/>
            <w:lang w:val="cs-CZ"/>
          </w:rPr>
          <w:t>http://data.europa.eu/eli/C/2024/4229/oj</w:t>
        </w:r>
      </w:hyperlink>
      <w:r w:rsidRPr="00BF0F54">
        <w:rPr>
          <w:sz w:val="24"/>
          <w:lang w:val="cs-CZ"/>
        </w:rPr>
        <w:t>.</w:t>
      </w:r>
    </w:p>
  </w:footnote>
  <w:footnote w:id="2">
    <w:p w14:paraId="3586F074" w14:textId="57BF2FA1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>Úř. věst. C 86, 6.3.2018, s. 126.</w:t>
      </w:r>
    </w:p>
  </w:footnote>
  <w:footnote w:id="3">
    <w:p w14:paraId="0D7467F5" w14:textId="262450AA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Úř. věst. C, C/2024/4215, 24.7.2024, ELI: </w:t>
      </w:r>
      <w:hyperlink r:id="rId2" w:tgtFrame="http://data.europa.eu/eli/C/2024/4215/oj" w:history="1">
        <w:r w:rsidRPr="00BF0F54">
          <w:rPr>
            <w:rStyle w:val="Hyperlink"/>
            <w:sz w:val="24"/>
            <w:lang w:val="cs-CZ"/>
          </w:rPr>
          <w:t>http://data.europa.eu/eli/C/2024/4215/oj</w:t>
        </w:r>
      </w:hyperlink>
      <w:r w:rsidRPr="00BF0F54">
        <w:rPr>
          <w:sz w:val="24"/>
          <w:lang w:val="cs-CZ"/>
        </w:rPr>
        <w:t>.</w:t>
      </w:r>
    </w:p>
  </w:footnote>
  <w:footnote w:id="4">
    <w:p w14:paraId="2142B71A" w14:textId="1ADF4A36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Úř. věst. L 123, 12.5.2016, s. 1, ELI: </w:t>
      </w:r>
      <w:hyperlink r:id="rId3" w:tgtFrame="http://data.europa.eu/eli/agree_interinstit/2016/512/oj" w:history="1">
        <w:r w:rsidRPr="00BF0F54">
          <w:rPr>
            <w:rStyle w:val="Hyperlink"/>
            <w:sz w:val="24"/>
            <w:lang w:val="cs-CZ"/>
          </w:rPr>
          <w:t>http://data.europa.eu/eli/agree_interinstit/2016/512/oj</w:t>
        </w:r>
      </w:hyperlink>
      <w:r w:rsidRPr="00BF0F54">
        <w:rPr>
          <w:sz w:val="24"/>
          <w:lang w:val="cs-CZ"/>
        </w:rPr>
        <w:t>.</w:t>
      </w:r>
    </w:p>
  </w:footnote>
  <w:footnote w:id="5">
    <w:p w14:paraId="174571BC" w14:textId="0E0D1900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Úř. věst. C, C/2025/4414, 29.8.2025, ELI: </w:t>
      </w:r>
      <w:hyperlink r:id="rId4" w:tgtFrame="http://data.europa.eu/eli/C/2025/4414/oj" w:history="1">
        <w:r w:rsidRPr="00BF0F54">
          <w:rPr>
            <w:rStyle w:val="Hyperlink"/>
            <w:sz w:val="24"/>
            <w:lang w:val="cs-CZ"/>
          </w:rPr>
          <w:t>http://data.europa.eu/eli/C/2025/4414/oj</w:t>
        </w:r>
      </w:hyperlink>
      <w:r w:rsidRPr="00BF0F54">
        <w:rPr>
          <w:sz w:val="24"/>
          <w:lang w:val="cs-CZ"/>
        </w:rPr>
        <w:t>.</w:t>
      </w:r>
    </w:p>
  </w:footnote>
  <w:footnote w:id="6">
    <w:p w14:paraId="10F49A6E" w14:textId="6270F35B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Úř. věst. L 328, 6.12.2008, s. 55, ELI: </w:t>
      </w:r>
      <w:hyperlink r:id="rId5" w:tgtFrame="http://data.europa.eu/eli/dec_framw/2008/913/oj" w:history="1">
        <w:r w:rsidRPr="00BF0F54">
          <w:rPr>
            <w:rStyle w:val="Hyperlink"/>
            <w:sz w:val="24"/>
            <w:lang w:val="cs-CZ"/>
          </w:rPr>
          <w:t>http://data.europa.eu/eli/dec_framw/2008/913/oj</w:t>
        </w:r>
      </w:hyperlink>
      <w:r w:rsidRPr="00BF0F54">
        <w:rPr>
          <w:sz w:val="24"/>
          <w:lang w:val="cs-CZ"/>
        </w:rPr>
        <w:t>.</w:t>
      </w:r>
    </w:p>
  </w:footnote>
  <w:footnote w:id="7">
    <w:p w14:paraId="20668187" w14:textId="359C0B90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 Rady (EU) 2022/2065 ze dne 19. října 2022 o jednotném trhu digitálních služeb a o změně směrnice 2000/31/ES (nařízení o digitálních službách) (Úř. věst. L 277, 27.10.2022, s. 1, ELI: </w:t>
      </w:r>
      <w:hyperlink r:id="rId6" w:tgtFrame="http://data.europa.eu/eli/reg/2022/2065/oj" w:history="1">
        <w:r w:rsidRPr="00BF0F54">
          <w:rPr>
            <w:rStyle w:val="Hyperlink"/>
            <w:sz w:val="24"/>
            <w:lang w:val="cs-CZ"/>
          </w:rPr>
          <w:t>http://data.europa.eu/eli/reg/2022/2065/oj</w:t>
        </w:r>
      </w:hyperlink>
      <w:r w:rsidRPr="00BF0F54">
        <w:rPr>
          <w:sz w:val="24"/>
          <w:lang w:val="cs-CZ"/>
        </w:rPr>
        <w:t>).</w:t>
      </w:r>
    </w:p>
  </w:footnote>
  <w:footnote w:id="8">
    <w:p w14:paraId="0B332240" w14:textId="719657D1" w:rsidR="003C3957" w:rsidRPr="000249D5" w:rsidRDefault="003C3957" w:rsidP="00BF0F54">
      <w:pPr>
        <w:pStyle w:val="FootnoteText"/>
        <w:ind w:left="567" w:hanging="567"/>
        <w:rPr>
          <w:sz w:val="24"/>
          <w:szCs w:val="24"/>
          <w:lang w:val="cs-CZ" w:eastAsia="en-US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>Sdělení Komise ze dne 11. února 2025 „Evropa jednodušší a rychlejší: Sdělení o provádění a zjednodušování</w:t>
      </w:r>
      <w:r w:rsidRPr="000249D5">
        <w:rPr>
          <w:sz w:val="24"/>
          <w:szCs w:val="24"/>
          <w:lang w:val="cs-CZ" w:eastAsia="en-US"/>
        </w:rPr>
        <w:t>“ (</w:t>
      </w:r>
      <w:hyperlink r:id="rId7" w:tgtFrame="https://eur-lex.europa.eu/legal-content/EN/ALL/?uri=CELEX:52025DC0047" w:history="1">
        <w:r w:rsidRPr="000249D5">
          <w:rPr>
            <w:sz w:val="24"/>
            <w:szCs w:val="24"/>
            <w:lang w:val="cs-CZ" w:eastAsia="en-US"/>
          </w:rPr>
          <w:t>COM(2025)0047</w:t>
        </w:r>
      </w:hyperlink>
      <w:r w:rsidRPr="000249D5">
        <w:rPr>
          <w:sz w:val="24"/>
          <w:szCs w:val="24"/>
          <w:lang w:val="cs-CZ" w:eastAsia="en-US"/>
        </w:rPr>
        <w:t>).</w:t>
      </w:r>
    </w:p>
  </w:footnote>
  <w:footnote w:id="9">
    <w:p w14:paraId="456C08D1" w14:textId="1F4BF973" w:rsidR="00914100" w:rsidRPr="006C3678" w:rsidRDefault="00914100" w:rsidP="006C3678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6C3678">
        <w:rPr>
          <w:lang w:val="cs-CZ"/>
        </w:rPr>
        <w:t xml:space="preserve"> </w:t>
      </w:r>
      <w:r>
        <w:rPr>
          <w:lang w:val="cs-CZ"/>
        </w:rPr>
        <w:tab/>
      </w:r>
      <w:r w:rsidRPr="006C3678">
        <w:rPr>
          <w:sz w:val="24"/>
          <w:szCs w:val="24"/>
          <w:lang w:val="cs-CZ"/>
        </w:rPr>
        <w:t xml:space="preserve">Směrnice Evropského parlamentu a Rady 2011/93/EU ze dne 13. prosince 2011 o boji proti pohlavnímu zneužívání a pohlavnímu vykořisťování dětí a proti dětské pornografii, kterou se nahrazuje rámcové rozhodnutí Rady 2004/68/SVV (Úř. věst. L 335, 17.12.2011, s. 1, </w:t>
      </w:r>
      <w:r>
        <w:rPr>
          <w:sz w:val="24"/>
          <w:szCs w:val="24"/>
          <w:lang w:val="cs-CZ"/>
        </w:rPr>
        <w:t xml:space="preserve">ELI: </w:t>
      </w:r>
      <w:hyperlink r:id="rId8" w:history="1">
        <w:r w:rsidRPr="006C3678">
          <w:rPr>
            <w:rStyle w:val="Hyperlink"/>
            <w:sz w:val="24"/>
            <w:szCs w:val="24"/>
            <w:lang w:val="fi-FI"/>
          </w:rPr>
          <w:t>http://data.europa.eu/eli/dir/2011/93/oj</w:t>
        </w:r>
      </w:hyperlink>
      <w:r w:rsidRPr="006C3678">
        <w:rPr>
          <w:sz w:val="24"/>
          <w:szCs w:val="24"/>
          <w:lang w:val="cs-CZ"/>
        </w:rPr>
        <w:t>).</w:t>
      </w:r>
    </w:p>
  </w:footnote>
  <w:footnote w:id="10">
    <w:p w14:paraId="566593BC" w14:textId="06C51FF5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>Evropský účetní dvůr, zvláštní zpráva 13/2024: „Čerpání finančních prostředků z Nástroje pro oživení a odolnost – Postupuje se zpožděním a přetrvávají rizika pro dokončení opatření, a tudíž dosažení cílů nástroje“, Úřad pro publikace Evropské unie, 2024.</w:t>
      </w:r>
    </w:p>
  </w:footnote>
  <w:footnote w:id="11">
    <w:p w14:paraId="48DAB7D5" w14:textId="08CE9FF9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Rozsudek Soudního dvora Evropské unie ze dne 11. listopadu 2025 </w:t>
      </w:r>
      <w:r w:rsidRPr="00BF0F54">
        <w:rPr>
          <w:i/>
          <w:sz w:val="24"/>
          <w:lang w:val="cs-CZ"/>
        </w:rPr>
        <w:t>Dánsko</w:t>
      </w:r>
      <w:r w:rsidRPr="00BF0F54">
        <w:rPr>
          <w:sz w:val="24"/>
          <w:lang w:val="cs-CZ"/>
        </w:rPr>
        <w:t xml:space="preserve"> v. </w:t>
      </w:r>
      <w:r w:rsidRPr="00BF0F54">
        <w:rPr>
          <w:i/>
          <w:sz w:val="24"/>
          <w:lang w:val="cs-CZ"/>
        </w:rPr>
        <w:t>Evropský parlament a Rada</w:t>
      </w:r>
      <w:r w:rsidRPr="00BF0F54">
        <w:rPr>
          <w:sz w:val="24"/>
          <w:lang w:val="cs-CZ"/>
        </w:rPr>
        <w:t>, věc C-19/23, ECLI:EU:C:2025:865;</w:t>
      </w:r>
    </w:p>
  </w:footnote>
  <w:footnote w:id="12">
    <w:p w14:paraId="1A9AAEE6" w14:textId="31B17B65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 Rady (EU) 2022/2041 ze dne 19. října 2022 o přiměřených minimálních mzdách v Evropské unii (Úř. věst. L 275, 25.10.2022, s. 33, ELI: </w:t>
      </w:r>
      <w:hyperlink r:id="rId9" w:tgtFrame="http://data.europa.eu/eli/dir/2022/2041/oj" w:history="1">
        <w:r w:rsidRPr="00BF0F54">
          <w:rPr>
            <w:rStyle w:val="Hyperlink"/>
            <w:sz w:val="24"/>
            <w:lang w:val="cs-CZ"/>
          </w:rPr>
          <w:t>http://data.europa.eu/eli/dir/2022/2041/oj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3">
    <w:p w14:paraId="33E0627E" w14:textId="51C3D931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 Rady (EU) 2023/1791 ze dne 13. září 2023 o energetické účinnosti a o změně nařízení (EU) 2023/955 (Úř. věst. L 231, 20.9.2023, s. 1, ELI: </w:t>
      </w:r>
      <w:hyperlink r:id="rId10" w:tgtFrame="http://data.europa.eu/eli/dir/2023/1791/oj" w:history="1">
        <w:r w:rsidRPr="00BF0F54">
          <w:rPr>
            <w:rStyle w:val="Hyperlink"/>
            <w:sz w:val="24"/>
            <w:lang w:val="cs-CZ"/>
          </w:rPr>
          <w:t>http://data.europa.eu/eli/dir/2023/1791/oj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4">
    <w:p w14:paraId="29C338C0" w14:textId="3ABDEB2C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 Rady (EU) 2023/2413 ze dne 18. října 2023, kterou se mění směrnice (EU) 2018/2001, nařízení (EU) 2018/1999 a směrnice 98/70/ES, pokud jde o podporu energie z obnovitelných zdrojů, a zrušuje směrnice Rady (EU) 2015/652 (Úř. věst. L, 2023/2413, 31.10.2023, ELI: </w:t>
      </w:r>
      <w:hyperlink r:id="rId11" w:tgtFrame="http://data.europa.eu/eli/dir/2023/2413/oj" w:history="1">
        <w:r w:rsidRPr="00BF0F54">
          <w:rPr>
            <w:rStyle w:val="Hyperlink"/>
            <w:sz w:val="24"/>
            <w:lang w:val="cs-CZ"/>
          </w:rPr>
          <w:t>http://data.europa.eu/eli/dir/2023/2413/oj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5">
    <w:p w14:paraId="4740BC21" w14:textId="7039407F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 Rady (EU) 2024/1275 ze dne 24. dubna 2024 o energetické náročnosti budov (Úř. věst. L, 2024/1275, 8.5.2024, ELI: </w:t>
      </w:r>
      <w:hyperlink r:id="rId12" w:tgtFrame="http://data.europa.eu/eli/dir/2024/1275/oj" w:history="1">
        <w:r w:rsidRPr="00BF0F54">
          <w:rPr>
            <w:rStyle w:val="Hyperlink"/>
            <w:sz w:val="24"/>
            <w:lang w:val="cs-CZ"/>
          </w:rPr>
          <w:t>http://data.europa.eu/eli/dir/2024/1275/oj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6">
    <w:p w14:paraId="2FC04B3F" w14:textId="35AB78A1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 Rady (EU) 2022/869 ze dne 30. května 2022, kterým se stanoví hlavní směry pro transevropské energetické sítě, mění nařízení (ES) č. 715/2009, (EU) 2019/942 a (EU) 2019/943 a směrnice 2009/73/ES a (EU) 2019/944 a zrušuje nařízení (EU) č. 347/2013 (Úř. věst. L 152, 3.6.2022, s. 45, ELI: </w:t>
      </w:r>
      <w:hyperlink r:id="rId13" w:tgtFrame="http://data.europa.eu/eli/reg/2022/869/oj" w:history="1">
        <w:r w:rsidRPr="00BF0F54">
          <w:rPr>
            <w:rStyle w:val="Hyperlink"/>
            <w:sz w:val="24"/>
            <w:lang w:val="cs-CZ"/>
          </w:rPr>
          <w:t>http://data.europa.eu/eli/reg/2022/869/oj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7">
    <w:p w14:paraId="1C530C46" w14:textId="290F27CC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 Rady (EU) 2018/1999 ze dne 11. prosince 2018 o správě energetické unie a opatření v oblasti klimatu, kterým se mění nařízení Evropského parlamentu a Rady (ES) č. 663/2009 a (ES) č. 715/2009, směrnice Evropského parlamentu a Rady 94/22/ES, 98/70/ES, 2009/31/ES, 2009/73/ES, 2010/31/EU, 2012/27/EU a 2013/30/EU, směrnice Rady 2009/119/ES a (EU) 2015/652 a zrušuje nařízení Evropského parlamentu a Rady (EU) č. 525/2013 (Úř. věst. L 328, 21.12.2018, s. 1, ELI: </w:t>
      </w:r>
      <w:hyperlink r:id="rId14" w:tgtFrame="http://data.europa.eu/eli/reg/2018/1999/oj" w:history="1">
        <w:r w:rsidRPr="00BF0F54">
          <w:rPr>
            <w:rStyle w:val="Hyperlink"/>
            <w:sz w:val="24"/>
            <w:lang w:val="cs-CZ"/>
          </w:rPr>
          <w:t>http://data.europa.eu/eli/reg/2018/1999/oj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8">
    <w:p w14:paraId="17E38DC8" w14:textId="39688FBE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 Rady (EU, Euratom) 2024/2509 ze dne 23. září 2024, kterým se stanoví finanční pravidla pro souhrnný rozpočet Unie (Úř. věst. L, 2024/2509, 26.9.2024, ELI: </w:t>
      </w:r>
      <w:hyperlink r:id="rId15" w:tgtFrame="http://data.europa.eu/eli/reg/2024/2509/oj" w:history="1">
        <w:r w:rsidRPr="00BF0F54">
          <w:rPr>
            <w:rStyle w:val="Hyperlink"/>
            <w:sz w:val="24"/>
            <w:lang w:val="cs-CZ"/>
          </w:rPr>
          <w:t>http://data.europa.eu/eli/reg/2024/2509/oj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19">
    <w:p w14:paraId="415D03D4" w14:textId="59A5EB3A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 Rady (EU) 2024/1083 ze dne 11. dubna 2024, kterým se stanoví společný rámec pro mediální služby na vnitřním trhu a mění směrnice 2010/13/EU (Evropský akt o svobodě médií), </w:t>
      </w:r>
      <w:r>
        <w:rPr>
          <w:sz w:val="24"/>
          <w:lang w:val="cs-CZ"/>
        </w:rPr>
        <w:t>(</w:t>
      </w:r>
      <w:r w:rsidRPr="00BF0F54">
        <w:rPr>
          <w:sz w:val="24"/>
          <w:lang w:val="cs-CZ"/>
        </w:rPr>
        <w:t xml:space="preserve">Úř. věst. L, 2024/1083, 17.4.2024, ELI: </w:t>
      </w:r>
      <w:hyperlink r:id="rId16" w:tgtFrame="http://data.europa.eu/eli/reg/2024/1083/oj" w:history="1">
        <w:r w:rsidRPr="00BF0F54">
          <w:rPr>
            <w:rStyle w:val="Hyperlink"/>
            <w:sz w:val="24"/>
            <w:lang w:val="cs-CZ"/>
          </w:rPr>
          <w:t>http://data.europa.eu/eli/reg/2024/1083/oj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20">
    <w:p w14:paraId="1CCD373D" w14:textId="77FE9626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Nařízení Evropského parlamentu a Rady (EU) 2021/818 ze dne 20. května 2021, kterým se zavádí program Kreativní Evropa (2021–2027) a zrušuje nařízení (EU) č. 1295/2013 (Úř. věst. L 189, 28.5.2021, s. 34, ELI: </w:t>
      </w:r>
      <w:hyperlink r:id="rId17" w:tgtFrame="http://data.europa.eu/eli/reg/2021/818/oj" w:history="1">
        <w:r w:rsidRPr="00BF0F54">
          <w:rPr>
            <w:rStyle w:val="Hyperlink"/>
            <w:sz w:val="24"/>
            <w:lang w:val="cs-CZ"/>
          </w:rPr>
          <w:t>http://data.europa.eu/eli/reg/2021/818/oj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21">
    <w:p w14:paraId="023C90AF" w14:textId="4A72618F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 Rady (EU) 2018/1808 ze dne 14. listopadu 2018, kterou se mění směrnice 2010/13/EU o koordinaci některých právních a správních předpisů členských států upravujících poskytování audiovizuálních mediálních služeb (směrnice o audiovizuálních mediálních službách) s ohledem na měnící se situaci na trhu (Úř. věst. L 303, 28.11.2018, s. 69, ELI: </w:t>
      </w:r>
      <w:hyperlink r:id="rId18" w:tgtFrame="http://data.europa.eu/eli/dir/2018/1808/oj" w:history="1">
        <w:r w:rsidRPr="00BF0F54">
          <w:rPr>
            <w:rStyle w:val="Hyperlink"/>
            <w:sz w:val="24"/>
            <w:lang w:val="cs-CZ"/>
          </w:rPr>
          <w:t>http://data.europa.eu/eli/dir/2018/1808/oj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  <w:footnote w:id="22">
    <w:p w14:paraId="53F8749D" w14:textId="0DED9949" w:rsidR="003C3957" w:rsidRPr="00BF0F54" w:rsidRDefault="003C3957" w:rsidP="00BF0F54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BF0F54">
        <w:rPr>
          <w:sz w:val="24"/>
          <w:vertAlign w:val="superscript"/>
          <w:lang w:val="cs-CZ"/>
        </w:rPr>
        <w:t xml:space="preserve"> </w:t>
      </w:r>
      <w:r w:rsidRPr="00BF0F54">
        <w:rPr>
          <w:sz w:val="24"/>
          <w:vertAlign w:val="superscript"/>
          <w:lang w:val="cs-CZ"/>
        </w:rPr>
        <w:tab/>
      </w:r>
      <w:r w:rsidRPr="00BF0F54">
        <w:rPr>
          <w:sz w:val="24"/>
          <w:lang w:val="cs-CZ"/>
        </w:rPr>
        <w:t xml:space="preserve">Směrnice Evropského parlamentu a Rady (EU) 2019/882 ze dne 17. dubna 2019 o požadavcích na přístupnost u výrobků a služeb (Úř. věst. L 151, 7.6.2019, s. 70, ELI: </w:t>
      </w:r>
      <w:hyperlink r:id="rId19" w:tgtFrame="http://data.europa.eu/eli/dir/2019/882/oj" w:history="1">
        <w:r w:rsidRPr="00BF0F54">
          <w:rPr>
            <w:rStyle w:val="Hyperlink"/>
            <w:sz w:val="24"/>
            <w:lang w:val="cs-CZ"/>
          </w:rPr>
          <w:t>http://data.europa.eu/eli/dir/2019/882/oj</w:t>
        </w:r>
      </w:hyperlink>
      <w:r w:rsidRPr="00BF0F54">
        <w:rPr>
          <w:rStyle w:val="Hyperlink"/>
          <w:sz w:val="24"/>
          <w:lang w:val="cs-CZ"/>
        </w:rPr>
        <w:t>)</w:t>
      </w:r>
      <w:r w:rsidRPr="00BF0F5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FBD4" w14:textId="77777777" w:rsidR="00064002" w:rsidRPr="00BF0F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860A" w14:textId="77777777" w:rsidR="00064002" w:rsidRPr="00BF0F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8C05" w14:textId="77777777" w:rsidR="00064002" w:rsidRPr="00BF0F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1531220">
    <w:abstractNumId w:val="9"/>
  </w:num>
  <w:num w:numId="2" w16cid:durableId="1583567686">
    <w:abstractNumId w:val="9"/>
  </w:num>
  <w:num w:numId="3" w16cid:durableId="1553226532">
    <w:abstractNumId w:val="7"/>
  </w:num>
  <w:num w:numId="4" w16cid:durableId="75978429">
    <w:abstractNumId w:val="7"/>
  </w:num>
  <w:num w:numId="5" w16cid:durableId="325864545">
    <w:abstractNumId w:val="6"/>
  </w:num>
  <w:num w:numId="6" w16cid:durableId="846284001">
    <w:abstractNumId w:val="6"/>
  </w:num>
  <w:num w:numId="7" w16cid:durableId="348222784">
    <w:abstractNumId w:val="5"/>
  </w:num>
  <w:num w:numId="8" w16cid:durableId="1194222288">
    <w:abstractNumId w:val="5"/>
  </w:num>
  <w:num w:numId="9" w16cid:durableId="833029333">
    <w:abstractNumId w:val="4"/>
  </w:num>
  <w:num w:numId="10" w16cid:durableId="1072387251">
    <w:abstractNumId w:val="4"/>
  </w:num>
  <w:num w:numId="11" w16cid:durableId="1082140013">
    <w:abstractNumId w:val="8"/>
  </w:num>
  <w:num w:numId="12" w16cid:durableId="1609703656">
    <w:abstractNumId w:val="8"/>
  </w:num>
  <w:num w:numId="13" w16cid:durableId="1876503635">
    <w:abstractNumId w:val="3"/>
  </w:num>
  <w:num w:numId="14" w16cid:durableId="62415973">
    <w:abstractNumId w:val="3"/>
  </w:num>
  <w:num w:numId="15" w16cid:durableId="1026249683">
    <w:abstractNumId w:val="2"/>
  </w:num>
  <w:num w:numId="16" w16cid:durableId="182599143">
    <w:abstractNumId w:val="2"/>
  </w:num>
  <w:num w:numId="17" w16cid:durableId="1528325165">
    <w:abstractNumId w:val="1"/>
  </w:num>
  <w:num w:numId="18" w16cid:durableId="1688823085">
    <w:abstractNumId w:val="1"/>
  </w:num>
  <w:num w:numId="19" w16cid:durableId="173300118">
    <w:abstractNumId w:val="0"/>
  </w:num>
  <w:num w:numId="20" w16cid:durableId="1311054502">
    <w:abstractNumId w:val="0"/>
  </w:num>
  <w:num w:numId="21" w16cid:durableId="700279561">
    <w:abstractNumId w:val="9"/>
  </w:num>
  <w:num w:numId="22" w16cid:durableId="485241881">
    <w:abstractNumId w:val="7"/>
  </w:num>
  <w:num w:numId="23" w16cid:durableId="541749979">
    <w:abstractNumId w:val="6"/>
  </w:num>
  <w:num w:numId="24" w16cid:durableId="543325224">
    <w:abstractNumId w:val="5"/>
  </w:num>
  <w:num w:numId="25" w16cid:durableId="1218275968">
    <w:abstractNumId w:val="4"/>
  </w:num>
  <w:num w:numId="26" w16cid:durableId="131989504">
    <w:abstractNumId w:val="8"/>
  </w:num>
  <w:num w:numId="27" w16cid:durableId="1471554736">
    <w:abstractNumId w:val="3"/>
  </w:num>
  <w:num w:numId="28" w16cid:durableId="1955206928">
    <w:abstractNumId w:val="2"/>
  </w:num>
  <w:num w:numId="29" w16cid:durableId="483856237">
    <w:abstractNumId w:val="1"/>
  </w:num>
  <w:num w:numId="30" w16cid:durableId="399139645">
    <w:abstractNumId w:val="0"/>
  </w:num>
  <w:num w:numId="31" w16cid:durableId="723989666">
    <w:abstractNumId w:val="9"/>
  </w:num>
  <w:num w:numId="32" w16cid:durableId="375741976">
    <w:abstractNumId w:val="7"/>
  </w:num>
  <w:num w:numId="33" w16cid:durableId="62610396">
    <w:abstractNumId w:val="6"/>
  </w:num>
  <w:num w:numId="34" w16cid:durableId="579296885">
    <w:abstractNumId w:val="5"/>
  </w:num>
  <w:num w:numId="35" w16cid:durableId="1007362636">
    <w:abstractNumId w:val="4"/>
  </w:num>
  <w:num w:numId="36" w16cid:durableId="2130736495">
    <w:abstractNumId w:val="8"/>
  </w:num>
  <w:num w:numId="37" w16cid:durableId="1031106004">
    <w:abstractNumId w:val="3"/>
  </w:num>
  <w:num w:numId="38" w16cid:durableId="1543591407">
    <w:abstractNumId w:val="2"/>
  </w:num>
  <w:num w:numId="39" w16cid:durableId="744835331">
    <w:abstractNumId w:val="1"/>
  </w:num>
  <w:num w:numId="40" w16cid:durableId="333458770">
    <w:abstractNumId w:val="0"/>
  </w:num>
  <w:num w:numId="41" w16cid:durableId="859203230">
    <w:abstractNumId w:val="10"/>
  </w:num>
  <w:num w:numId="42" w16cid:durableId="1242373752">
    <w:abstractNumId w:val="10"/>
  </w:num>
  <w:num w:numId="43" w16cid:durableId="521749552">
    <w:abstractNumId w:val="10"/>
  </w:num>
  <w:num w:numId="44" w16cid:durableId="446507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7/2026"/>
    <w:docVar w:name="dvlangue" w:val="CS"/>
    <w:docVar w:name="dvnumam" w:val="14"/>
    <w:docVar w:name="dvpe" w:val="778.115"/>
    <w:docVar w:name="dvrapporteur" w:val="Zpravodaj: "/>
    <w:docVar w:name="dvtitre" w:val="Usnesení Evropského parlamentu ze dne.... 2026 o kontrole uplatňování práva Evropské unie v letech 2023 a 2024(2025/2016(INI))"/>
  </w:docVars>
  <w:rsids>
    <w:rsidRoot w:val="00CD7DAB"/>
    <w:rsid w:val="00002272"/>
    <w:rsid w:val="000249D5"/>
    <w:rsid w:val="00064002"/>
    <w:rsid w:val="000677B9"/>
    <w:rsid w:val="000831BA"/>
    <w:rsid w:val="000A42CC"/>
    <w:rsid w:val="000E7DD9"/>
    <w:rsid w:val="0010095E"/>
    <w:rsid w:val="00125B37"/>
    <w:rsid w:val="00187494"/>
    <w:rsid w:val="001A20CF"/>
    <w:rsid w:val="001F32AE"/>
    <w:rsid w:val="002767FF"/>
    <w:rsid w:val="002B18FE"/>
    <w:rsid w:val="002B5493"/>
    <w:rsid w:val="00343214"/>
    <w:rsid w:val="00361C00"/>
    <w:rsid w:val="00395FA1"/>
    <w:rsid w:val="003C3957"/>
    <w:rsid w:val="003D38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D39"/>
    <w:rsid w:val="005C2568"/>
    <w:rsid w:val="005F1B17"/>
    <w:rsid w:val="006037C0"/>
    <w:rsid w:val="006631B6"/>
    <w:rsid w:val="00680577"/>
    <w:rsid w:val="006B4858"/>
    <w:rsid w:val="006C36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10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F54"/>
    <w:rsid w:val="00C05BFE"/>
    <w:rsid w:val="00C23CD4"/>
    <w:rsid w:val="00C61C0C"/>
    <w:rsid w:val="00C941CB"/>
    <w:rsid w:val="00CC2357"/>
    <w:rsid w:val="00CD7DAB"/>
    <w:rsid w:val="00CF071A"/>
    <w:rsid w:val="00D058B8"/>
    <w:rsid w:val="00D56C11"/>
    <w:rsid w:val="00D834A0"/>
    <w:rsid w:val="00D872DF"/>
    <w:rsid w:val="00D91E21"/>
    <w:rsid w:val="00DA7FCD"/>
    <w:rsid w:val="00E03B83"/>
    <w:rsid w:val="00E365E1"/>
    <w:rsid w:val="00E820A4"/>
    <w:rsid w:val="00EB006A"/>
    <w:rsid w:val="00EB4772"/>
    <w:rsid w:val="00EC0A14"/>
    <w:rsid w:val="00ED169E"/>
    <w:rsid w:val="00ED4235"/>
    <w:rsid w:val="00F04346"/>
    <w:rsid w:val="00F075DC"/>
    <w:rsid w:val="00F149E9"/>
    <w:rsid w:val="00F5134D"/>
    <w:rsid w:val="00F5464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91027"/>
  <w15:chartTrackingRefBased/>
  <w15:docId w15:val="{BAD6DBF3-C3DE-4D29-BB4A-6748B532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C0A1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C0A1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C0A1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C0A1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C0A1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uiPriority w:val="99"/>
    <w:rsid w:val="00EC0A14"/>
    <w:rPr>
      <w:color w:val="0000FF"/>
      <w:u w:val="single"/>
    </w:rPr>
  </w:style>
  <w:style w:type="paragraph" w:styleId="Revision">
    <w:name w:val="Revision"/>
    <w:hidden/>
    <w:uiPriority w:val="99"/>
    <w:semiHidden/>
    <w:rsid w:val="003C3957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914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CS/ALL/?uri=CELEX:52025DC0047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DC004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r-lex.europa.eu/legal-content/CS/ALL/?uri=CELEX:52025DC050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4DC0358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1/93/oj" TargetMode="External"/><Relationship Id="rId13" Type="http://schemas.openxmlformats.org/officeDocument/2006/relationships/hyperlink" Target="http://data.europa.eu/eli/reg/2022/869/oj" TargetMode="External"/><Relationship Id="rId18" Type="http://schemas.openxmlformats.org/officeDocument/2006/relationships/hyperlink" Target="http://data.europa.eu/eli/dir/2018/1808/oj" TargetMode="External"/><Relationship Id="rId3" Type="http://schemas.openxmlformats.org/officeDocument/2006/relationships/hyperlink" Target="http://data.europa.eu/eli/agree_interinstit/2016/512/oj" TargetMode="External"/><Relationship Id="rId7" Type="http://schemas.openxmlformats.org/officeDocument/2006/relationships/hyperlink" Target="https://eur-lex.europa.eu/legal-content/CS/ALL/?uri=CELEX:52025DC0047" TargetMode="External"/><Relationship Id="rId12" Type="http://schemas.openxmlformats.org/officeDocument/2006/relationships/hyperlink" Target="http://data.europa.eu/eli/dir/2024/1275/oj" TargetMode="External"/><Relationship Id="rId17" Type="http://schemas.openxmlformats.org/officeDocument/2006/relationships/hyperlink" Target="http://data.europa.eu/eli/reg/2021/818/oj" TargetMode="External"/><Relationship Id="rId2" Type="http://schemas.openxmlformats.org/officeDocument/2006/relationships/hyperlink" Target="http://data.europa.eu/eli/C/2024/4215/oj" TargetMode="External"/><Relationship Id="rId16" Type="http://schemas.openxmlformats.org/officeDocument/2006/relationships/hyperlink" Target="http://data.europa.eu/eli/reg/2024/1083/oj" TargetMode="External"/><Relationship Id="rId1" Type="http://schemas.openxmlformats.org/officeDocument/2006/relationships/hyperlink" Target="http://data.europa.eu/eli/C/2024/4229/oj" TargetMode="External"/><Relationship Id="rId6" Type="http://schemas.openxmlformats.org/officeDocument/2006/relationships/hyperlink" Target="http://data.europa.eu/eli/reg/2022/2065/oj" TargetMode="External"/><Relationship Id="rId11" Type="http://schemas.openxmlformats.org/officeDocument/2006/relationships/hyperlink" Target="http://data.europa.eu/eli/dir/2023/2413/oj" TargetMode="External"/><Relationship Id="rId5" Type="http://schemas.openxmlformats.org/officeDocument/2006/relationships/hyperlink" Target="http://data.europa.eu/eli/dec_framw/2008/913/oj" TargetMode="Externa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yperlink" Target="http://data.europa.eu/eli/dir/2023/1791/oj" TargetMode="External"/><Relationship Id="rId19" Type="http://schemas.openxmlformats.org/officeDocument/2006/relationships/hyperlink" Target="http://data.europa.eu/eli/dir/2019/882/oj" TargetMode="External"/><Relationship Id="rId4" Type="http://schemas.openxmlformats.org/officeDocument/2006/relationships/hyperlink" Target="http://data.europa.eu/eli/C/2025/4414/oj" TargetMode="External"/><Relationship Id="rId9" Type="http://schemas.openxmlformats.org/officeDocument/2006/relationships/hyperlink" Target="http://data.europa.eu/eli/dir/2022/2041/oj" TargetMode="External"/><Relationship Id="rId14" Type="http://schemas.openxmlformats.org/officeDocument/2006/relationships/hyperlink" Target="http://data.europa.eu/eli/reg/2018/19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7299</Words>
  <Characters>44514</Characters>
  <Application>Microsoft Office Word</Application>
  <DocSecurity>0</DocSecurity>
  <Lines>370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2026-06-05T07:44:00Z</dcterms:created>
  <dcterms:modified xsi:type="dcterms:W3CDTF">2026-06-05T07:44:00Z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A10-0037/2026</vt:lpwstr>
  </property>
  <property fmtid="{D5CDD505-2E9C-101B-9397-08002B2CF9AE}" pid="4" name="&lt;Type&gt;">
    <vt:lpwstr>RR</vt:lpwstr>
  </property>
</Properties>
</file>