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C1E56" w14:paraId="29B3C123" w14:textId="77777777" w:rsidTr="0010095E">
        <w:trPr>
          <w:trHeight w:hRule="exact" w:val="1418"/>
        </w:trPr>
        <w:tc>
          <w:tcPr>
            <w:tcW w:w="6804" w:type="dxa"/>
            <w:shd w:val="clear" w:color="auto" w:fill="auto"/>
            <w:vAlign w:val="center"/>
          </w:tcPr>
          <w:p w14:paraId="26F2882B" w14:textId="77777777" w:rsidR="00751A4A" w:rsidRPr="000C1E56" w:rsidRDefault="001B50DF" w:rsidP="0010095E">
            <w:pPr>
              <w:pStyle w:val="EPName"/>
            </w:pPr>
            <w:r w:rsidRPr="000C1E56">
              <w:t>Ευρωπαϊκό Κοινοβούλιο</w:t>
            </w:r>
          </w:p>
          <w:p w14:paraId="415E9E7B" w14:textId="77777777" w:rsidR="00751A4A" w:rsidRPr="000C1E56" w:rsidRDefault="005F1B17" w:rsidP="005F1B17">
            <w:pPr>
              <w:pStyle w:val="EPTerm"/>
              <w:rPr>
                <w:rStyle w:val="HideTWBExt"/>
                <w:noProof w:val="0"/>
                <w:vanish w:val="0"/>
                <w:color w:val="auto"/>
              </w:rPr>
            </w:pPr>
            <w:r w:rsidRPr="000C1E56">
              <w:t>2024</w:t>
            </w:r>
            <w:r w:rsidR="00817416" w:rsidRPr="000C1E56">
              <w:t>-202</w:t>
            </w:r>
            <w:r w:rsidRPr="000C1E56">
              <w:t>9</w:t>
            </w:r>
          </w:p>
        </w:tc>
        <w:tc>
          <w:tcPr>
            <w:tcW w:w="2268" w:type="dxa"/>
            <w:shd w:val="clear" w:color="auto" w:fill="auto"/>
          </w:tcPr>
          <w:p w14:paraId="65F2ABC0" w14:textId="77777777" w:rsidR="00751A4A" w:rsidRPr="000C1E56" w:rsidRDefault="00187494" w:rsidP="0010095E">
            <w:pPr>
              <w:pStyle w:val="EPLogo"/>
            </w:pPr>
            <w:r w:rsidRPr="000C1E56">
              <w:rPr>
                <w:noProof/>
                <w:lang w:eastAsia="ja-JP"/>
              </w:rPr>
              <w:drawing>
                <wp:inline distT="0" distB="0" distL="0" distR="0" wp14:anchorId="4787C909" wp14:editId="3F38272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0053421" w14:textId="77777777" w:rsidR="00D058B8" w:rsidRPr="000C1E56" w:rsidRDefault="00D058B8" w:rsidP="004C5D52">
      <w:pPr>
        <w:pStyle w:val="LineTop"/>
      </w:pPr>
    </w:p>
    <w:p w14:paraId="12ADBCB8" w14:textId="77777777" w:rsidR="00680577" w:rsidRPr="000C1E56" w:rsidRDefault="001B50DF" w:rsidP="00680577">
      <w:pPr>
        <w:pStyle w:val="EPBodyTA1"/>
      </w:pPr>
      <w:r w:rsidRPr="000C1E56">
        <w:t>ΚΕΙΜΕΝΑ ΠΟΥ ΕΓΚΡΙΘΗΚΑΝ</w:t>
      </w:r>
    </w:p>
    <w:p w14:paraId="2E2D9385" w14:textId="77777777" w:rsidR="00D058B8" w:rsidRPr="000C1E56" w:rsidRDefault="00D058B8" w:rsidP="00D058B8">
      <w:pPr>
        <w:pStyle w:val="LineBottom"/>
      </w:pPr>
    </w:p>
    <w:p w14:paraId="25812365" w14:textId="1526CBE5" w:rsidR="001B50DF" w:rsidRPr="000C1E56" w:rsidRDefault="001B50DF" w:rsidP="001B50DF">
      <w:pPr>
        <w:pStyle w:val="ATHeading1"/>
      </w:pPr>
      <w:bookmarkStart w:id="0" w:name="TANumber"/>
      <w:r w:rsidRPr="000C1E56">
        <w:t>P10_TA(2026)0</w:t>
      </w:r>
      <w:r w:rsidR="00211FA8" w:rsidRPr="000C1E56">
        <w:t>148</w:t>
      </w:r>
      <w:bookmarkEnd w:id="0"/>
    </w:p>
    <w:p w14:paraId="66379781" w14:textId="0748CD93" w:rsidR="001B50DF" w:rsidRPr="000C1E56" w:rsidRDefault="00AC5414" w:rsidP="001B50DF">
      <w:pPr>
        <w:pStyle w:val="ATHeading2"/>
      </w:pPr>
      <w:bookmarkStart w:id="1" w:name="title"/>
      <w:r w:rsidRPr="000C1E56">
        <w:t>Παρακολούθηση της εφαρμογής του δικαίου της Ευρωπαϊκής Ένωσης για τα έτη 2023, 2024 και 2025</w:t>
      </w:r>
      <w:bookmarkEnd w:id="1"/>
    </w:p>
    <w:p w14:paraId="7DBC2A71" w14:textId="77777777" w:rsidR="001B50DF" w:rsidRPr="000C1E56" w:rsidRDefault="001B50DF" w:rsidP="001B50DF">
      <w:pPr>
        <w:rPr>
          <w:i/>
          <w:vanish/>
        </w:rPr>
      </w:pPr>
      <w:r w:rsidRPr="000C1E56">
        <w:rPr>
          <w:i/>
        </w:rPr>
        <w:fldChar w:fldCharType="begin"/>
      </w:r>
      <w:r w:rsidRPr="000C1E56">
        <w:rPr>
          <w:i/>
        </w:rPr>
        <w:instrText xml:space="preserve"> TC"(</w:instrText>
      </w:r>
      <w:bookmarkStart w:id="2" w:name="DocNumber"/>
      <w:r w:rsidRPr="000C1E56">
        <w:rPr>
          <w:i/>
        </w:rPr>
        <w:instrText>A10-0037/2026</w:instrText>
      </w:r>
      <w:bookmarkEnd w:id="2"/>
      <w:r w:rsidRPr="000C1E56">
        <w:rPr>
          <w:i/>
        </w:rPr>
        <w:instrText xml:space="preserve"> - Εισηγητής: Dainius Žalimas)"\l3 \n&gt; \* MERGEFORMAT </w:instrText>
      </w:r>
      <w:r w:rsidRPr="000C1E56">
        <w:rPr>
          <w:i/>
        </w:rPr>
        <w:fldChar w:fldCharType="end"/>
      </w:r>
    </w:p>
    <w:p w14:paraId="36B5378C" w14:textId="77777777" w:rsidR="001B50DF" w:rsidRPr="000C1E56" w:rsidRDefault="001B50DF" w:rsidP="001B50DF">
      <w:pPr>
        <w:rPr>
          <w:vanish/>
        </w:rPr>
      </w:pPr>
      <w:bookmarkStart w:id="3" w:name="Commission"/>
      <w:r w:rsidRPr="000C1E56">
        <w:rPr>
          <w:vanish/>
        </w:rPr>
        <w:t>Επιτροπή Νομικών Θεμάτων</w:t>
      </w:r>
      <w:bookmarkEnd w:id="3"/>
    </w:p>
    <w:p w14:paraId="6120D17F" w14:textId="77777777" w:rsidR="001B50DF" w:rsidRPr="000C1E56" w:rsidRDefault="001B50DF" w:rsidP="001B50DF">
      <w:pPr>
        <w:rPr>
          <w:vanish/>
        </w:rPr>
      </w:pPr>
      <w:bookmarkStart w:id="4" w:name="PE"/>
      <w:r w:rsidRPr="000C1E56">
        <w:rPr>
          <w:vanish/>
        </w:rPr>
        <w:t>PE778.115</w:t>
      </w:r>
      <w:bookmarkEnd w:id="4"/>
    </w:p>
    <w:p w14:paraId="4311D498" w14:textId="58E4AF2F" w:rsidR="001B50DF" w:rsidRPr="000C1E56" w:rsidRDefault="001B50DF" w:rsidP="001B50DF">
      <w:pPr>
        <w:pStyle w:val="ATHeading3"/>
      </w:pPr>
      <w:bookmarkStart w:id="5" w:name="Sujet"/>
      <w:r w:rsidRPr="000C1E56">
        <w:t xml:space="preserve">Ψήφισμα του Ευρωπαϊκού Κοινοβουλίου της </w:t>
      </w:r>
      <w:r w:rsidR="00D17057" w:rsidRPr="000C1E56">
        <w:t>29</w:t>
      </w:r>
      <w:r w:rsidR="00AF3FCC" w:rsidRPr="000C1E56">
        <w:t>ης Απριλίου</w:t>
      </w:r>
      <w:r w:rsidRPr="000C1E56">
        <w:t xml:space="preserve"> 2026 σχετικά με την παρακολούθηση της εφαρμογής του δικαίου της Ευρωπαϊκής Ένωσης για τα έτη 2023, 2024 και 2025</w:t>
      </w:r>
      <w:bookmarkEnd w:id="5"/>
      <w:r w:rsidRPr="000C1E56">
        <w:t xml:space="preserve"> </w:t>
      </w:r>
      <w:bookmarkStart w:id="6" w:name="References"/>
      <w:r w:rsidRPr="000C1E56">
        <w:t>(2025/2016(INI))</w:t>
      </w:r>
      <w:bookmarkEnd w:id="6"/>
    </w:p>
    <w:p w14:paraId="3EA7DDCE" w14:textId="77777777" w:rsidR="00127EEE" w:rsidRPr="000C1E56" w:rsidRDefault="00127EEE" w:rsidP="00127EEE">
      <w:pPr>
        <w:pStyle w:val="NormalBold12a"/>
      </w:pPr>
    </w:p>
    <w:p w14:paraId="48F4F490" w14:textId="77777777" w:rsidR="00127EEE" w:rsidRPr="000C1E56" w:rsidRDefault="00127EEE" w:rsidP="00127EEE">
      <w:pPr>
        <w:pStyle w:val="Normal12"/>
      </w:pPr>
      <w:r w:rsidRPr="000C1E56">
        <w:rPr>
          <w:i/>
        </w:rPr>
        <w:t>Το Ευρωπαϊκό Κοινοβούλιο</w:t>
      </w:r>
      <w:r w:rsidRPr="000C1E56">
        <w:t>,</w:t>
      </w:r>
    </w:p>
    <w:p w14:paraId="78571226" w14:textId="77777777" w:rsidR="00127EEE" w:rsidRPr="000C1E56" w:rsidRDefault="00127EEE" w:rsidP="00AF3FCC">
      <w:pPr>
        <w:pStyle w:val="NormalHanging"/>
        <w:ind w:left="567" w:hanging="567"/>
      </w:pPr>
      <w:r w:rsidRPr="000C1E56">
        <w:t>–</w:t>
      </w:r>
      <w:r w:rsidRPr="000C1E56">
        <w:tab/>
        <w:t>έχοντας υπόψη τη Συνθήκη για την Ευρωπαϊκή Ένωση (ΣΕΕ), και ιδίως τα άρθρα 2 και 3,</w:t>
      </w:r>
    </w:p>
    <w:p w14:paraId="3F6033D7" w14:textId="77777777" w:rsidR="00127EEE" w:rsidRPr="000C1E56" w:rsidRDefault="00127EEE" w:rsidP="00AF3FCC">
      <w:pPr>
        <w:pStyle w:val="NormalHanging"/>
        <w:ind w:left="567" w:hanging="567"/>
      </w:pPr>
      <w:r w:rsidRPr="000C1E56">
        <w:t>–</w:t>
      </w:r>
      <w:r w:rsidRPr="000C1E56">
        <w:tab/>
        <w:t>έχοντας υπόψη τον Χάρτη Θεμελιωδών Δικαιωμάτων της Ευρωπαϊκής Ένωσης, της 18ης Δεκεμβρίου 2000,</w:t>
      </w:r>
    </w:p>
    <w:p w14:paraId="68B198A5" w14:textId="77777777" w:rsidR="00127EEE" w:rsidRPr="000C1E56" w:rsidRDefault="00127EEE" w:rsidP="00AF3FCC">
      <w:pPr>
        <w:pStyle w:val="NormalHanging"/>
        <w:ind w:left="567" w:hanging="567"/>
      </w:pPr>
      <w:r w:rsidRPr="000C1E56">
        <w:t>–</w:t>
      </w:r>
      <w:r w:rsidRPr="000C1E56">
        <w:tab/>
        <w:t>έχοντας υπόψη τον ευρωπαϊκό πυλώνα κοινωνικών δικαιωμάτων, της 17ης Νοεμβρίου 2017,</w:t>
      </w:r>
    </w:p>
    <w:p w14:paraId="0039CE1C" w14:textId="6FE3C817" w:rsidR="00127EEE" w:rsidRPr="000C1E56" w:rsidRDefault="00127EEE" w:rsidP="00AF3FCC">
      <w:pPr>
        <w:pStyle w:val="NormalHanging"/>
        <w:ind w:left="567" w:hanging="567"/>
      </w:pPr>
      <w:r w:rsidRPr="000C1E56">
        <w:t>–</w:t>
      </w:r>
      <w:r w:rsidRPr="000C1E56">
        <w:tab/>
        <w:t>έχοντας υπόψη την έκθεση της Επιτροπής, της 25ης Ιουλίου 2024, με τίτλο «Παρακολούθηση της εφαρμογής του δικαίου της Ευρωπαϊκής Ένωσης - Ετήσια έκθεση για το 2023» (COM(2024)0358),</w:t>
      </w:r>
    </w:p>
    <w:p w14:paraId="44A4A552" w14:textId="5FB6495F" w:rsidR="00127EEE" w:rsidRPr="000C1E56" w:rsidRDefault="00127EEE" w:rsidP="00AF3FCC">
      <w:pPr>
        <w:pStyle w:val="NormalHanging"/>
        <w:ind w:left="567" w:hanging="567"/>
      </w:pPr>
      <w:r w:rsidRPr="000C1E56">
        <w:t>–</w:t>
      </w:r>
      <w:r w:rsidRPr="000C1E56">
        <w:tab/>
        <w:t xml:space="preserve">έχοντας υπόψη την έκθεση της Επιτροπής, της 21ης Οκτωβρίου 2025, με τίτλο «Ετήσια έκθεση επισκόπησης του 2025 σχετικά με την απλούστευση, την εφαρμογή και την επιβολή» (COM(2025)0871), και τις «Ετήσιες εκθέσεις προόδου του 2025 σχετικά με την απλούστευση, την εφαρμογή και την επιβολή» των Ευρωπαίων Επιτρόπων, του Σεπτεμβρίου </w:t>
      </w:r>
      <w:r w:rsidR="00187C57" w:rsidRPr="000C1E56">
        <w:t xml:space="preserve">του </w:t>
      </w:r>
      <w:r w:rsidRPr="000C1E56">
        <w:t>2025,</w:t>
      </w:r>
    </w:p>
    <w:p w14:paraId="7B670784" w14:textId="483EA77F" w:rsidR="00127EEE" w:rsidRPr="000C1E56" w:rsidRDefault="00127EEE" w:rsidP="00AF3FCC">
      <w:pPr>
        <w:pStyle w:val="NormalHanging"/>
        <w:ind w:left="567" w:hanging="567"/>
      </w:pPr>
      <w:r w:rsidRPr="000C1E56">
        <w:t>–</w:t>
      </w:r>
      <w:r w:rsidRPr="000C1E56">
        <w:tab/>
        <w:t>έχοντας υπόψη το ψήφισμά του, της 23ης Νοεμβρίου 2023 σχετικά με την εφαρμογή του δικαίου της Ευρωπαϊκής Ένωσης για το 2020, το 2021 και το 2022</w:t>
      </w:r>
      <w:r w:rsidR="00AF3FCC" w:rsidRPr="000C1E56">
        <w:rPr>
          <w:rStyle w:val="FootnoteReference"/>
        </w:rPr>
        <w:footnoteReference w:id="1"/>
      </w:r>
      <w:r w:rsidRPr="000C1E56">
        <w:t>,</w:t>
      </w:r>
    </w:p>
    <w:p w14:paraId="3A983B2E" w14:textId="7B282B17" w:rsidR="00127EEE" w:rsidRPr="000C1E56" w:rsidRDefault="00127EEE" w:rsidP="00AF3FCC">
      <w:pPr>
        <w:pStyle w:val="NormalHanging"/>
        <w:ind w:left="567" w:hanging="567"/>
      </w:pPr>
      <w:r w:rsidRPr="000C1E56">
        <w:t>–</w:t>
      </w:r>
      <w:r w:rsidRPr="000C1E56">
        <w:tab/>
        <w:t>έχοντας υπόψη το ψήφισμά του, της 9ης Ιουνίου 2016, για μια ανοικτή, αποτελεσματική και ανεξάρτητη διοίκηση της Ευρωπαϊκής Ένωσης</w:t>
      </w:r>
      <w:r w:rsidR="00AF3FCC" w:rsidRPr="000C1E56">
        <w:rPr>
          <w:rStyle w:val="FootnoteReference"/>
        </w:rPr>
        <w:footnoteReference w:id="2"/>
      </w:r>
      <w:r w:rsidRPr="000C1E56">
        <w:t xml:space="preserve"> και την πρόταση κανονισμού του Ευρωπαϊκού Κοινοβουλίου και του Συμβουλίου σχετικά με την </w:t>
      </w:r>
      <w:r w:rsidRPr="000C1E56">
        <w:lastRenderedPageBreak/>
        <w:t>ανοικτή, αποτελεσματική και ανεξάρτητη διοίκηση της Ευρωπαϊκής Ένωσης, που περιέχεται σε αυτό,</w:t>
      </w:r>
    </w:p>
    <w:p w14:paraId="7D2320A9" w14:textId="6BF3A746" w:rsidR="00127EEE" w:rsidRPr="000C1E56" w:rsidRDefault="00127EEE" w:rsidP="00AF3FCC">
      <w:pPr>
        <w:pStyle w:val="NormalHanging"/>
        <w:ind w:left="567" w:hanging="567"/>
      </w:pPr>
      <w:r w:rsidRPr="000C1E56">
        <w:t>–</w:t>
      </w:r>
      <w:r w:rsidRPr="000C1E56">
        <w:tab/>
        <w:t>έχοντας υπόψη το ψήφισμά του, της 22ας Νοεμβρίου 2023, που περιέχει συστάσεις προς την Επιτροπή σχετικά με την ψηφιοποίηση και το διοικητικό δίκαιο</w:t>
      </w:r>
      <w:r w:rsidR="00AF3FCC" w:rsidRPr="000C1E56">
        <w:rPr>
          <w:rStyle w:val="FootnoteReference"/>
        </w:rPr>
        <w:footnoteReference w:id="3"/>
      </w:r>
      <w:r w:rsidRPr="000C1E56">
        <w:t>,</w:t>
      </w:r>
    </w:p>
    <w:p w14:paraId="47A8E223" w14:textId="53A701EC" w:rsidR="00127EEE" w:rsidRPr="000C1E56" w:rsidRDefault="00127EEE" w:rsidP="00AF3FCC">
      <w:pPr>
        <w:pStyle w:val="NormalHanging"/>
        <w:ind w:left="567" w:hanging="567"/>
      </w:pPr>
      <w:r w:rsidRPr="000C1E56">
        <w:t>–</w:t>
      </w:r>
      <w:r w:rsidRPr="000C1E56">
        <w:tab/>
        <w:t>έχοντας υπόψη τη διοργανική συμφωνία της 13ης Απριλίου 2016 μεταξύ του Ευρωπαϊκού Κοινοβουλίου, του Συμβουλίου της Ευρωπαϊκής Ένωσης και της Ευρωπαϊκής Επιτροπής για τη βελτίωση του νομοθετικού έργου</w:t>
      </w:r>
      <w:r w:rsidR="00AF3FCC" w:rsidRPr="000C1E56">
        <w:rPr>
          <w:rStyle w:val="FootnoteReference"/>
        </w:rPr>
        <w:footnoteReference w:id="4"/>
      </w:r>
      <w:r w:rsidRPr="000C1E56">
        <w:t>,</w:t>
      </w:r>
    </w:p>
    <w:p w14:paraId="34F8448A" w14:textId="34EC637C" w:rsidR="00127EEE" w:rsidRPr="000C1E56" w:rsidRDefault="00127EEE" w:rsidP="00AF3FCC">
      <w:pPr>
        <w:pStyle w:val="NormalHanging"/>
        <w:ind w:left="567" w:hanging="567"/>
      </w:pPr>
      <w:r w:rsidRPr="000C1E56">
        <w:t>–</w:t>
      </w:r>
      <w:r w:rsidRPr="000C1E56">
        <w:tab/>
        <w:t>έχοντας υπόψη την ανακοίνωση της Επιτροπής, της 21ης Μαΐου 2025, με τίτλο «Η ενιαία αγορά: η ευρωπαϊκή εσωτερική μας αγορά σε έναν αβέβαιο κόσμο – Στρατηγική για μια απλή, απρόσκοπτη και ισχυρή ενιαία αγορά» (COM(2025)0500),</w:t>
      </w:r>
    </w:p>
    <w:p w14:paraId="336A2438" w14:textId="5E206C64" w:rsidR="00127EEE" w:rsidRPr="000C1E56" w:rsidRDefault="00127EEE" w:rsidP="00AF3FCC">
      <w:pPr>
        <w:pStyle w:val="NormalHanging"/>
        <w:ind w:left="567" w:hanging="567"/>
      </w:pPr>
      <w:r w:rsidRPr="000C1E56">
        <w:t>–</w:t>
      </w:r>
      <w:r w:rsidRPr="000C1E56">
        <w:tab/>
        <w:t>έχοντας υπόψη την ανακοίνωση της Επιτροπής, της 11ης Φεβρουαρίου 2025, με τίτλο «Προχωράμε μαζί για μια πιο τολμηρή, απλούστερη και ταχύτερη Ένωση» (COM(2025)0045),</w:t>
      </w:r>
    </w:p>
    <w:p w14:paraId="09FC5A21" w14:textId="01E564A2" w:rsidR="00127EEE" w:rsidRPr="000C1E56" w:rsidRDefault="00127EEE" w:rsidP="00AF3FCC">
      <w:pPr>
        <w:pStyle w:val="NormalHanging"/>
        <w:ind w:left="567" w:hanging="567"/>
      </w:pPr>
      <w:r w:rsidRPr="000C1E56">
        <w:t>–</w:t>
      </w:r>
      <w:r w:rsidRPr="000C1E56">
        <w:tab/>
        <w:t>έχοντας υπόψη την ανακοίνωση της Επιτροπής, της 11ης Φεβρουαρίου 2025, με τίτλο «Μια απλούστερη και ταχύτερη Ευρώπη: Ανακοίνωση για την εφαρμογή και την απλούστευση» (COM(2025)0047),</w:t>
      </w:r>
    </w:p>
    <w:p w14:paraId="311A590A" w14:textId="77777777" w:rsidR="00127EEE" w:rsidRPr="000C1E56" w:rsidRDefault="00127EEE" w:rsidP="00AF3FCC">
      <w:pPr>
        <w:pStyle w:val="NormalHanging"/>
        <w:ind w:left="567" w:hanging="567"/>
      </w:pPr>
      <w:r w:rsidRPr="000C1E56">
        <w:t>–</w:t>
      </w:r>
      <w:r w:rsidRPr="000C1E56">
        <w:tab/>
        <w:t>έχοντας υπόψη το έγγραφο εργασίας των υπηρεσιών της Επιτροπής, της 14ης Ιουλίου 2023, με τίτλο «Έκθεση απολογισμού σχετικά με τις μεθόδους εργασίας της Επιτροπής για την παρακολούθηση της εφαρμογής του δικαίου της ΕΕ» (SWD(2023)0254),</w:t>
      </w:r>
    </w:p>
    <w:p w14:paraId="5AD69F2F" w14:textId="77777777" w:rsidR="00127EEE" w:rsidRPr="000C1E56" w:rsidRDefault="00127EEE" w:rsidP="00AF3FCC">
      <w:pPr>
        <w:pStyle w:val="NormalHanging"/>
        <w:ind w:left="567" w:hanging="567"/>
      </w:pPr>
      <w:r w:rsidRPr="000C1E56">
        <w:t>–</w:t>
      </w:r>
      <w:r w:rsidRPr="000C1E56">
        <w:tab/>
        <w:t>έχοντας υπόψη την ειδική έκθεση αριθ. 28/2024 του Ευρωπαϊκού Ελεγκτικού Συνεδρίου με τίτλο «Επιβολή του δικαίου της ΕΕ»,</w:t>
      </w:r>
    </w:p>
    <w:p w14:paraId="76A5C402" w14:textId="47DB4C73" w:rsidR="00127EEE" w:rsidRPr="000C1E56" w:rsidRDefault="00127EEE" w:rsidP="00AF3FCC">
      <w:pPr>
        <w:pStyle w:val="NormalHanging"/>
        <w:ind w:left="567" w:hanging="567"/>
      </w:pPr>
      <w:r w:rsidRPr="000C1E56">
        <w:t>–</w:t>
      </w:r>
      <w:r w:rsidRPr="000C1E56">
        <w:tab/>
        <w:t>έχοντας υπόψη τη γνωμοδότηση της Ευρωπαϊκής Επιτροπής των Περιφερειών, της 28ης Αυγούστου 2025, με τίτλο «Μια απλούστερη και ταχύτερη Ευρώπη</w:t>
      </w:r>
      <w:r w:rsidR="00AF3FCC" w:rsidRPr="000C1E56">
        <w:rPr>
          <w:rStyle w:val="FootnoteReference"/>
        </w:rPr>
        <w:footnoteReference w:id="5"/>
      </w:r>
      <w:r w:rsidRPr="000C1E56">
        <w:t>,</w:t>
      </w:r>
    </w:p>
    <w:p w14:paraId="505D7D2F" w14:textId="202D629E" w:rsidR="00127EEE" w:rsidRPr="000C1E56" w:rsidRDefault="00127EEE" w:rsidP="00AF3FCC">
      <w:pPr>
        <w:pStyle w:val="NormalHanging"/>
        <w:ind w:left="567" w:hanging="567"/>
      </w:pPr>
      <w:r w:rsidRPr="000C1E56">
        <w:t>–</w:t>
      </w:r>
      <w:r w:rsidRPr="000C1E56">
        <w:tab/>
        <w:t xml:space="preserve">έχοντας υπόψη την έκθεση του </w:t>
      </w:r>
      <w:proofErr w:type="spellStart"/>
      <w:r w:rsidRPr="000C1E56">
        <w:t>Mario</w:t>
      </w:r>
      <w:proofErr w:type="spellEnd"/>
      <w:r w:rsidRPr="000C1E56">
        <w:t xml:space="preserve"> </w:t>
      </w:r>
      <w:proofErr w:type="spellStart"/>
      <w:r w:rsidRPr="000C1E56">
        <w:t>Draghi</w:t>
      </w:r>
      <w:proofErr w:type="spellEnd"/>
      <w:r w:rsidRPr="000C1E56">
        <w:t xml:space="preserve">, του Σεπτεμβρίου </w:t>
      </w:r>
      <w:r w:rsidR="00187C57" w:rsidRPr="000C1E56">
        <w:t xml:space="preserve">του </w:t>
      </w:r>
      <w:r w:rsidRPr="000C1E56">
        <w:t>2024, με τίτλο «Το μέλλον της ευρωπαϊκής ανταγωνιστικότητας – Μια στρατηγική ανταγωνιστικότητας για την Ευρώπη»,</w:t>
      </w:r>
    </w:p>
    <w:p w14:paraId="2D9842AD" w14:textId="26C27E20" w:rsidR="00127EEE" w:rsidRPr="000C1E56" w:rsidRDefault="00127EEE" w:rsidP="00AF3FCC">
      <w:pPr>
        <w:pStyle w:val="NormalHanging"/>
        <w:ind w:left="567" w:hanging="567"/>
      </w:pPr>
      <w:r w:rsidRPr="000C1E56">
        <w:t>–</w:t>
      </w:r>
      <w:r w:rsidRPr="000C1E56">
        <w:tab/>
        <w:t xml:space="preserve">έχοντας υπόψη την έκθεση του </w:t>
      </w:r>
      <w:proofErr w:type="spellStart"/>
      <w:r w:rsidRPr="000C1E56">
        <w:t>Enrico</w:t>
      </w:r>
      <w:proofErr w:type="spellEnd"/>
      <w:r w:rsidRPr="000C1E56">
        <w:t xml:space="preserve"> Letta, του Απριλίου </w:t>
      </w:r>
      <w:r w:rsidR="00187C57" w:rsidRPr="000C1E56">
        <w:t xml:space="preserve">του </w:t>
      </w:r>
      <w:r w:rsidRPr="000C1E56">
        <w:t>2024, με τίτλο «</w:t>
      </w:r>
      <w:proofErr w:type="spellStart"/>
      <w:r w:rsidRPr="000C1E56">
        <w:t>Much</w:t>
      </w:r>
      <w:proofErr w:type="spellEnd"/>
      <w:r w:rsidRPr="000C1E56">
        <w:t xml:space="preserve"> </w:t>
      </w:r>
      <w:proofErr w:type="spellStart"/>
      <w:r w:rsidRPr="000C1E56">
        <w:t>more</w:t>
      </w:r>
      <w:proofErr w:type="spellEnd"/>
      <w:r w:rsidRPr="000C1E56">
        <w:t xml:space="preserve"> </w:t>
      </w:r>
      <w:proofErr w:type="spellStart"/>
      <w:r w:rsidRPr="000C1E56">
        <w:t>than</w:t>
      </w:r>
      <w:proofErr w:type="spellEnd"/>
      <w:r w:rsidRPr="000C1E56">
        <w:t xml:space="preserve"> a </w:t>
      </w:r>
      <w:proofErr w:type="spellStart"/>
      <w:r w:rsidRPr="000C1E56">
        <w:t>market</w:t>
      </w:r>
      <w:proofErr w:type="spellEnd"/>
      <w:r w:rsidRPr="000C1E56">
        <w:t>» (Πολύ περισσότερο από μια απλή αγορά),</w:t>
      </w:r>
    </w:p>
    <w:p w14:paraId="4542AF14" w14:textId="77777777" w:rsidR="00127EEE" w:rsidRPr="000C1E56" w:rsidRDefault="00127EEE" w:rsidP="00AF3FCC">
      <w:pPr>
        <w:pStyle w:val="NormalHanging"/>
        <w:ind w:left="567" w:hanging="567"/>
      </w:pPr>
      <w:r w:rsidRPr="000C1E56">
        <w:t>–</w:t>
      </w:r>
      <w:r w:rsidRPr="000C1E56">
        <w:tab/>
        <w:t>έχοντας υπόψη το άρθρο 55 του Κανονισμού του,</w:t>
      </w:r>
    </w:p>
    <w:p w14:paraId="2A437001" w14:textId="77777777" w:rsidR="00127EEE" w:rsidRPr="000C1E56" w:rsidRDefault="00127EEE" w:rsidP="00AF3FCC">
      <w:pPr>
        <w:pStyle w:val="NormalHanging"/>
        <w:ind w:left="567" w:hanging="567"/>
      </w:pPr>
      <w:r w:rsidRPr="000C1E56">
        <w:t>–</w:t>
      </w:r>
      <w:r w:rsidRPr="000C1E56">
        <w:tab/>
        <w:t>έχοντας υπόψη τη γνωμοδότηση της Επιτροπής Αναφορών,</w:t>
      </w:r>
    </w:p>
    <w:p w14:paraId="782C92C1" w14:textId="77777777" w:rsidR="00127EEE" w:rsidRPr="000C1E56" w:rsidRDefault="00127EEE" w:rsidP="00AF3FCC">
      <w:pPr>
        <w:pStyle w:val="NormalHanging"/>
        <w:ind w:left="567" w:hanging="567"/>
      </w:pPr>
      <w:r w:rsidRPr="000C1E56">
        <w:t>–</w:t>
      </w:r>
      <w:r w:rsidRPr="000C1E56">
        <w:tab/>
        <w:t>έχοντας υπόψη την έκθεση της Επιτροπής Νομικών Θεμάτων (A10-0037/2026),</w:t>
      </w:r>
    </w:p>
    <w:p w14:paraId="6106DF63" w14:textId="77777777" w:rsidR="00127EEE" w:rsidRPr="000C1E56" w:rsidRDefault="00127EEE" w:rsidP="00AF3FCC">
      <w:pPr>
        <w:pStyle w:val="NormalHanging"/>
        <w:ind w:left="567" w:hanging="567"/>
      </w:pPr>
      <w:r w:rsidRPr="000C1E56">
        <w:t>Α.</w:t>
      </w:r>
      <w:r w:rsidRPr="000C1E56">
        <w:tab/>
        <w:t xml:space="preserve">λαμβάνοντας υπόψη ότι το η νομοθεσία της ΕΕ διέπεται από τις αξίες του σεβασμού της ανθρώπινης αξιοπρέπειας, της ελευθερίας, της δημοκρατίας, της ισότητας, του </w:t>
      </w:r>
      <w:r w:rsidRPr="000C1E56">
        <w:lastRenderedPageBreak/>
        <w:t>κράτους δικαίου, καθώς και του σεβασμού των ανθρώπινων δικαιωμάτων, όπως κατοχυρώνονται στο άρθρο 2 ΣΕΕ· λαμβάνοντας υπόψη ότι η ομοιόμορφη, συνεπής και αποτελεσματική εφαρμογή του δικαίου της ΕΕ σε όλα τα κράτη μέλη είναι απαραίτητη για να επιτευχθούν οι στόχοι της ΕΕ, να διασφαλιστεί η ορθή λειτουργία της ενιαίας αγοράς και να διατηρηθεί ένας χώρος ελευθερίας, ασφάλειας και δικαιοσύνης· λαμβάνοντας υπόψη ότι η εξωτερική αξιοπιστία της ΕΕ εξαρτάται από την ικανότητά της να διασφαλίζει την πλήρη συμμόρφωση με τις εν λόγω αξίες και αρχές στο εσωτερικό της·</w:t>
      </w:r>
    </w:p>
    <w:p w14:paraId="5FB4BABF" w14:textId="77777777" w:rsidR="00127EEE" w:rsidRPr="000C1E56" w:rsidRDefault="00127EEE" w:rsidP="00AF3FCC">
      <w:pPr>
        <w:pStyle w:val="NormalHanging"/>
        <w:ind w:left="567" w:hanging="567"/>
      </w:pPr>
      <w:r w:rsidRPr="000C1E56">
        <w:t>Β.</w:t>
      </w:r>
      <w:r w:rsidRPr="000C1E56">
        <w:tab/>
        <w:t>λαμβάνοντας υπόψη ότι, σύμφωνα με το άρθρο 4 παράγραφος 3 ΣΕΕ και τα άρθρα 288 και 291 παράγραφος 1 της Συνθήκης για τη λειτουργία της Ευρωπαϊκής Ένωσης, τα κράτη μέλη έχουν την πρωταρχική ευθύνη για την ορθή, αρμονική και εντός των καθορισμένων προθεσμιών μεταφορά, υλοποίηση και εφαρμογή του δικαίου της ΕΕ· λαμβάνοντας υπόψη ότι η αρχή της καλόπιστης συνεργασίας συνεπάγεται την ευθύνη να διευκολύνεται η εκπλήρωση των καθηκόντων της ΕΕ και να αποφεύγεται κάθε μέτρο που θα μπορούσε να θέσει σε κίνδυνο την επίτευξη των στόχων της ΕΕ·</w:t>
      </w:r>
      <w:r w:rsidRPr="000C1E56">
        <w:rPr>
          <w:b/>
          <w:i/>
        </w:rPr>
        <w:t xml:space="preserve"> </w:t>
      </w:r>
      <w:r w:rsidRPr="000C1E56">
        <w:t>λαμβάνοντας υπόψη ότι η νομοθεσία της ΕΕ είναι αποτελεσματική μόνο στον βαθμό που, αφενός, μεταφέρεται εγκαίρως, με πλήρη και ακριβή τρόπο και, αφετέρου, εφαρμόζεται ορθά στα εθνικά νομικά πλαίσια από τα κράτη μέλη, κάτι που είναι απαραίτητο για να διασφαλιστούν τα οφέλη των πολιτικών της ΕΕ για όλους τους πολίτες της ΕΕ, συμπεριλαμβανομένης της προστασίας των θεμελιωδών δικαιωμάτων τους, και για να υπάρχουν ίσοι όροι ανταγωνισμού για τις επιχειρήσεις σε ολόκληρη την εσωτερική αγορά· λαμβάνοντας υπόψη ότι, στο πλαίσιο αυτό, η επιβολή του δικαίου της ΕΕ είναι καίριας σημασίας για τη διατήρηση ίσων όρων ανταγωνισμού μεταξύ των κρατών μελών·</w:t>
      </w:r>
    </w:p>
    <w:p w14:paraId="336D0CCD" w14:textId="77777777" w:rsidR="00127EEE" w:rsidRPr="000C1E56" w:rsidRDefault="00127EEE" w:rsidP="00AF3FCC">
      <w:pPr>
        <w:pStyle w:val="NormalHanging"/>
        <w:ind w:left="567" w:hanging="567"/>
      </w:pPr>
      <w:r w:rsidRPr="000C1E56">
        <w:t>Γ.</w:t>
      </w:r>
      <w:r w:rsidRPr="000C1E56">
        <w:tab/>
        <w:t>λαμβάνοντας υπόψη ότι η ποιότητα, η σαφήνεια, η συνοχή και η προσβασιμότητα της νομοθεσίας της ΕΕ αποτελούν βασικές προϋποθέσεις για την ορθή, αποτελεσματική, έγκαιρη και πλήρη μεταφορά και εφαρμογή της· λαμβάνοντας υπόψη ότι η πολυπλοκότητα, οι αλληλεπικαλυπτόμενες πράξεις, οι αποκλίνοντες ορισμοί και η διφορούμενη διατύπωση αυξάνουν τον κίνδυνο καθυστερήσεων, αποκλινουσών ερμηνειών και ανεπαρκούς συμμόρφωσης· λαμβάνοντας υπόψη ότι η νομοθεσία της ΕΕ θα πρέπει να συντάσσεται με σαφή, ορθολογικό και τεχνικά εφαρμόσιμο τρόπο, επιτρέποντας στα κράτη μέλη, τους πολίτες και τις επιχειρήσεις να κατανοούν, να εφαρμόζουν και να επικαλούνται τα δικαιώματα και τις υποχρεώσεις τους βάσει του δικαίου της ΕΕ· λαμβάνοντας υπόψη ότι η τεχνολογική πρόοδος, συμπεριλαμβανομένης της τεχνητής νοημοσύνης (ΤΝ), δημιουργεί νέες ευκαιρίες για τη βελτίωση της σύνταξης νομοθετικών πράξεων, της παρακολούθησης, της αξιολόγησης της συμμόρφωσης και της επικοινωνίας με τους πολίτες και τις επιχειρήσεις, υπό την προϋπόθεση ότι η χρήση τους διέπεται από διαφανή, δεοντολογικά και ασφαλή ως προς τα δεδομένα πλαίσια·</w:t>
      </w:r>
    </w:p>
    <w:p w14:paraId="7990DF06" w14:textId="77777777" w:rsidR="00127EEE" w:rsidRPr="000C1E56" w:rsidRDefault="00127EEE" w:rsidP="00AF3FCC">
      <w:pPr>
        <w:pStyle w:val="NormalHanging"/>
        <w:ind w:left="567" w:hanging="567"/>
      </w:pPr>
      <w:r w:rsidRPr="000C1E56">
        <w:t>Δ.</w:t>
      </w:r>
      <w:r w:rsidRPr="000C1E56">
        <w:tab/>
        <w:t xml:space="preserve">λαμβάνοντας υπόψη ότι οι διαδικασίες επί παραβάσει, σε συνδυασμό με άλλους μηχανισμούς εφαρμογής και προώθησης της συμμόρφωσης, εγγυώνται ότι οι πολίτες και οι επιχειρήσεις της ΕΕ δεν επηρεάζονται αρνητικά από την καθυστερημένη ή ελλιπή μεταφορά ή την πλημμελή εφαρμογή του δικαίου της ΕΕ από τα κράτη μέλη· λαμβάνοντας υπόψη ότι η έγκαιρη και συνεπής κίνηση διαδικασιών επί παραβάσει από την Επιτροπή αποτελεί συμπληρωματικό μέσο για τη διασφάλιση της συμμόρφωσης με το δίκαιο της ΕΕ· λαμβάνοντας υπόψη ότι ο διάλογος με τις εθνικές αρχές φαίνεται να αποτελεί τον προτιμώμενο από την Επιτροπή τρόπο επίλυσης των διαδικασιών επί παραβάσει, σε αντίθεση με την παραπομπή των κρατών μελών ενώπιον του </w:t>
      </w:r>
      <w:r w:rsidRPr="000C1E56">
        <w:lastRenderedPageBreak/>
        <w:t>Δικαστηρίου της Ευρωπαϊκής Ένωσης (ΔΕΕ), το οποίο θεωρεί ως μέτρο έσχατης ανάγκης· λαμβάνοντας υπόψη ότι το 2016, στο πλαίσιο των εργασιών της σχετικά με τις διαδικασίες επί παραβάσει και συναφείς καταγγελίες, η Επιτροπή αποφάσισε να δώσει προτεραιότητα στις σοβαρότερες παραβιάσεις του δικαίου της ΕΕ που επηρεάζουν σημαντικά τα συμφέροντα των πολιτών και των επιχειρήσεων· λαμβάνοντας υπόψη ότι το 2017 ήταν το πρώτο έτος κατά το οποίο η Επιτροπή εφάρμοσε αυτή τη νέα, πιο στοχευμένη προσέγγιση·</w:t>
      </w:r>
    </w:p>
    <w:p w14:paraId="45C8DF1E" w14:textId="77777777" w:rsidR="00127EEE" w:rsidRPr="000C1E56" w:rsidRDefault="00127EEE" w:rsidP="00AF3FCC">
      <w:pPr>
        <w:pStyle w:val="NormalHanging"/>
        <w:ind w:left="567" w:hanging="567"/>
      </w:pPr>
      <w:r w:rsidRPr="000C1E56">
        <w:t>Ε.</w:t>
      </w:r>
      <w:r w:rsidRPr="000C1E56">
        <w:tab/>
        <w:t>λαμβάνοντας υπόψη ότι οι δημόσιες διαβουλεύσεις και οι εκ των προτέρων και εκ των υστέρων εκτιμήσεις αντικτύπου αποτελούν βασικά εργαλεία για την θέσπιση τεκμηριωμένης και αποτελεσματικής νομοθεσίας που βασίζεται στη λογοδοσία και τη διαφάνεια·</w:t>
      </w:r>
    </w:p>
    <w:p w14:paraId="46245824" w14:textId="77777777" w:rsidR="00127EEE" w:rsidRPr="000C1E56" w:rsidRDefault="00127EEE" w:rsidP="00AF3FCC">
      <w:pPr>
        <w:pStyle w:val="NormalHanging"/>
        <w:ind w:left="567" w:hanging="567"/>
      </w:pPr>
      <w:r w:rsidRPr="000C1E56">
        <w:t>ΣΤ.</w:t>
      </w:r>
      <w:r w:rsidRPr="000C1E56">
        <w:tab/>
        <w:t>λαμβάνοντας υπόψη ότι οι αναφορές και οι καταγγελίες που υποβάλλονται στο Κοινοβούλιο αποτελούν πολύτιμη πηγή πληροφοριών σχετικά με ελλείψεις και κενά στην εφαρμογή του δικαίου της ΕΕ σε εθνικό επίπεδο και μπορούν να συμβάλουν στην παρακολούθηση της ορθής εφαρμογής και μεταφοράς της νομοθεσίας της ΕΕ από τα κράτη μέλη σε όλους τους τομείς πολιτικής· λαμβάνοντας υπόψη ότι σημαντικός αριθμός αναφορών αφορούν την εφαρμογή της περιβαλλοντικής νομοθεσίας της ΕΕ, την προστασία των θεμελιωδών δικαιωμάτων και τον σεβασμό του κράτους δικαίου και της δημοκρατίας· λαμβάνοντας υπόψη ότι μια τέτοιου είδους συμβολή των πολιτών παρέχει πολύτιμες πληροφορίες σχετικά με την εφαρμογή του δικαίου της ΕΕ στην πραγματική ζωή και θα πρέπει να τροφοδοτεί συστηματικά τις πρακτικές παρακολούθησης και επιβολής·</w:t>
      </w:r>
    </w:p>
    <w:p w14:paraId="492FE011" w14:textId="148149AF" w:rsidR="00ED6069" w:rsidRPr="000C1E56" w:rsidRDefault="00ED6069" w:rsidP="00AF3FCC">
      <w:pPr>
        <w:pStyle w:val="NormalHanging"/>
        <w:ind w:left="567" w:hanging="567"/>
      </w:pPr>
      <w:r w:rsidRPr="000C1E56">
        <w:t>Ζ.</w:t>
      </w:r>
      <w:r w:rsidRPr="000C1E56">
        <w:tab/>
        <w:t>λαμβάνοντας υπόψη ότι όλο και περισσότερες αναφορές που υποβάλλονται στο Κοινοβούλιο αφορούν τα δικαιώματα και την ασφάλεια των παιδιών και των εφήβων σε ψηφιακά περιβάλλοντα, ιδίως τους κινδύνους σεξουαλικής κακοποίησης και εκμετάλλευσης· λαμβάνοντας υπόψη ότι οι αναφορές αφορούν ελλείψεις στην προστασία των παιδιών γενικότερα, συμπεριλαμβανομένης της διαδικτυακής ασφάλειας και της πρόσβασης σε υπηρεσίες προστασίας των παιδιών· λαμβάνοντας υπόψη ότι οι αναφέροντες συχνά επισημαίνουν επίμονες ελλείψεις και επανειλημμένες παραβιάσεις της εφαρμογής του δικαίου της ΕΕ από τα κράτη μέλη, καταδεικνύοντας την ανάγκη για ενισχυμένη εποπτεία και έγκαιρη συνέχεια·</w:t>
      </w:r>
    </w:p>
    <w:p w14:paraId="7B563989" w14:textId="063AB7AA" w:rsidR="00127EEE" w:rsidRPr="000C1E56" w:rsidRDefault="00ED6069" w:rsidP="00AF3FCC">
      <w:pPr>
        <w:pStyle w:val="NormalHanging"/>
        <w:ind w:left="567" w:hanging="567"/>
      </w:pPr>
      <w:r w:rsidRPr="000C1E56">
        <w:t>Η</w:t>
      </w:r>
      <w:r w:rsidR="00127EEE" w:rsidRPr="000C1E56">
        <w:t>.</w:t>
      </w:r>
      <w:r w:rsidR="00127EEE" w:rsidRPr="000C1E56">
        <w:tab/>
        <w:t>λαμβάνοντας υπόψη ότι, δυστυχώς, η Επιτροπή δεν δημοσίευσε ετήσια έκθεση σχετικά με την παρακολούθηση της εφαρμογής του δικαίου της ΕΕ για το 2024, διακόπτοντας έτσι μια πρακτική που εφαρμόζεται εδώ και περισσότερα από 40 έτη, από το 1983·</w:t>
      </w:r>
    </w:p>
    <w:p w14:paraId="35EA4284" w14:textId="15A4B44D" w:rsidR="00127EEE" w:rsidRPr="000C1E56" w:rsidRDefault="00ED6069" w:rsidP="00AF3FCC">
      <w:pPr>
        <w:pStyle w:val="NormalHanging"/>
        <w:ind w:left="567" w:hanging="567"/>
      </w:pPr>
      <w:r w:rsidRPr="000C1E56">
        <w:t>Θ</w:t>
      </w:r>
      <w:r w:rsidR="00127EEE" w:rsidRPr="000C1E56">
        <w:t>.</w:t>
      </w:r>
      <w:r w:rsidR="00127EEE" w:rsidRPr="000C1E56">
        <w:tab/>
        <w:t xml:space="preserve">λαμβάνοντας υπόψη ότι η έκθεση επισκόπησης της Επιτροπής του 2025 σχετικά με την απλούστευση, την εφαρμογή και την επιβολή δίνει ιδιαίτερη έμφαση σε πρωτοβουλίες απλούστευσης· λαμβάνοντας υπόψη ότι η έμφαση αυτή θα πρέπει να αντισταθμίζεται από μια εξίσου λεπτομερή ανάλυση της εφαρμογής και της επιβολής· λαμβάνοντας υπόψη ότι, χωρίς εποπτεία και αποτελεσματική και αποδοτική επιβολή από την Επιτροπή, οι διασυνοριακές επιχειρήσεις και η ελεύθερη κυκλοφορία προσώπων, αγαθών, κεφαλαίων και υπηρεσιών στην ΕΕ θα μπορούσαν να παρεμποδιστούν σοβαρά· λαμβάνοντας υπόψη ότι η Επιτροπή θα πρέπει να λάβει μέτρα επιβολής για τη διασφάλιση όλων των δικαιωμάτων που απορρέουν από το δίκαιο της ΕΕ, ιδίως των ανθρωπίνων δικαιωμάτων· λαμβάνοντας υπόψη ότι η αποτελεσματικότητα και η αξιοπιστία του δικαίου της ΕΕ εξαρτώνται από την ικανότητά του να αποφέρει απτά κοινωνικά, περιβαλλοντικά και οικονομικά οφέλη σε όλους τους πολίτες και τις </w:t>
      </w:r>
      <w:r w:rsidR="00127EEE" w:rsidRPr="000C1E56">
        <w:lastRenderedPageBreak/>
        <w:t>περιφέρειες, διασφαλίζοντας ότι κανείς δεν θα μένει στο περιθώριο κατά την εφαρμογή των κανόνων της ΕΕ· λαμβάνοντας υπόψη ότι η αρχή του κοινοβουλευτικού ελέγχου των δραστηριοτήτων της Επιτροπής, συμπεριλαμβανομένης της παρακολούθησης της εφαρμογής του δικαίου της ΕΕ από την Επιτροπή, είναι απαραίτητη για τη διασφάλιση της δημοκρατικής λογοδοσίας προς τους πολίτες της ΕΕ και την ενίσχυση της εμπιστοσύνης του κοινού στα θεσμικά όργανα της ΕΕ·</w:t>
      </w:r>
    </w:p>
    <w:p w14:paraId="7706A4A1" w14:textId="6AA5A2A5" w:rsidR="00127EEE" w:rsidRPr="000C1E56" w:rsidRDefault="00ED6069" w:rsidP="00AF3FCC">
      <w:pPr>
        <w:pStyle w:val="NormalHanging"/>
        <w:ind w:left="567" w:hanging="567"/>
      </w:pPr>
      <w:r w:rsidRPr="000C1E56">
        <w:t>Ι</w:t>
      </w:r>
      <w:r w:rsidR="00127EEE" w:rsidRPr="000C1E56">
        <w:t>.</w:t>
      </w:r>
      <w:r w:rsidR="00127EEE" w:rsidRPr="000C1E56">
        <w:tab/>
        <w:t>λαμβάνοντας υπόψη ότι ο αριθμός των περατωθεισών υποθέσεων επί παραβάσει μειώθηκε δραματικά, από 1 030 το 2023 σε 535 το 2024· λαμβάνοντας υπόψη ότι ο αριθμός των εκκρεμών υποθέσεων αυξήθηκε, από 1 461 το 2023 σε 1 493 το 2024· λαμβάνοντας υπόψη ότι ο αριθμός των νέων διαδικασιών επί παραβάσει αυξήθηκε, από 528 το 2023 σε 567 το 2024· λαμβάνοντας υπόψη ότι, για το 2025, τα προκαταρκτικά στοιχεία που καλύπτουν την περίοδο από την 1η Ιανουαρίου έως τις 31 Ιουλίου 2025 δείχνουν ότι 345 υποθέσεις περατώθηκαν και 1 559 υποθέσεις βρίσκονταν σε εξέλιξη· λαμβάνοντας υπόψη ότι τα δεδομένα είτε είναι ελλιπή, είτε δεν είναι ακόμη διαθέσιμα, είτε δεν αναφέρονται στον ιστότοπο της Επιτροπής· λαμβάνοντας υπόψη ότι, το 2023, το 2024 και το 2025, το περιβάλλον ήταν σταθερά ο τομέας πολιτικής όπου βρίσκονταν σε εξέλιξη οι περισσότερες διαδικασίες επί παραβάσει· λαμβάνοντας υπόψη ότι, το 2023, αυτός ο τομέας πολιτικής ακολουθήθηκε από τους τομείς της ενέργειας και των μεταφορών· λαμβάνοντας υπόψη ότι, το 2024, ακολούθησαν η δικαιοσύνη και οι καταναλωτές, καθώς και η κινητικότητα και οι μεταφορές· λαμβάνοντας υπόψη ότι, το 2025, ακολούθησαν η δικαιοσύνη, οι καταναλωτές και η ενέργεια·</w:t>
      </w:r>
    </w:p>
    <w:p w14:paraId="54E6BD28" w14:textId="407C93C1" w:rsidR="00127EEE" w:rsidRPr="000C1E56" w:rsidRDefault="00187C57" w:rsidP="00AF3FCC">
      <w:pPr>
        <w:pStyle w:val="NormalHanging"/>
        <w:ind w:left="567" w:hanging="567"/>
      </w:pPr>
      <w:r w:rsidRPr="000C1E56">
        <w:t>Ι</w:t>
      </w:r>
      <w:r w:rsidR="00ED6069" w:rsidRPr="000C1E56">
        <w:t>Α</w:t>
      </w:r>
      <w:r w:rsidR="00127EEE" w:rsidRPr="000C1E56">
        <w:t>.</w:t>
      </w:r>
      <w:r w:rsidR="00127EEE" w:rsidRPr="000C1E56">
        <w:tab/>
        <w:t>λαμβάνοντας υπόψη ότι υπάρχουν περιπτώσεις συνεχιζόμενων παραβιάσεων του δικαίου της ΕΕ και συστηματικής μη εφαρμογής των αποφάσεων του ΔΕΕ από ορισμένα κράτη μέλη·</w:t>
      </w:r>
    </w:p>
    <w:p w14:paraId="32F38D5C" w14:textId="77777777" w:rsidR="00127EEE" w:rsidRPr="000C1E56" w:rsidRDefault="00127EEE" w:rsidP="00AF3FCC">
      <w:pPr>
        <w:pStyle w:val="Normal12a"/>
        <w:ind w:left="567" w:hanging="567"/>
        <w:rPr>
          <w:i/>
          <w:iCs/>
        </w:rPr>
      </w:pPr>
      <w:r w:rsidRPr="000C1E56">
        <w:rPr>
          <w:b/>
          <w:i/>
        </w:rPr>
        <w:t>Παρακολούθηση και επιβολή του δικαίου της ΕΕ</w:t>
      </w:r>
    </w:p>
    <w:p w14:paraId="4482D67E" w14:textId="7D123610" w:rsidR="00127EEE" w:rsidRPr="000C1E56" w:rsidRDefault="000C1E56" w:rsidP="000C1E56">
      <w:pPr>
        <w:pStyle w:val="NormalHanging12a"/>
        <w:ind w:left="570" w:hanging="570"/>
      </w:pPr>
      <w:r w:rsidRPr="000C1E56">
        <w:t>1.</w:t>
      </w:r>
      <w:r w:rsidRPr="000C1E56">
        <w:tab/>
      </w:r>
      <w:r w:rsidR="00127EEE" w:rsidRPr="000C1E56">
        <w:t>λαμβάνει υπό σημείωση την έκθεση της Επιτροπής του 2023 σχετικά με την παρακολούθηση της εφαρμογής του δικαίου της ΕΕ·</w:t>
      </w:r>
    </w:p>
    <w:p w14:paraId="6A6B71F8" w14:textId="5949BE31" w:rsidR="00127EEE" w:rsidRPr="000C1E56" w:rsidRDefault="000C1E56" w:rsidP="000C1E56">
      <w:pPr>
        <w:pStyle w:val="NormalHanging12a"/>
        <w:ind w:left="570" w:hanging="570"/>
      </w:pPr>
      <w:r w:rsidRPr="000C1E56">
        <w:t>2.</w:t>
      </w:r>
      <w:r w:rsidRPr="000C1E56">
        <w:tab/>
      </w:r>
      <w:r w:rsidR="00127EEE" w:rsidRPr="000C1E56">
        <w:t xml:space="preserve">εκφράζει δυσαρέσκεια για το γεγονός ότι η Επιτροπή δεν δημοσίευσε ετήσια έκθεση σχετικά με την παρακολούθηση της εφαρμογής του δικαίου της ΕΕ για το 2024, διακόπτοντας έτσι μια πρακτική που καθιερώθηκε πριν από περισσότερα από 40 έτη, το 1983· τονίζει ότι η τακτική, ετήσια παρακολούθηση της εφαρμογής του δικαίου της ΕΕ αποτελεί ουσιαστικό εργαλείο μέσω του οποίου η Επιτροπή εκπληρώνει τον ρόλο της ως θεματοφύλακα των Συνθηκών, σύμφωνα με το άρθρο 17 παράγραφος 1 ΣΕΕ, καθώς συμβάλλει στη διασφάλιση και την παρακολούθηση της ορθής εφαρμογής και επιβολής του δικαίου της ΕΕ σε όλα τα κράτη μέλη και στην παρακολούθηση της προόδου που σημειώνεται στον τομέα αυτό, με τρόπο διαφανή και προσβάσιμο σε όλους· πιστεύει ότι η ετήσια έκθεση για την παρακολούθηση της εφαρμογής του δικαίου της ΕΕ αποτελεί καίριο εργαλείο για τον έλεγχο της ορθής μεταφοράς και εφαρμογής του δικαίου της ΕΕ, καθώς και για τη διασφάλιση της θεσμικής ισορροπίας, όπως προβλέπεται στις Συνθήκες· τονίζει ότι το Κοινοβούλιο, τόσο ως συννομοθέτης όσο και κατά την άσκηση πολιτικού ελέγχου επί της Επιτροπής, σύμφωνα με το άρθρο 14 παράγραφος 1 ΣΕΕ, πρέπει να ενημερώνεται διαρκώς, καθώς και ότι βασίζεται στην εν λόγω έκθεση, προκειμένου να διασφαλίσει ότι ασκεί επαρκώς τα προνόμιά του· τονίζει ότι είναι σημαντικό να διασφαλιστεί η ετήσια παρακολούθηση της εφαρμογής του δικαίου της ΕΕ ανά χώρα, προκειμένου να αποτρέπονται οι παραβιάσεις των θεμελιωδών δικαιωμάτων και του κράτους δικαίου ως συνέπεια της έλλειψης </w:t>
      </w:r>
      <w:r w:rsidR="00127EEE" w:rsidRPr="000C1E56">
        <w:lastRenderedPageBreak/>
        <w:t>συμμόρφωσης· καλεί την Επιτροπή να δώσει ιδιαίτερη προσοχή στην ελευθερία της έκφρασης, την πολυφωνία των μέσων ενημέρωσης, την ισότητα και την απαγόρευση των διακρίσεων, η παραβίαση των οποίων θα μπορούσε να έχει άμεσο αντίκτυπο στην εμπιστοσύνη των πολιτών στην ΕΕ· θεωρεί ότι η διαφανής και προσβάσιμη υποβολή εκθέσεων συμβάλλει στην ενημέρωση των πολιτών σχετικά με την εφαρμογή του δικαίου της ΕΕ και μειώνει τα περιθώρια για παραπληροφόρηση σχετικά με τη λειτουργία της ΕΕ· σημειώνει με ανησυχία ότι τα εθνικά συνταγματικά και ανώτατα δικαστήρια σε ορισμένα κράτη μέλη υπονομεύουν την καθιερωμένη θεωρία περί υπεροχής του δικαίου της ΕΕ· τονίζει ότι οι εξελίξεις αυτές θα πρέπει πάντα να οδηγούν σε ταχείες δραστηριότητες επιβολής από την Επιτροπή, συμπεριλαμβανομένων των διαδικασιών επί παραβάσει·</w:t>
      </w:r>
    </w:p>
    <w:p w14:paraId="37001AE6" w14:textId="18ED0E49" w:rsidR="00127EEE" w:rsidRPr="000C1E56" w:rsidRDefault="000C1E56" w:rsidP="000C1E56">
      <w:pPr>
        <w:pStyle w:val="NormalHanging12a"/>
        <w:ind w:left="570" w:hanging="570"/>
      </w:pPr>
      <w:r w:rsidRPr="000C1E56">
        <w:t>3.</w:t>
      </w:r>
      <w:r w:rsidRPr="000C1E56">
        <w:tab/>
      </w:r>
      <w:r w:rsidR="00127EEE" w:rsidRPr="000C1E56">
        <w:t>σημειώνει τη μετατόπιση της προσέγγισης της Επιτροπής προς έναν νέο κύκλο υποβολής εκθέσεων σχετικά με την παρακολούθηση της εφαρμογής του δικαίου της ΕΕ, με ετήσιες εκθέσεις προόδου όσον αφορά την απλούστευση, την εφαρμογή και την επιβολή από κάθε Επίτροπο, καθώς και ετήσια έκθεση επισκόπησης σχετικά με την απλούστευση, την εφαρμογή και την επιβολή· εκφράζει την ικανοποίησή του για την ετήσια έκθεση επισκόπησης για το 2025 και τις ετήσιες εκθέσεις προόδου των Επιτρόπων για το 2025, οι οποίες καλύπτουν την περίοδο από την 1η Ιανουαρίου έως τις 31 Ιουλίου 2025, καθώς συνιστούν πολύτιμη πηγή τεκμηριωμένων πληροφοριών σχετικά με την κατάσταση της εφαρμογής του δικαίου της ΕΕ σε όλους τους τομείς και τα κράτη μέλη· σημειώνει ότι οι εκθέσεις διέπονται από σαφήνεια· εκφράζει, ωστόσο, τη δυσαρέσκειά του για το γεγονός ότι η ανάλυση εξακολουθεί να επικεντρώνεται υπερβολικά στα επιτεύγματα, χωρίς να δίνεται επαρκής προσοχή στις επίμονες προκλήσεις και στα συστημικά κενά επιβολής· σημειώνει ότι τα ανεπαρκή συγκριτικά δεδομένα και οι δείκτες που προσανατολίζονται στα αποτελέσματα περιορίζουν την αξιολόγηση της πραγματικής προόδου με την πάροδο του χρόνου· τονίζει ότι η ετήσια έκθεση επισκόπησης πρέπει να βαίνει πέραν της περιγραφής και να παρέχει ουσιαστική, κριτική αξιολόγηση των συστημικών προκλήσεων και των ελλείψεων στην εφαρμογή και την επιβολή της νομοθεσίας της ΕΕ, συμπεριλαμβανομένου του σαφούς και διαφανούς εντοπισμού των ελλείψεων και των μέτρων που προβλέπονται για την αντιμετώπισή τους· καλεί την Επιτροπή, στις μελλοντικές εκθέσεις επισκόπησης, να διασφαλίσει μια συνεκτική προσέγγιση, καθώς και να διασφαλίσει ότι τα κεφάλαια για την απλούστευση θα αντισταθμίζονται από ανάλυση της εφαρμογής και της επιβολής· καλεί την Επιτροπή να προχωρήσει πέρα από την τυπολατρική, διαδικαστική παρακολούθηση που επικεντρώνεται απλώς στη μεταφορά των οδηγιών στο εθνικό δίκαιο· τονίζει ότι η παρακολούθηση θα πρέπει να αποτυπώνει την ουσιαστική αποτελεσματικότητα του δικαίου της ΕΕ όσον αφορά την επίτευξη των στόχων του· ζητεί από την Επιτροπή να δημοσιεύσει τη μεθοδολογία που εφαρμόστηκε κατά την κατάρτιση των εκθέσεων επισκόπησης, προκειμένου να διασφαλιστούν η διαφάνεια και ο αποτελεσματικός κοινοβουλευτικός έλεγχος· υπογραμμίζει τη σημασία της καλής συνεργασίας μεταξύ των θεσμικών οργάνων, ιδίως μέσω του διαρκούς διαρθρωμένου διαλόγου μεταξύ της Επιτροπής και του Κοινοβουλίου, για τη διασφάλιση πλήρους διαφάνειας και προσβασιμότητας και για την ενίσχυση της αξιοπιστίας και της χρησιμότητας των εκθέσεων για τους υπεύθυνους χάραξης πολιτικής και τους πολίτες·</w:t>
      </w:r>
    </w:p>
    <w:p w14:paraId="1A14C14C" w14:textId="6931072C" w:rsidR="00127EEE" w:rsidRPr="000C1E56" w:rsidRDefault="000C1E56" w:rsidP="000C1E56">
      <w:pPr>
        <w:pStyle w:val="NormalHanging12a"/>
        <w:ind w:left="570" w:hanging="570"/>
      </w:pPr>
      <w:r w:rsidRPr="000C1E56">
        <w:t>4.</w:t>
      </w:r>
      <w:r w:rsidRPr="000C1E56">
        <w:tab/>
      </w:r>
      <w:r w:rsidR="00127EEE" w:rsidRPr="000C1E56">
        <w:t>ζητεί ενισχυμένη διαφάνεια στη συνεργασία μεταξύ της Επιτροπής, του Κοινοβουλίου και του Συμβουλίου κατά την εφαρμογή και την επιβολή του δικαίου της ΕΕ, μεταξύ άλλων μέσω τακτικών διαρθρωμένων διαλόγων, συστηματικής ανταλλαγής δεδομένων και έγκαιρης διαβίβασης των σχετικών εγγράφων στο Κοινοβούλιο, σύμφωνα με τη διοργανική συμφωνία για τη βελτίωση του νομοθετικού έργου·</w:t>
      </w:r>
    </w:p>
    <w:p w14:paraId="29484EFC" w14:textId="647EA29B" w:rsidR="00127EEE" w:rsidRPr="000C1E56" w:rsidRDefault="000C1E56" w:rsidP="000C1E56">
      <w:pPr>
        <w:pStyle w:val="NormalHanging12a"/>
        <w:ind w:left="570" w:hanging="570"/>
      </w:pPr>
      <w:r w:rsidRPr="000C1E56">
        <w:lastRenderedPageBreak/>
        <w:t>5.</w:t>
      </w:r>
      <w:r w:rsidRPr="000C1E56">
        <w:tab/>
      </w:r>
      <w:r w:rsidR="00127EEE" w:rsidRPr="000C1E56">
        <w:t>εκφράζει τη λύπη του για την απουσία πληροφοριών σχετικά με τις βασικές προτεραιότητες πολιτικής της ΕΕ στην ετήσια έκθεση της Επιτροπής για την παρακολούθηση της εφαρμογής του δικαίου της ΕΕ του 2023, καθώς και στην έκθεση επισκόπησης σχετικά με την απλούστευση, την εφαρμογή και την επιβολή·</w:t>
      </w:r>
    </w:p>
    <w:p w14:paraId="560AF33C" w14:textId="5E0E451F" w:rsidR="00127EEE" w:rsidRPr="000C1E56" w:rsidRDefault="000C1E56" w:rsidP="000C1E56">
      <w:pPr>
        <w:pStyle w:val="NormalHanging12a"/>
        <w:ind w:left="570" w:hanging="570"/>
      </w:pPr>
      <w:r w:rsidRPr="000C1E56">
        <w:t>6.</w:t>
      </w:r>
      <w:r w:rsidRPr="000C1E56">
        <w:tab/>
      </w:r>
      <w:r w:rsidR="00127EEE" w:rsidRPr="000C1E56">
        <w:t>τονίζει την ανάγκη να ενισχυθούν οι εκ των προτέρων μηχανισμοί που διασφαλίζουν ότι οι νομοθετικές προτάσεις συμμορφώνονται πλήρως με την κατανομή αρμοδιοτήτων που προβλέπεται στις Συνθήκες, ώστε να αποφεύγονται καταστάσεις κατά τις οποίες οι πράξεις που εκδίδονται βάσει της πλήρους συνήθους νομοθετικής διαδικασίας και εγκρίνονται από τα κράτη μέλη μπορούν στη συνέχεια να ακυρωθούν, ακόμη και εν μέρει, λόγω νομικής βάσης ή αρμοδιότητας· υπογραμμίζει ότι ο ενισχυμένος νομικός έλεγχος σε όλα τα στάδια της νομοθετικής διαδικασίας είναι απαραίτητος για τη διασφάλιση της σταθερότητας, της προβλεψιμότητας και της αξιοπιστίας της νομοθεσίας της ΕΕ· τονίζει την ανάγκη να διασφαλίσει η Επιτροπή συστηματικούς ελέγχους συμμόρφωσης, προκειμένου να αποφεύγεται η εισβολή της νομοθεσίας της ΕΕ σε τομείς που εξαιρούνται από την αρμοδιότητα της ΕΕ, ιδίως σε ευαίσθητους τομείς·</w:t>
      </w:r>
    </w:p>
    <w:p w14:paraId="7D222EE4" w14:textId="6293E03C" w:rsidR="00127EEE" w:rsidRPr="000C1E56" w:rsidRDefault="000C1E56" w:rsidP="000C1E56">
      <w:pPr>
        <w:pStyle w:val="NormalHanging12a"/>
        <w:ind w:left="570" w:hanging="570"/>
      </w:pPr>
      <w:r w:rsidRPr="000C1E56">
        <w:t>7.</w:t>
      </w:r>
      <w:r w:rsidRPr="000C1E56">
        <w:tab/>
      </w:r>
      <w:r w:rsidR="00127EEE" w:rsidRPr="000C1E56">
        <w:t>καλεί την Επιτροπή να δημοσιεύει ετήσια έκθεση διαφάνειας ειδικά αφιερωμένη στον κύκλο παρακολούθησης, απλούστευσης και επιβολής, στην οποία θα περιγράφονται λεπτομερώς οι μεθοδολογικές αλλαγές, οι πηγές δεδομένων, οι προκλήσεις που ανέκυψαν και οι διαβουλεύσεις που πραγματοποιήθηκαν με τα ενδιαφερόμενα μέρη και τις εθνικές διοικήσεις·</w:t>
      </w:r>
    </w:p>
    <w:p w14:paraId="236DE8D3" w14:textId="14DC4D73" w:rsidR="00127EEE" w:rsidRPr="000C1E56" w:rsidRDefault="000C1E56" w:rsidP="000C1E56">
      <w:pPr>
        <w:pStyle w:val="NormalHanging12a"/>
        <w:ind w:left="570" w:hanging="570"/>
      </w:pPr>
      <w:r w:rsidRPr="000C1E56">
        <w:t>8.</w:t>
      </w:r>
      <w:r w:rsidRPr="000C1E56">
        <w:tab/>
      </w:r>
      <w:r w:rsidR="00127EEE" w:rsidRPr="000C1E56">
        <w:t>σημειώνει τις αναφορές, στην έκθεση επισκόπησης της Επιτροπής του 2025 και στις διαθέσιμες τομεακές εκθέσεις προόδου, οι οποίες αφορούν τους διαλόγους πριν από την κίνηση διαδικασίας επί παραβάσει (γνωστούς στο παρελθόν και ως EU</w:t>
      </w:r>
      <w:r w:rsidR="00187C57" w:rsidRPr="000C1E56">
        <w:t xml:space="preserve"> </w:t>
      </w:r>
      <w:r w:rsidR="00127EEE" w:rsidRPr="000C1E56">
        <w:t>Pilot), την τρέχουσα λειτουργία τους και τον ρόλο τους στη διευκόλυνση της έγκαιρης επίλυσης προβλημάτων πριν από την κίνηση επίσημης διαδικασίας επί παραβάσει· θεωρεί, ωστόσο, ότι οι αναφορές αυτές θα πρέπει να είναι πιο διεξοδικές·</w:t>
      </w:r>
    </w:p>
    <w:p w14:paraId="4A89B434" w14:textId="4CE55435" w:rsidR="00127EEE" w:rsidRPr="000C1E56" w:rsidRDefault="000C1E56" w:rsidP="000C1E56">
      <w:pPr>
        <w:pStyle w:val="NormalHanging12a"/>
        <w:ind w:left="570" w:hanging="570"/>
      </w:pPr>
      <w:r w:rsidRPr="000C1E56">
        <w:t>9.</w:t>
      </w:r>
      <w:r w:rsidRPr="000C1E56">
        <w:tab/>
      </w:r>
      <w:r w:rsidR="00127EEE" w:rsidRPr="000C1E56">
        <w:t>τονίζει ότι οι αναφορές που λαμβάνει το Κοινοβούλιο αποτελούν ζωτικής σημασίας μέσο για τον εντοπισμό ελλείψεων στην εφαρμογή του δικαίου της ΕΕ, συμπεριλαμβανομένων συστημικών ή διαρθρωτικών παραβιάσεων στα κράτη μέλη· παροτρύνει, ως εκ τούτου, την Επιτροπή να διασφαλίσει ότι οι πληροφορίες και τα πορίσματα που προκύπτουν από τις αναφορές λαμβάνονται υπόψη και ενσωματώνονται στις διαδικασίες επιβολής και παρακολούθησης· ζητεί από την Επιτροπή, ειδικότερα, να παράσχει λεπτομερή στατιστικά στοιχεία σχετικά με τον αριθμό των αναφορών στις οποίες δίνει συνέχεια η Επιτροπή, συμπεριλαμβανομένων εκείνων που οδήγησαν σε περαιτέρω διερεύνηση μέσω διαδικασιών EU Pilot ή διαδικασιών επί παραβάσει·</w:t>
      </w:r>
    </w:p>
    <w:p w14:paraId="1FD308A8" w14:textId="6C85323E" w:rsidR="00127EEE" w:rsidRPr="000C1E56" w:rsidRDefault="000C1E56" w:rsidP="000C1E56">
      <w:pPr>
        <w:pStyle w:val="NormalHanging12a"/>
        <w:ind w:left="570" w:hanging="570"/>
      </w:pPr>
      <w:r w:rsidRPr="000C1E56">
        <w:t>10.</w:t>
      </w:r>
      <w:r w:rsidRPr="000C1E56">
        <w:tab/>
      </w:r>
      <w:r w:rsidR="00127EEE" w:rsidRPr="000C1E56">
        <w:t>εκφράζει την ανησυχία του για το γεγονός ότι απουσιάζουν σε τακτική βάση οι εκτιμήσεις επιπτώσεων που συνοδεύουν τις νομοθετικές προτάσεις, ιδίως τις νομοθετικές προτάσεις με πιθανές σημαντικές επιπτώσεις στα θεμελιώδη δικαιώματα· τονίζει ότι οι εκτιμήσεις επιπτώσεων συμβάλλουν στην ποιότητα της νομοθεσίας της ΕΕ και, ως εκ τούτου, διευκολύνουν την εφαρμογή της, καθώς και βελτιώνουν τη διαφάνεια και τη λογοδοσία των θεσμικών οργάνων της ΕΕ· τονίζει τη σημασία της διαβούλευσης με τα σχετικά ενδιαφερόμενα μέρη και τις οργανώσεις της κοινωνίας των πολιτών κατά την κατάρτιση των εκτιμήσεων επιπτώσεων·</w:t>
      </w:r>
    </w:p>
    <w:p w14:paraId="7DFFDFBB" w14:textId="23A78425" w:rsidR="00127EEE" w:rsidRPr="000C1E56" w:rsidRDefault="000C1E56" w:rsidP="000C1E56">
      <w:pPr>
        <w:pStyle w:val="NormalHanging12a"/>
        <w:ind w:left="570" w:hanging="570"/>
      </w:pPr>
      <w:r w:rsidRPr="000C1E56">
        <w:lastRenderedPageBreak/>
        <w:t>11.</w:t>
      </w:r>
      <w:r w:rsidRPr="000C1E56">
        <w:tab/>
      </w:r>
      <w:r w:rsidR="00127EEE" w:rsidRPr="000C1E56">
        <w:t>συνιστά στην Επιτροπή να μεριμνήσει για την ευρεία συμμετοχή των ενδιαφερόμενων μερών, των οργανώσεων της κοινωνίας των πολιτών και των ανεξάρτητων εμπειρογνωμόνων κατά την παρακολούθηση της εφαρμογής του δικαίου της ΕΕ, αξιοποιώντας πλήρως την εμπειρογνωσία και τις γνώσεις τους σχετικά με την εφαρμογή σε τοπικό επίπεδο·</w:t>
      </w:r>
    </w:p>
    <w:p w14:paraId="5C370CCE" w14:textId="2218920B" w:rsidR="00127EEE" w:rsidRPr="000C1E56" w:rsidRDefault="000C1E56" w:rsidP="000C1E56">
      <w:pPr>
        <w:pStyle w:val="NormalHanging12a"/>
        <w:ind w:left="570" w:hanging="570"/>
      </w:pPr>
      <w:r w:rsidRPr="000C1E56">
        <w:t>12.</w:t>
      </w:r>
      <w:r w:rsidRPr="000C1E56">
        <w:tab/>
      </w:r>
      <w:r w:rsidR="00127EEE" w:rsidRPr="000C1E56">
        <w:t>επαναβεβαιώνει ότι ο σεβασμός του κράτους δικαίου αποτελεί θεμελιώδη προϋπόθεση για την αποτελεσματική μεταφορά και την ομοιόμορφη εφαρμογή του δικαίου της ΕΕ σε όλα τα κράτη μέλη και αναγνωρίζει τον καίριο ρόλο της επιβολής της νομοθεσίας στην προστασία των θεμελιωδών δικαιωμάτων· τονίζει ότι η ορθή και ομοιόμορφη εφαρμογή του δικαίου της ΕΕ στους τομείς της ελευθερίας, της ασφάλειας και της δικαιοσύνης είναι απαραίτητη για τη διασφάλιση των θεμελιωδών δικαιωμάτων, της αμοιβαίας εμπιστοσύνης και του κράτους δικαίου σε ολόκληρη την ΕΕ· σημειώνει με ανησυχία τις ελλείψεις που εξακολουθούν να υπάρχουν στη μεταφορά στο εθνικό δίκαιο και την εφαρμογή βασικών νομικών πράξεων· εκφράζει την ισχυρή υποστήριξή του στον μηχανισμό αιρεσιμότητας για το κράτος δικαίου και καλεί την Επιτροπή να τον εφαρμόσει με συνέπεια και με αντικειμενικό και διαφανή τρόπο· τονίζει την επείγουσα ανάγκη για αυξημένο έλεγχο της συμμόρφωσης των κρατών μελών με τις θεμελιώδεις αξίες της ΕΕ, δηλαδή το κράτος δικαίου, τη δημοκρατία και τον σεβασμό των ανθρωπίνων δικαιωμάτων, όπως κατοχυρώνονται στο άρθρο 2 ΣΕΕ· υπογραμμίζει ότι ο μηχανισμός που κατοχυρώνεται στο άρθρο 7 ΣΕΕ αποτελεί βασικό εργαλείο επιβολής σε περίπτωση σαφούς κινδύνου σοβαρής παραβίασης· τονίζει ότι ο σεβασμός του κράτους δικαίου δεν αφορά μόνο τα κράτη μέλη αλλά και τα θεσμικά όργανα της ΕΕ, τα οποία θα πρέπει να λογοδοτούν όσον αφορά τη συμμόρφωση με τις Συνθήκες·</w:t>
      </w:r>
    </w:p>
    <w:p w14:paraId="46F32F0D" w14:textId="26583C93" w:rsidR="00127EEE" w:rsidRPr="000C1E56" w:rsidRDefault="000C1E56" w:rsidP="000C1E56">
      <w:pPr>
        <w:pStyle w:val="NormalHanging12a"/>
        <w:ind w:left="570" w:hanging="570"/>
      </w:pPr>
      <w:r w:rsidRPr="000C1E56">
        <w:t>13.</w:t>
      </w:r>
      <w:r w:rsidRPr="000C1E56">
        <w:tab/>
      </w:r>
      <w:r w:rsidR="00127EEE" w:rsidRPr="000C1E56">
        <w:t>χαιρετίζει τις προσπάθειες της Επιτροπής να επιβάλει την απόφαση-πλαίσιο 2008/913/ΔΕΥ του Συμβουλίου, της 28ης Νοεμβρίου 2008, για την καταπολέμηση ορισμένων μορφών και εκδηλώσεων ρατσισμού και ξενοφοβίας μέσω του ποινικού δικαίου</w:t>
      </w:r>
      <w:r w:rsidR="00AF3FCC" w:rsidRPr="000C1E56">
        <w:rPr>
          <w:rStyle w:val="FootnoteReference"/>
        </w:rPr>
        <w:footnoteReference w:id="6"/>
      </w:r>
      <w:r w:rsidR="00127EEE" w:rsidRPr="000C1E56">
        <w:t>, καθώς και την πράξη για τις ψηφιακές υπηρεσίες</w:t>
      </w:r>
      <w:r w:rsidR="00AF3FCC" w:rsidRPr="000C1E56">
        <w:rPr>
          <w:rStyle w:val="FootnoteReference"/>
        </w:rPr>
        <w:footnoteReference w:id="7"/>
      </w:r>
      <w:r w:rsidR="00127EEE" w:rsidRPr="000C1E56">
        <w:t>, προκειμένου να διασφαλιστεί ισχυρή νομική και θεσμική προστασία έναντι της ρητορικής μίσους, των διακρίσεων και της βίας, τόσο στο φυσικό όσο και στο ψηφιακό περιβάλλον·</w:t>
      </w:r>
    </w:p>
    <w:p w14:paraId="7A60D4FE" w14:textId="3B00BCD0" w:rsidR="00127EEE" w:rsidRPr="000C1E56" w:rsidRDefault="000C1E56" w:rsidP="000C1E56">
      <w:pPr>
        <w:pStyle w:val="NormalHanging12a"/>
        <w:ind w:left="570" w:hanging="570"/>
      </w:pPr>
      <w:r w:rsidRPr="000C1E56">
        <w:t>14.</w:t>
      </w:r>
      <w:r w:rsidRPr="000C1E56">
        <w:tab/>
      </w:r>
      <w:r w:rsidR="00127EEE" w:rsidRPr="000C1E56">
        <w:t>ζητεί ισχυρότερη διασυνοριακή συνεργασία μεταξύ των δικαστικών αρχών και των αρχών επιβολής του νόμου για την αποτελεσματική καταπολέμηση του σοβαρού εγκλήματος, της διαφθοράς και της τρομοκρατίας· υποστηρίζει την περαιτέρω ψηφιοποίηση των εργαλείων δικαιοσύνης, συμπεριλαμβανομένης της πλήρους ανάπτυξης των ηλεκτρονικών αποδεικτικών στοιχείων και του e-CODEX· υπογραμμίζει τη σημασία της ενίσχυσης του ρόλου και της επιχειρησιακής ικανότητας της Ευρωπαϊκής Εισαγγελίας·</w:t>
      </w:r>
    </w:p>
    <w:p w14:paraId="6FD81B37" w14:textId="20821F8A" w:rsidR="00127EEE" w:rsidRPr="000C1E56" w:rsidRDefault="000C1E56" w:rsidP="000C1E56">
      <w:pPr>
        <w:pStyle w:val="NormalHanging12a"/>
        <w:ind w:left="570" w:hanging="570"/>
      </w:pPr>
      <w:r w:rsidRPr="000C1E56">
        <w:t>15.</w:t>
      </w:r>
      <w:r w:rsidRPr="000C1E56">
        <w:tab/>
      </w:r>
      <w:r w:rsidR="00127EEE" w:rsidRPr="000C1E56">
        <w:t xml:space="preserve">τονίζει ότι, όταν η Επιτροπή επιβάλλει την προστασία των θεμελιωδών δικαιωμάτων βάσει του Χάρτη των Θεμελιωδών Δικαιωμάτων, τα οποία αντιστοιχούν σε δικαιώματα που κατοχυρώνονται στη Σύμβαση για την Προάσπιση των Δικαιωμάτων του </w:t>
      </w:r>
      <w:r w:rsidR="00127EEE" w:rsidRPr="000C1E56">
        <w:lastRenderedPageBreak/>
        <w:t>Ανθρώπου και των Θεμελιωδών Ελευθεριών, θα πρέπει να λαμβάνει δεόντως υπόψη τη νομολογία του Ευρωπαϊκού Δικαστηρίου των Δικαιωμάτων του Ανθρώπου·</w:t>
      </w:r>
    </w:p>
    <w:p w14:paraId="5099126D" w14:textId="449EF0A1" w:rsidR="00127EEE" w:rsidRPr="000C1E56" w:rsidRDefault="000C1E56" w:rsidP="000C1E56">
      <w:pPr>
        <w:pStyle w:val="NormalHanging12a"/>
        <w:ind w:left="570" w:hanging="570"/>
      </w:pPr>
      <w:r w:rsidRPr="000C1E56">
        <w:t>16.</w:t>
      </w:r>
      <w:r w:rsidRPr="000C1E56">
        <w:tab/>
      </w:r>
      <w:r w:rsidR="00127EEE" w:rsidRPr="000C1E56">
        <w:t>προσυπογράφει τις στρατηγικές συστάσεις που διατυπώνονται στις εκθέσεις Draghi και Letta και τονίζει τη σημασία τους για την ενίσχυση της ικανότητας εφαρμογής της ΕΕ, τον εκσυγχρονισμό της ενιαίας αγοράς και τη διασφάλιση μιας πιο συνεκτικής και προσανατολισμένης στα αποτελέσματα διακυβέρνησης του δικαίου της ΕΕ σε όλους τους τομείς πολιτικής·</w:t>
      </w:r>
    </w:p>
    <w:p w14:paraId="1B64CCC5" w14:textId="77777777" w:rsidR="00127EEE" w:rsidRPr="000C1E56" w:rsidRDefault="00127EEE" w:rsidP="00211FA8">
      <w:pPr>
        <w:pStyle w:val="Normal12a"/>
        <w:rPr>
          <w:i/>
          <w:iCs/>
        </w:rPr>
      </w:pPr>
      <w:r w:rsidRPr="000C1E56">
        <w:rPr>
          <w:b/>
          <w:i/>
        </w:rPr>
        <w:t>Διαδικασίες επί παραβάσει</w:t>
      </w:r>
    </w:p>
    <w:p w14:paraId="05106DFF" w14:textId="7A204FB6" w:rsidR="00127EEE" w:rsidRPr="000C1E56" w:rsidRDefault="000C1E56" w:rsidP="000C1E56">
      <w:pPr>
        <w:pStyle w:val="NormalHanging12a"/>
        <w:ind w:left="570" w:hanging="570"/>
      </w:pPr>
      <w:r w:rsidRPr="000C1E56">
        <w:t>17.</w:t>
      </w:r>
      <w:r w:rsidRPr="000C1E56">
        <w:tab/>
      </w:r>
      <w:r w:rsidR="00127EEE" w:rsidRPr="000C1E56">
        <w:t>εκφράζει την έντονη ανησυχία του για την απροθυμία της Επιτροπής να κινήσει διαδικασίες επί παραβάσει ενώπιον του ΔΕΕ, ακόμη και σε υποθέσεις που αφορούν σαφείς και διαρκείς παραβιάσεις του δικαίου της ΕΕ· παροτρύνει την Επιτροπή, ως θεματοφύλακα των Συνθηκών, να κάνει πλήρη χρήση όλων των διαθέσιμων εργαλείων επιβολής και να μην αποφεύγει τις δικαστικές διαδικασίες ως βασικό εργαλείο επιβολής για τη διασφάλιση της συμμόρφωσης και την προάσπιση του κύρους του δικαίου της ΕΕ· εκφράζει τη δυσαρέσκειά του για το γεγονός ότι η κίνηση διαδικασιών επί παραβάσει παραμένει επιλεκτική, δεδομένης της προσέγγισης της Επιτροπής που δίνει προτεραιότητα στις παραβιάσεις που θεωρεί ότι έχουν τον σημαντικότερο αντίκτυπο στα δημόσια και επιχειρηματικά συμφέροντα</w:t>
      </w:r>
      <w:r w:rsidR="00AF3FCC" w:rsidRPr="000C1E56">
        <w:rPr>
          <w:rStyle w:val="FootnoteReference"/>
        </w:rPr>
        <w:footnoteReference w:id="8"/>
      </w:r>
      <w:r w:rsidR="00127EEE" w:rsidRPr="000C1E56">
        <w:t>, και εκφράζει την ανησυχία του για το γεγονός ότι πιθανές παραβιάσεις του δικαίου της ΕΕ δεν ακολουθούνται συστηματικά από μέτρα επιβολής· τονίζει τη σημασία της αποτελεσματικής παρακολούθησης και της προληπτικής δράσης προκειμένου να διασφαλιστεί ότι οι πολίτες δεν επωμίζονται το κόστος της ελλιπούς μεταφοράς ή της εσφαλμένης εφαρμογής του δικαίου της ΕΕ από τα κράτη μέλη·</w:t>
      </w:r>
    </w:p>
    <w:p w14:paraId="62588D9A" w14:textId="6AF2A7E8" w:rsidR="00127EEE" w:rsidRPr="000C1E56" w:rsidRDefault="000C1E56" w:rsidP="000C1E56">
      <w:pPr>
        <w:pStyle w:val="NormalHanging12a"/>
        <w:ind w:left="570" w:hanging="570"/>
      </w:pPr>
      <w:r w:rsidRPr="000C1E56">
        <w:t>18.</w:t>
      </w:r>
      <w:r w:rsidRPr="000C1E56">
        <w:tab/>
      </w:r>
      <w:r w:rsidR="00127EEE" w:rsidRPr="000C1E56">
        <w:t>επικρίνει την έλλειψη διαφάνειας όσον αφορά τα κριτήρια που χρησιμοποιεί η Επιτροπή για να δώσει προτεραιότητα σε ορισμένα μέτρα επιβολής έναντι άλλων· καλεί την Επιτροπή να εγκρίνει και να δημοσιεύσει διαφανή, αντικειμενικά κριτήρια που να εφαρμόζονται σε υποθέσεις επί παραβάσει, ιδίως όσον αφορά την επιλογή και την ιεράρχηση των υποθέσεων που αφορούν σοβαρές ή συστημικές παραβιάσεις των θεμελιωδών δικαιωμάτων, των αρχών του κράτους δικαίου ή των κανόνων της εσωτερικής αγοράς· επιμένει στην ανάγκη για μεγαλύτερη διαφάνεια καθ’ όλη τη διάρκεια της διαδικασίας, συμπεριλαμβανομένης της πρόσβασης του κοινού σε πληροφορίες σχετικά με το καθεστώς, τη φύση και το πεδίο εφαρμογής των ανοικτών διαδικασιών, τα αποτελέσματα των διαδικασιών, καθώς και τις παρατηρήσεις των πολιτών, τόσο αυτές που λαμβάνονται όσο και εκείνες που εξετάζονται, ιδίως κατά το στάδιο κίνησης των διαδικασιών επί παραβάσει· καλεί την Επιτροπή να υποβάλλει εκθέσεις προορατικά και σε συνεχή βάση σχετικά με περιπτώσεις στις οποίες έχει ενεργήσει αποκρινόμενη σε εικαζόμενες σοβαρές παραβάσεις και σχετικά με περιπτώσεις στις οποίες έχει αποφασίσει να μην ενεργήσει·</w:t>
      </w:r>
    </w:p>
    <w:p w14:paraId="7A3D2F19" w14:textId="090A4B2D" w:rsidR="00127EEE" w:rsidRPr="000C1E56" w:rsidRDefault="000C1E56" w:rsidP="000C1E56">
      <w:pPr>
        <w:pStyle w:val="NormalHanging12a"/>
        <w:ind w:left="570" w:hanging="570"/>
      </w:pPr>
      <w:r w:rsidRPr="000C1E56">
        <w:t>19.</w:t>
      </w:r>
      <w:r w:rsidRPr="000C1E56">
        <w:tab/>
      </w:r>
      <w:r w:rsidR="00127EEE" w:rsidRPr="000C1E56">
        <w:t xml:space="preserve">εκφράζει τη δυσαρέσκειά του για το γεγονός ότι συχνά δεν κινούνται διαδικασίες επί παραβάσει για μη συμμόρφωση με τις αποφάσεις του ΔΕΕ· καλεί την Επιτροπή να κινεί συστηματικά τέτοιες διαδικασίες σε περιπτώσεις κατά τις οποίες δεν εφαρμόζεται απόφαση του ΔΕΕ, μεταξύ άλλων με την έκδοση αιτημάτων για την καταβολή </w:t>
      </w:r>
      <w:r w:rsidR="00127EEE" w:rsidRPr="000C1E56">
        <w:lastRenderedPageBreak/>
        <w:t>κατ’ αποκοπή ποσών ή για χρηματικές ποινές, ιδίως σε περιπτώσεις συστημικών παραβιάσεων του δικαίου της ΕΕ ή επανειλημμένης μη συμμόρφωσης κράτους μέλους με τις αποφάσεις του ΔΕΕ·</w:t>
      </w:r>
    </w:p>
    <w:p w14:paraId="1844D057" w14:textId="59756E03" w:rsidR="00127EEE" w:rsidRPr="000C1E56" w:rsidRDefault="000C1E56" w:rsidP="000C1E56">
      <w:pPr>
        <w:pStyle w:val="NormalHanging12a"/>
        <w:ind w:left="570" w:hanging="570"/>
      </w:pPr>
      <w:r w:rsidRPr="000C1E56">
        <w:t>20.</w:t>
      </w:r>
      <w:r w:rsidRPr="000C1E56">
        <w:tab/>
      </w:r>
      <w:r w:rsidR="00127EEE" w:rsidRPr="000C1E56">
        <w:t>τονίζει ότι οι καταγγελίες σχετικά με εικαζόμενες παραβιάσεις του δικαίου της ΕΕ από τα κράτη μέλη που υποβάλλονται από πολίτες, επαγγελματίες του νομικού κλάδου ή οργανώσεις της κοινωνίας των πολιτών αποτελούν σημαντική πηγή πληροφοριών σχετικά με την επιβολή του δικαίου της ΕΕ· παροτρύνει την Επιτροπή, όταν της υποβάλλονται καταγγελίες, να διασφαλίζει ότι δίνεται η κατάλληλη συνέχεια στις εν λόγω καταγγελίες, συμπεριλαμβανομένης, κατά περίπτωση, της έγκαιρης κίνησης διαδικασιών επί παραβάσει ή της σαφούς επικοινωνίας με τον αιτούντα σχετικά με τους λόγους για τους οποίους δεν θα κινηθεί διαδικασία επί παραβάσει· υπογραμμίζει, επιπλέον, τη σημασία άλλων διαύλων που επιτρέπουν στους πολίτες να καταγγέλλουν περιπτώσεις κακοδιοίκησης από θεσμικό όργανο της ΕΕ ή απάτης, και την ανάγκη να ενισχυθούν τα οικονομικά μέσα και το προσωπικό του Ευρωπαίου Διαμεσολαβητή και της Ευρωπαϊκής Υπηρεσίας Καταπολέμησης της Απάτης, καθώς και να καταστεί αποτελεσματικότερος ο μηχανισμός υποβολής αναφορών στο Ευρωπαϊκό Κοινοβούλιο·</w:t>
      </w:r>
    </w:p>
    <w:p w14:paraId="2D996002" w14:textId="7262F59D" w:rsidR="00ED6069" w:rsidRPr="000C1E56" w:rsidRDefault="000C1E56" w:rsidP="000C1E56">
      <w:pPr>
        <w:pStyle w:val="NormalHanging12a"/>
        <w:ind w:left="570" w:hanging="570"/>
      </w:pPr>
      <w:r w:rsidRPr="000C1E56">
        <w:t>21.</w:t>
      </w:r>
      <w:r w:rsidRPr="000C1E56">
        <w:tab/>
      </w:r>
      <w:r w:rsidR="00ED6069" w:rsidRPr="000C1E56">
        <w:t>σημειώνει ότι το Κοινοβούλιο έχει λάβει αρκετές αναφορές που εγείρουν σοβαρές ανησυχίες σχετικά με τη σεξουαλική κακοποίηση παιδιών, ιδίως στο διαδίκτυο, και γενικότερα σχετικά με επαναλαμβανόμενες ή συστημικές ελλείψεις στην εφαρμογή του δικαίου της ΕΕ σχετικά με την προστασία των παιδιών· τονίζει ότι το 2023 και το 2025 η Επιτροπή έδωσε συνέχεια σε διαδικασίες επί παραβάσει κατά 18 κρατών μελών για πλημμελή μεταφορά από πλευράς τους της οδηγίας 2011/93/ΕΕ σχετικά με την καταπολέμηση της σεξουαλικής κακοποίησης παιδιών</w:t>
      </w:r>
      <w:r w:rsidR="00ED6069" w:rsidRPr="000C1E56">
        <w:rPr>
          <w:rStyle w:val="FootnoteReference"/>
        </w:rPr>
        <w:footnoteReference w:id="9"/>
      </w:r>
      <w:r w:rsidR="00ED6069" w:rsidRPr="000C1E56">
        <w:t>, εκ των οποίων μόνο 8 έχουν περατωθεί· καλεί την Επιτροπή να δώσει προτεραιότητα στην επιβολή στον τομέα αυτόν και να διασφαλίσει την ταχεία και αποτελεσματική παρακολούθηση των αναφορών που εγείρουν ισχυρισμούς περί μη συμμόρφωσης, δεδομένης της ιδιαίτερης ευαισθησίας των παιδιών· ενθαρρύνει, σε αυτό το πλαίσιο, την Επιτροπή να χρησιμοποιήσει όλα τα διαθέσιμα διαδικαστικά και νομικά μέσα για να διασφαλίσει την πλήρη και αποτελεσματική εφαρμογή του δικαίου της ΕΕ με στόχο την πρόληψη και την καταπολέμηση της σεξουαλικής κακοποίησης των παιδιών·</w:t>
      </w:r>
    </w:p>
    <w:p w14:paraId="22F94FA2" w14:textId="3FCE8F79" w:rsidR="00127EEE" w:rsidRPr="000C1E56" w:rsidRDefault="000C1E56" w:rsidP="000C1E56">
      <w:pPr>
        <w:pStyle w:val="NormalHanging12a"/>
        <w:ind w:left="570" w:hanging="570"/>
      </w:pPr>
      <w:r w:rsidRPr="000C1E56">
        <w:t>22.</w:t>
      </w:r>
      <w:r w:rsidRPr="000C1E56">
        <w:tab/>
      </w:r>
      <w:r w:rsidR="00127EEE" w:rsidRPr="000C1E56">
        <w:t>σημειώνει με ανησυχία ότι σε ορισμένα κράτη μέλη τελεί υπό απειλή η διαδικασία προδικαστικής παραπομπής, συμπεριλαμβανομένων των εξουσιών των δικαστών να ζητούν την έκδοση προδικαστικών αποφάσεων· τονίζει ότι τα εμπόδια αυτά υπονομεύουν την ορθή εφαρμογή του δικαίου της ΕΕ στα εν λόγω κράτη μέλη· παροτρύνει την Επιτροπή να αξιοποιήσει πλήρως τα σχετικά μέσα για να διασφαλίσει την πλήρη συμμόρφωση με τη διαδικασία έκδοσης προδικαστικών αποφάσεων·</w:t>
      </w:r>
    </w:p>
    <w:p w14:paraId="5170ABE7" w14:textId="0955E8BF" w:rsidR="00127EEE" w:rsidRPr="000C1E56" w:rsidRDefault="000C1E56" w:rsidP="000C1E56">
      <w:pPr>
        <w:pStyle w:val="NormalHanging12a"/>
        <w:ind w:left="570" w:hanging="570"/>
      </w:pPr>
      <w:r w:rsidRPr="000C1E56">
        <w:t>23.</w:t>
      </w:r>
      <w:r w:rsidRPr="000C1E56">
        <w:tab/>
      </w:r>
      <w:r w:rsidR="00127EEE" w:rsidRPr="000C1E56">
        <w:t xml:space="preserve">παροτρύνει την Επιτροπή να κάνει αποτελεσματική χρήση της προ της ασκήσεως της προσφυγής διαδικασίας, λαμβάνοντας υπόψη τον στόχο να διασφαλιστεί ότι τα κράτη μέλη συμμορφώνονται με τις υποχρεώσεις που απορρέουν από το δίκαιο της ΕΕ το συντομότερο δυνατόν· παροτρύνει την Επιτροπή να θεσπίσει χρονικό όριο για τον διάλογο πριν από την κίνηση διαδικασίας επί παραβάσει, ο οποίος ήταν γνωστός στο </w:t>
      </w:r>
      <w:r w:rsidR="00127EEE" w:rsidRPr="000C1E56">
        <w:lastRenderedPageBreak/>
        <w:t>παρελθόν ως διαδικασία EU Pilot, προκειμένου να διασφαλιστεί η ταχεία επίλυση και επιβολή· συνιστά την παροχή λεπτομερέστερων και πιο προσβάσιμων πληροφοριών σχετικά με αυτούς τους άτυπους διαλόγους, συμπεριλαμβανομένων των αναμενόμενων χρονοδιαγραμμάτων και αποτελεσμάτων, ώστε να διασφαλιστεί η λογοδοσία και η έγκαιρη επίλυση·</w:t>
      </w:r>
    </w:p>
    <w:p w14:paraId="6A7FA3A4" w14:textId="77777777" w:rsidR="00127EEE" w:rsidRPr="000C1E56" w:rsidRDefault="00127EEE" w:rsidP="00211FA8">
      <w:pPr>
        <w:pStyle w:val="Normal12a"/>
        <w:rPr>
          <w:i/>
          <w:iCs/>
        </w:rPr>
      </w:pPr>
      <w:r w:rsidRPr="000C1E56">
        <w:rPr>
          <w:b/>
          <w:i/>
        </w:rPr>
        <w:t>Εφαρμογή του δικαίου της ΕΕ</w:t>
      </w:r>
    </w:p>
    <w:p w14:paraId="3DB5CBE8" w14:textId="6D705410" w:rsidR="00127EEE" w:rsidRPr="000C1E56" w:rsidRDefault="000C1E56" w:rsidP="000C1E56">
      <w:pPr>
        <w:pStyle w:val="NormalHanging12a"/>
        <w:ind w:left="570" w:hanging="570"/>
      </w:pPr>
      <w:r w:rsidRPr="000C1E56">
        <w:t>24.</w:t>
      </w:r>
      <w:r w:rsidRPr="000C1E56">
        <w:tab/>
      </w:r>
      <w:r w:rsidR="00127EEE" w:rsidRPr="000C1E56">
        <w:t>ενθαρρύνει την Επιτροπή και τα κράτη μέλη να ενισχύσουν τη διαρθρωμένη συνεργασία και τους μηχανισμούς έγκαιρης προειδοποίησης που συμβάλλουν στον εντοπισμό προβλημάτων όσον αφορά τη μεταφορά στο εθνικό δίκαιο ή την εφαρμογή προτού καταστούν αναγκαίες οι επίσημες διαδικασίες επί παραβάσει· παροτρύνει τα κράτη μέλη να τηρούν αυστηρά τις προθεσμίες μεταφοράς στο εθνικό δίκαιο, να ακολουθούν τις κατευθυντήριες γραμμές που εκδίδει η Επιτροπή και να συμμετέχουν ενεργά και πλήρως σε διαλόγους εφαρμογής, καθώς και να ενημερώνουν εγκαίρως την Επιτροπή σχετικά με πιθανά εμπόδια και ζητήματα που αφορούν τη μεταφορά και την εφαρμογή, προκειμένου να αποφεύγονται καθυστερήσεις, σφάλματα και πιθανές κυρώσεις· ζητεί περαιτέρω στήριξη για την ανάπτυξη της διοικητικής και τεχνικής ικανότητας των κρατών μελών στο πλαίσιο αυτό· εκφράζει τη δυσαρέσκειά του για το γεγονός ότι ορισμένα κράτη μέλη είτε αναφέρουν καθυστερημένα ζητήματα μεταφοράς και/ή εφαρμογής είτε δεν τα αναφέρουν καθόλου, με αποτέλεσμα καθυστερήσεις που επηρεάζουν αρνητικά τους πολίτες και τις επιχειρήσεις της ΕΕ· υπενθυμίζει ότι τα κράτη μέλη συμμετέχουν στη νομοθετική διαδικασία μέσω του Συμβουλίου ως συννομοθέτη· τονίζει ότι η έλλειψη επιβολής του δικαίου της ΕΕ υπονομεύει την αντίληψη των πολιτών για την ΕΕ και την ικανότητά της να παράγει αποτελέσματα·</w:t>
      </w:r>
    </w:p>
    <w:p w14:paraId="025C4A64" w14:textId="17C4A165" w:rsidR="00127EEE" w:rsidRPr="000C1E56" w:rsidRDefault="000C1E56" w:rsidP="000C1E56">
      <w:pPr>
        <w:pStyle w:val="NormalHanging12a"/>
        <w:ind w:left="570" w:hanging="570"/>
      </w:pPr>
      <w:r w:rsidRPr="000C1E56">
        <w:t>25.</w:t>
      </w:r>
      <w:r w:rsidRPr="000C1E56">
        <w:tab/>
      </w:r>
      <w:r w:rsidR="00127EEE" w:rsidRPr="000C1E56">
        <w:t>εκφράζει την ικανοποίησή του για την καθιέρωση διαλόγων εφαρμογής ως νέου μέσου για τη στήριξη της συμμόρφωσης των κρατών μελών με το δίκαιο της ΕΕ· τονίζει τη σημασία της θέσπισης μιας σαφούς, διαφανούς και χωρίς αποκλεισμούς διαδικασίας για τον εντοπισμό, την επιλογή και τη συμμετοχή των ενδιαφερόμενων μερών στους εν λόγω διαλόγους σε όλα τα κράτη μέλη της ΕΕ· σημειώνει με ανησυχία ότι η συμμετοχή των περιφερειακών και τοπικών αρχών στους διαλόγους εφαρμογής παραμένει περιορισμένη· τονίζει ότι η ουσιαστική συμμετοχή των ενδιαφερόμενων μερών είναι απαραίτητη για την ενίσχυση της ποιότητας, της νομιμότητας και της αποτελεσματικότητας των προσπαθειών εφαρμογής·</w:t>
      </w:r>
    </w:p>
    <w:p w14:paraId="299EA044" w14:textId="7592B207" w:rsidR="00127EEE" w:rsidRPr="000C1E56" w:rsidRDefault="000C1E56" w:rsidP="000C1E56">
      <w:pPr>
        <w:pStyle w:val="NormalHanging12a"/>
        <w:ind w:left="570" w:hanging="570"/>
      </w:pPr>
      <w:r w:rsidRPr="000C1E56">
        <w:t>26.</w:t>
      </w:r>
      <w:r w:rsidRPr="000C1E56">
        <w:tab/>
      </w:r>
      <w:r w:rsidR="00127EEE" w:rsidRPr="000C1E56">
        <w:t>σημειώνει ότι, σύμφωνα με τον πίνακα αποτελεσμάτων της ενιαίας αγοράς, η μέση καθυστέρηση μεταφοράς των οδηγιών για την ενιαία αγορά στην ΕΕ ανέρχεται επί του παρόντος σε 11,9 μήνες, γεγονός που σημαίνει ότι, κατά μέσο όρο, τα κράτη μέλη χρειάζονται σχεδόν ένα έτος περισσότερο από την προβλεπόμενη προθεσμία για την ενσωμάτωση των οδηγιών της ΕΕ στην εθνική τους νομοθεσία·</w:t>
      </w:r>
    </w:p>
    <w:p w14:paraId="4577248D" w14:textId="66F58F98" w:rsidR="00127EEE" w:rsidRPr="000C1E56" w:rsidRDefault="000C1E56" w:rsidP="000C1E56">
      <w:pPr>
        <w:pStyle w:val="NormalHanging12a"/>
        <w:ind w:left="570" w:hanging="570"/>
      </w:pPr>
      <w:r w:rsidRPr="000C1E56">
        <w:t>27.</w:t>
      </w:r>
      <w:r w:rsidRPr="000C1E56">
        <w:tab/>
      </w:r>
      <w:r w:rsidR="00127EEE" w:rsidRPr="000C1E56">
        <w:t>εκφράζει την ανησυχία του για το γεγονός ότι πολλές ευρωπαϊκές νομοθετικές πράξεις περιλαμβάνουν αναφορές σε τεχνικά πρότυπα και κατ’ εξουσιοδότηση ή εκτελεστικές πράξεις που βρίσκονται ακόμη στο στάδιο της κατάρτισης όταν εγκρίνονται οι βασικές πράξεις, γεγονός που καθιστά την πλήρη μεταφορά τους εντός της προβλεπόμενης προθεσμίας πιο δύσκολη για τα κράτη μέλη·</w:t>
      </w:r>
    </w:p>
    <w:p w14:paraId="06C20985" w14:textId="46A299DD" w:rsidR="00127EEE" w:rsidRPr="000C1E56" w:rsidRDefault="000C1E56" w:rsidP="000C1E56">
      <w:pPr>
        <w:pStyle w:val="NormalHanging12a"/>
        <w:ind w:left="570" w:hanging="570"/>
      </w:pPr>
      <w:r w:rsidRPr="000C1E56">
        <w:t>28.</w:t>
      </w:r>
      <w:r w:rsidRPr="000C1E56">
        <w:tab/>
      </w:r>
      <w:r w:rsidR="00127EEE" w:rsidRPr="000C1E56">
        <w:t xml:space="preserve">σημειώνει με ανησυχία τους περιορισμούς της νέας πλατφόρμας εφαρμογής Europa, που δρομολογήθηκε τον Απρίλιο του 2025, στόχος της οποίας είναι η συγκέντρωση πληροφοριών σχετικά με τις δράσεις επιβολής της Επιτροπής, τις υποθέσεις επί </w:t>
      </w:r>
      <w:r w:rsidR="00127EEE" w:rsidRPr="000C1E56">
        <w:lastRenderedPageBreak/>
        <w:t>παραβάσει, τη μεταφορά των οδηγιών στο εθνικό δίκαιο και τον διάλογο πριν από την κίνηση διαδικασίας επί παραβάσει, ο οποίος ήταν γνωστός στο παρελθόν ως διαδικασία EU Pilot· επισημαίνει ότι, παρά τις δυνατότητές της, η πλατφόρμα αποτελείται κυρίως από πίνακες δεδομένων, και θα πρέπει να βελτιωθεί, έτσι ώστε να παρέχει, με διαφανή τρόπο, βασικές πληροφορίες σχετικά με εν εξελίξει ή περατωθείσες διαδικασίες και να καθιστά διαθέσιμες διεξοδικές ποιοτικές αναλύσεις των δεδομένων που παρουσιάζονται· σημειώνει ότι οι πληροφορίες που παρουσιάζονται στην πλατφόρμα οργανώνονται πρωτίστως από τα κράτη μέλη, παρέχοντας μια γενική επισκόπηση των εθνικών προσπαθειών εφαρμογής· εκφράζει τη λύπη του για την απουσία μιας δομής βασισμένης σε νομικές πράξεις που θα καθιστούσε δυνατή τη σαφέστερη κατανόηση του σταδίου εφαρμογής, των σχετικών προκλήσεων, καθώς και των προκλήσεων που αντιμετωπίζουν τα κράτη μέλη κατά την εφαρμογή των νομοθετικών πράξεων· θεωρεί ότι η ανάπτυξη μιας τέτοιας αναλυτικής προσέγγισης θα βελτίωνε σημαντικά τη διαφάνεια και θα διευκόλυνε μια πιο τεκμηριωμένη αξιολόγηση της εφαρμογής σε ολόκληρη την ΕΕ· καλεί την Επιτροπή να βελτιώσει την αποτελεσματικότητα της πλατφόρμας και του περιεχομένου της, ώστε να μπορεί να χρησιμοποιηθεί για τη διεξαγωγή μιας σειράς πράξεων με διαφανή και εύκολα προσβάσιμο τρόπο, συμπεριλαμβανομένων συγκρίσεων και συμπερασμάτων σε ορισμένες περιπτώσεις, και να καταστεί χρήσιμο μέσο για τους νομοθέτες, τους επαγγελματίες του νομικού κλάδου και τους πολίτες που αναζητούν πληροφορίες σχετικά με τον τρόπο με τον οποίο τηρείται στην πράξη το δίκαιο της ΕΕ·</w:t>
      </w:r>
    </w:p>
    <w:p w14:paraId="5CF3F40E" w14:textId="359F984D" w:rsidR="00127EEE" w:rsidRPr="000C1E56" w:rsidRDefault="000C1E56" w:rsidP="000C1E56">
      <w:pPr>
        <w:pStyle w:val="NormalHanging12a"/>
        <w:ind w:left="570" w:hanging="570"/>
      </w:pPr>
      <w:r w:rsidRPr="000C1E56">
        <w:t>29.</w:t>
      </w:r>
      <w:r w:rsidRPr="000C1E56">
        <w:tab/>
      </w:r>
      <w:r w:rsidR="00127EEE" w:rsidRPr="000C1E56">
        <w:t>τονίζει ότι η διαφανής και έγκαιρη δημοσίευση δεδομένων σχετικά με τη μεταφορά στο εθνικό δίκαιο και σχετικά με υποθέσεις επί παραβάσει είναι απαραίτητη για τη διασφάλιση της λογοδοσίας και της εμπιστοσύνης του κοινού· καλεί την Επιτροπή να καταστήσει τα εν λόγω δεδομένα προσβάσιμα σε ανοικτή και φιλική προς τον χρήστη μορφή και να διευκολύνει τις συγκρίσεις μεταξύ των κρατών μελών και των τομέων πολιτικής· καλεί την Επιτροπή να διασφαλίσει την αναγκαία διαφάνεια όλων των εργαλείων και των βάσεων δεδομένων που χρησιμοποιούνται για την παρακολούθηση της εφαρμογής του δικαίου της ΕΕ, μεταξύ άλλων καθιστώντας διαθέσιμα στο κοινό μεθοδολογικά σημειώματα, κριτήρια για τη συλλογή δεδομένων και εξηγήσεις σχετικά με τους δείκτες· τονίζει ότι η διαφάνεια είναι απαραίτητη για τον ουσιαστικό έλεγχο από τους πολίτες, τους ερευνητές και τα θεσμικά όργανα της ΕΕ·</w:t>
      </w:r>
    </w:p>
    <w:p w14:paraId="15E69488" w14:textId="2B2B426A" w:rsidR="00127EEE" w:rsidRPr="000C1E56" w:rsidRDefault="000C1E56" w:rsidP="000C1E56">
      <w:pPr>
        <w:pStyle w:val="NormalHanging12a"/>
        <w:ind w:left="570" w:hanging="570"/>
      </w:pPr>
      <w:r w:rsidRPr="000C1E56">
        <w:t>30.</w:t>
      </w:r>
      <w:r w:rsidRPr="000C1E56">
        <w:tab/>
      </w:r>
      <w:r w:rsidR="00127EEE" w:rsidRPr="000C1E56">
        <w:t>υπογραμμίζει την ανάγκη να ενισχυθεί η διαφάνεια για τους πολίτες και τις επιχειρήσεις όσον αφορά τα δικαιώματα που απολαύουν βάσει του δικαίου της ΕΕ και τους μηχανισμούς που είναι διαθέσιμοι όταν παραβιάζονται τα δικαιώματα αυτά· καλεί την Επιτροπή και τα κράτη μέλη να βελτιώσουν την προβολή και την προσβασιμότητα των διαδικασιών υποβολής καταγγελιών, μεταξύ άλλων μέσω εκσυγχρονισμένων ψηφιακών εργαλείων και πολυγλωσσικών πυλών πληροφόρησης·</w:t>
      </w:r>
    </w:p>
    <w:p w14:paraId="49DCD7E8" w14:textId="23BD2B1A" w:rsidR="00127EEE" w:rsidRPr="000C1E56" w:rsidRDefault="000C1E56" w:rsidP="000C1E56">
      <w:pPr>
        <w:pStyle w:val="NormalHanging12a"/>
        <w:ind w:left="570" w:hanging="570"/>
      </w:pPr>
      <w:r w:rsidRPr="000C1E56">
        <w:t>31.</w:t>
      </w:r>
      <w:r w:rsidRPr="000C1E56">
        <w:tab/>
      </w:r>
      <w:r w:rsidR="00127EEE" w:rsidRPr="000C1E56">
        <w:t>παροτρύνει την Επιτροπή να ενισχύσει και να εκσυγχρονίσει την παρακολούθηση της εφαρμογής των κανονισμών, αναγνωρίζοντας την αυξανόμενη σημασία τους ως κύριου νομοθετικού μέσου της ΕΕ· σημειώνει τις προκλήσεις κατά την εφαρμογή των κανονισμών, όπως καταδεικνύονται από τα κενά στα δεδομένα που παρέχει η Επιτροπή, ιδίως όσον αφορά την πληρότητα, την προσβασιμότητα και τη συνοχή· ζητεί από την Επιτροπή να υποβάλει έκθεση σχετικά με τον τρόπο με τον οποίο οι δραστηριότητες και οι πρακτικές παρακολούθησης προσαρμόζονται στην εφαρμογή των κανονισμών και στις συστάσεις που διατυπώνονται εν προκειμένω στην έκθεση απολογισμού σχετικά με τις μεθόδους εργασίας της Επιτροπής για την παρακολούθηση της εφαρμογής του δικαίου της ΕΕ·</w:t>
      </w:r>
    </w:p>
    <w:p w14:paraId="3853C975" w14:textId="0BB1169D" w:rsidR="00127EEE" w:rsidRPr="000C1E56" w:rsidRDefault="000C1E56" w:rsidP="000C1E56">
      <w:pPr>
        <w:pStyle w:val="NormalHanging12a"/>
        <w:ind w:left="570" w:hanging="570"/>
      </w:pPr>
      <w:r w:rsidRPr="000C1E56">
        <w:lastRenderedPageBreak/>
        <w:t>32.</w:t>
      </w:r>
      <w:r w:rsidRPr="000C1E56">
        <w:tab/>
      </w:r>
      <w:r w:rsidR="00127EEE" w:rsidRPr="000C1E56">
        <w:t>συνιστά μια πιο πειθαρχημένη και περιορισμένη χρήση της νομοθεσίας επιπέδου 2, δηλαδή των κατ’ εξουσιοδότηση και των εκτελεστικών πράξεων, με προσδιορισμό των μη ουσιωδών στοιχείων της νομοθεσίας ή με περιορισμό του πεδίου εφαρμογής τους σε πραγματικά τεχνικά ζητήματα που είναι αναγκαία για την εφαρμογή της νομοθεσίας επιπέδου 1, αντίστοιχα· τονίζει ότι οι πράξεις επιπέδου 2 πρέπει να υπόκεινται σε διαφανείς διαδικασίες, να περιλαμβάνουν σαφή χρονοδιαγράμματα, να παρέχουν επαρκή χρόνο για ουσιαστικό και αποτελεσματικό έλεγχο από τους συννομοθέτες και να δημοσιεύονται προβλέποντας επαρκή χρόνο ώστε να μπορούν τα ενδιαφερόμενα μέρη να προετοιμαστούν για τη συμμόρφωση, και ότι τα μέτρα αυτά θα πρέπει, όπου είναι εφικτό, να καθίστανται διαθέσιμα πριν ή ταυτόχρονα με την έναρξη ισχύος της νομοθεσίας επιπέδου 1, ώστε να διασφαλίζονται η ασφάλεια δικαίου και η εκτελεστότητα·</w:t>
      </w:r>
    </w:p>
    <w:p w14:paraId="01644FBF" w14:textId="40515831" w:rsidR="00127EEE" w:rsidRPr="000C1E56" w:rsidRDefault="000C1E56" w:rsidP="000C1E56">
      <w:pPr>
        <w:pStyle w:val="NormalHanging12a"/>
        <w:ind w:left="570" w:hanging="570"/>
      </w:pPr>
      <w:r w:rsidRPr="000C1E56">
        <w:t>33.</w:t>
      </w:r>
      <w:r w:rsidRPr="000C1E56">
        <w:tab/>
      </w:r>
      <w:r w:rsidR="00127EEE" w:rsidRPr="000C1E56">
        <w:t>επιμένει όσον αφορά τον θεμελιώδη ρόλο που διαδραματίζουν οι δικαστικές αρχές των κρατών μελών και της ΕΕ στη δημιουργία ισχυρής νομολογίας, ώστε να διατηρείται η ασφάλεια δικαίου σε ολόκληρη την κοινωνία και την αγορά της ΕΕ· τονίζει, στο πλαίσιο αυτό, τη σημασία της διατήρησης της ανεξαρτησίας της δικαιοσύνης, αλλά και της διάθεσης ισχυρών οικονομικών και ανθρώπινων πόρων στις δικαστικές αρχές·</w:t>
      </w:r>
    </w:p>
    <w:p w14:paraId="0053F562" w14:textId="1BF926C7" w:rsidR="00127EEE" w:rsidRPr="000C1E56" w:rsidRDefault="000C1E56" w:rsidP="000C1E56">
      <w:pPr>
        <w:pStyle w:val="NormalHanging12a"/>
        <w:ind w:left="570" w:hanging="570"/>
      </w:pPr>
      <w:r w:rsidRPr="000C1E56">
        <w:t>34.</w:t>
      </w:r>
      <w:r w:rsidRPr="000C1E56">
        <w:tab/>
      </w:r>
      <w:r w:rsidR="00127EEE" w:rsidRPr="000C1E56">
        <w:t>επισημαίνει ότι, σε ορισμένα κράτη μέλη που διαθέτουν ομοσπονδιακά ή περιφερειακά συστήματα, η μεταφορά στο εθνικό δίκαιο ενδέχεται να περιλαμβάνει πολλαπλές νομοθετικές διαδικασίες και επίπεδα διακυβέρνησης·</w:t>
      </w:r>
    </w:p>
    <w:p w14:paraId="2FF95D69" w14:textId="0F251090" w:rsidR="00127EEE" w:rsidRPr="000C1E56" w:rsidRDefault="000C1E56" w:rsidP="000C1E56">
      <w:pPr>
        <w:pStyle w:val="NormalHanging12a"/>
        <w:ind w:left="570" w:hanging="570"/>
      </w:pPr>
      <w:r w:rsidRPr="000C1E56">
        <w:t>35.</w:t>
      </w:r>
      <w:r w:rsidRPr="000C1E56">
        <w:tab/>
      </w:r>
      <w:r w:rsidR="00127EEE" w:rsidRPr="000C1E56">
        <w:t>υπογραμμίζει τη σημασία της ισχυρότερης διασυνοριακής συνεργασίας μεταξύ των δικαστικών αρχών και των αρχών επιβολής του νόμου για την αποτελεσματική καταπολέμηση του σοβαρού εγκλήματος, της διαφθοράς και της τρομοκρατίας, ιδίως μέσω της ενίσχυσης του ρόλου και της επιχειρησιακής ικανότητας της Ευρωπαϊκής Εισαγγελίας·</w:t>
      </w:r>
    </w:p>
    <w:p w14:paraId="0C815BF3" w14:textId="6D6D24AE" w:rsidR="00127EEE" w:rsidRPr="000C1E56" w:rsidRDefault="000C1E56" w:rsidP="000C1E56">
      <w:pPr>
        <w:pStyle w:val="NormalHanging12a"/>
        <w:ind w:left="570" w:hanging="570"/>
      </w:pPr>
      <w:r w:rsidRPr="000C1E56">
        <w:t>36.</w:t>
      </w:r>
      <w:r w:rsidRPr="000C1E56">
        <w:tab/>
      </w:r>
      <w:r w:rsidR="00127EEE" w:rsidRPr="000C1E56">
        <w:t>υποστηρίζει την περαιτέρω ψηφιοποίηση των εργαλείων δικαιοσύνης, ιδίως σε διασυνοριακές διαδικασίες, όπως τα συστήματα e-</w:t>
      </w:r>
      <w:proofErr w:type="spellStart"/>
      <w:r w:rsidR="00127EEE" w:rsidRPr="000C1E56">
        <w:t>Evidence</w:t>
      </w:r>
      <w:proofErr w:type="spellEnd"/>
      <w:r w:rsidR="00127EEE" w:rsidRPr="000C1E56">
        <w:t xml:space="preserve"> και e-CODEX, με στόχο την επιτάχυνση της λήψης δικαστικών αποφάσεων με αξιόπιστο τρόπο·</w:t>
      </w:r>
    </w:p>
    <w:p w14:paraId="59B13C56" w14:textId="77777777" w:rsidR="00127EEE" w:rsidRPr="000C1E56" w:rsidRDefault="00127EEE" w:rsidP="00211FA8">
      <w:pPr>
        <w:pStyle w:val="Normal12a"/>
        <w:rPr>
          <w:i/>
          <w:iCs/>
        </w:rPr>
      </w:pPr>
      <w:r w:rsidRPr="000C1E56">
        <w:rPr>
          <w:b/>
          <w:i/>
        </w:rPr>
        <w:t>Απλούστευση</w:t>
      </w:r>
    </w:p>
    <w:p w14:paraId="7F649EE2" w14:textId="5A7FA1C0" w:rsidR="00127EEE" w:rsidRPr="000C1E56" w:rsidRDefault="000C1E56" w:rsidP="000C1E56">
      <w:pPr>
        <w:pStyle w:val="NormalHanging12a"/>
        <w:ind w:left="570" w:hanging="570"/>
      </w:pPr>
      <w:r w:rsidRPr="000C1E56">
        <w:t>37.</w:t>
      </w:r>
      <w:r w:rsidRPr="000C1E56">
        <w:tab/>
      </w:r>
      <w:r w:rsidR="00127EEE" w:rsidRPr="000C1E56">
        <w:t xml:space="preserve">τονίζει ότι η απλούστευση του δικαίου της ΕΕ δεν πρέπει να συγχέεται με την απορρύθμιση· τονίζει ότι οι προσπάθειες απλούστευσης της Επιτροπής, οι οποίες ομαδοποιούν τη διεκπεραίωση διαφόρων νομοθετικών πράξεων, δεν θα πρέπει σε καμία περίπτωση να είναι αυτόματες και πρέπει, όπου απαιτείται, να υπόκεινται σε ενδελεχείς εκτιμήσεις επιπτώσεων και ουσιαστικές διαβουλεύσεις με τα ενδιαφερόμενα μέρη· τονίζει ότι ο εξορθολογισμός των νομικών κειμένων και διαδικασιών μπορεί να βελτιώσει τη σαφήνεια, την ασφάλεια δικαίου και τη διοικητική αποτελεσματικότητα· επαναλαμβάνει ότι η ποιοτική, σαφής και συνεκτική νομοθεσία της ΕΕ αποτελεί απαραίτητη προϋπόθεση για την αποτελεσματική, ορθή και ομοιόμορφη μεταφορά στο εθνικό δίκαιο από τα κράτη μέλη, η οποία διατηρεί βασικούς στόχους πολιτικής και μέτρα προστασίας· επισημαίνει ότι στόχος μιας τέτοιας διαδικασίας απλούστευσης πρέπει να είναι η μείωση της τεχνικής πολυπλοκότητας, η εξάλειψη των κανονιστικών αλληλεπικαλύψεων, η εναρμόνιση των ορισμών και των διαδικασιών που προβλέπονται από πράξεις που διέπουν συναφείς τομείς και η διασφάλιση της τεχνικής σκοπιμότητας της εφαρμογής στο εθνικό δίκαιο· επισημαίνει τη σημασία της συνοχής μεταξύ των νομοθετικών πράξεων για την αποφυγή επικαλύψεων και αντιφάσεων που αυξάνουν </w:t>
      </w:r>
      <w:r w:rsidR="00127EEE" w:rsidRPr="000C1E56">
        <w:lastRenderedPageBreak/>
        <w:t>την πολυπλοκότητα και εμποδίζουν την αποτελεσματική εφαρμογή· τονίζει ότι η μείωση του διοικητικού φόρτου είναι άρρηκτα συνδεδεμένη με τη διασφάλιση της προσβασιμότητας, η οποία μπορεί να επιτευχθεί αποτελεσματικά μέσω καλά σχεδιασμένων ψηφιακών εργαλείων που είναι απλά και διασφαλίζουν τη συμπερίληψη όλων των χρηστών·</w:t>
      </w:r>
    </w:p>
    <w:p w14:paraId="523036AB" w14:textId="5CC3B18F" w:rsidR="00127EEE" w:rsidRPr="000C1E56" w:rsidRDefault="000C1E56" w:rsidP="000C1E56">
      <w:pPr>
        <w:pStyle w:val="NormalHanging12a"/>
        <w:ind w:left="570" w:hanging="570"/>
      </w:pPr>
      <w:r w:rsidRPr="000C1E56">
        <w:t>38.</w:t>
      </w:r>
      <w:r w:rsidRPr="000C1E56">
        <w:tab/>
      </w:r>
      <w:r w:rsidR="00127EEE" w:rsidRPr="000C1E56">
        <w:t>σημειώνει ότι, το 2023, 59 από τις 130 συνήθεις νομοθετικές διαδικασίες δημοσιεύτηκαν χωρίς εκτίμηση επιπτώσεων, ενώ το 2024 συνέβη το ίδιο με 26 από τις 31 διαδικασίες· σημειώνει, επιπλέον, με ανησυχία ότι η Επιτροπή δημοσίευσε 80 συνήθεις νομοθετικές διαδικασίες μεταξύ 1ης Δεκεμβρίου 2024 και 26ης Σεπτεμβρίου 2025, εκ των οποίων μόνο 18 υποστηρίχθηκαν από συνολικά 12 εκτιμήσεις επιπτώσεων· ζητεί να διενεργούνται εκτιμήσεις επιπτώσεων για όλες τις πράξεις· αποδοκιμάζει το γεγονός ότι τούτο δεν ίσχυε για ορισμένες πολιτικά ευαίσθητες προτάσεις στο παρελθόν·</w:t>
      </w:r>
    </w:p>
    <w:p w14:paraId="1EAE0D9F" w14:textId="3921B258" w:rsidR="00127EEE" w:rsidRPr="000C1E56" w:rsidRDefault="000C1E56" w:rsidP="000C1E56">
      <w:pPr>
        <w:pStyle w:val="NormalHanging12a"/>
        <w:ind w:left="570" w:hanging="570"/>
      </w:pPr>
      <w:r w:rsidRPr="000C1E56">
        <w:t>39.</w:t>
      </w:r>
      <w:r w:rsidRPr="000C1E56">
        <w:tab/>
      </w:r>
      <w:r w:rsidR="00127EEE" w:rsidRPr="000C1E56">
        <w:t>λαμβάνει γνώση των στόχων μείωσης του φόρτου που έθεσε η Επιτροπή στο πρόγραμμα εργασίας της για το 2025· εκφράζει την ικανοποίησή του για τα σχέδια της Επιτροπής να διενεργήσει προσομοιώσεις ακραίων καταστάσεων και ελέγχους της πραγματικής κατάστασης σχετικά με τη νομοθεσία της ΕΕ, ώστε να διασφαλιστεί ότι επιτυγχάνονται αποτελεσματικά οι στόχοι πολιτικής της· υπενθυμίζει, στο πλαίσιο αυτό, τη σημασία της συστηματικής αξιολόγησης της νομοθεσίας για την τεκμηριωμένη χάραξη πολιτικής, όπως προβλέπεται στην εργαλειοθήκη της Επιτροπής για τη βελτίωση της νομοθεσίας· ζητεί επιτακτικά να ανατεθούν σε συγκεκριμένο Επίτροπο η εξουσία, οι πόροι και τα εργαλεία ανάλυσης που απαιτούνται για να ηγηθεί αυτής της προσπάθειας και να διασφαλίσει ότι όλες οι νομοθετικές πράξεις είναι αναλογικές, εκτελεστές και κατάλληλες για τον επιδιωκόμενο σκοπό·</w:t>
      </w:r>
    </w:p>
    <w:p w14:paraId="164D5BE4" w14:textId="3F2CEA34" w:rsidR="00127EEE" w:rsidRPr="000C1E56" w:rsidRDefault="000C1E56" w:rsidP="000C1E56">
      <w:pPr>
        <w:pStyle w:val="NormalHanging12a"/>
        <w:ind w:left="570" w:hanging="570"/>
      </w:pPr>
      <w:r w:rsidRPr="000C1E56">
        <w:t>40.</w:t>
      </w:r>
      <w:r w:rsidRPr="000C1E56">
        <w:tab/>
      </w:r>
      <w:r w:rsidR="00127EEE" w:rsidRPr="000C1E56">
        <w:t>υπογραμμίζει τις περιπτώσεις νομοθετικών πράξεων που δεν έχουν εφαρμοστεί ποτέ· καλεί την Επιτροπή να παρακολουθεί τακτικά τις περιπτώσεις αυτές, να αξιολογεί τους λόγους για τους οποίος δεν εφαρμόστηκαν, να αποφασίζει κατά πόσον απαιτούν απλούστευση και να υποβάλλει προτάσεις για την τροποποίησή τους·</w:t>
      </w:r>
    </w:p>
    <w:p w14:paraId="30CAE61D" w14:textId="0CCD6874" w:rsidR="00127EEE" w:rsidRPr="000C1E56" w:rsidRDefault="000C1E56" w:rsidP="000C1E56">
      <w:pPr>
        <w:pStyle w:val="NormalHanging12a"/>
        <w:ind w:left="570" w:hanging="570"/>
      </w:pPr>
      <w:r w:rsidRPr="000C1E56">
        <w:t>41.</w:t>
      </w:r>
      <w:r w:rsidRPr="000C1E56">
        <w:tab/>
      </w:r>
      <w:r w:rsidR="00127EEE" w:rsidRPr="000C1E56">
        <w:t xml:space="preserve">υπενθυμίζει ότι η νομοθεσία της ΕΕ βασίζεται στη διοργανική ισορροπία μεταξύ των συννομοθετών και στην κοινή δέσμευση για διαφανή συνεργασία καθ’ όλη τη διάρκεια του νομοθετικού κύκλου· σημειώνει ότι αυτό πρέπει να αποτυπώνεται κατά τον καθορισμό ή την επανεξέταση των πολυετών προτεραιοτήτων και στην ετήσια κοινή δήλωση σχετικά με τις ετήσιες διοργανικές προτεραιότητες· επικρίνει έντονα την πρόσφατη πρακτική της Επιτροπής να αποσύρει νομοθετικές προτάσεις, ιδίως εκείνες που βρίσκονται ήδη στο στάδιο των τριμερών διαπραγματεύσεων, χωρίς επαρκή αιτιολόγηση, καθώς οι ενέργειες αυτές υπονομεύουν την αξιοπιστία της διοργανικής συνεργασίας και της δημοκρατικής λογοδοσίας· υπενθυμίζει ότι οποιαδήποτε πρόθεση της Επιτροπής να αποσύρει εκκρεμείς νομοθετικές πράξεις, όπως ανακοινώθηκε στα ετήσια προγράμματα εργασίας της, πρέπει να είναι δεόντως αιτιολογημένη και τεκμηριωμένη, ώστε να καθίσταται δυνατή η δέουσα διαβούλευση με τους συννομοθέτες της ΕΕ· παρατηρεί ότι η απουσία κατάλληλης διαβούλευσης θέτει σε κίνδυνο την ισορροπημένη άσκηση των προνομίων των θεσμικών οργάνων της ΕΕ, δημιουργεί ανασφάλεια δικαίου για τις επιχειρήσεις και υπονομεύει την εμπιστοσύνη των απλών πολιτών στη νομοθετική διαδικασία της ΕΕ· καλεί, ως εκ τούτου, την Επιτροπή να μεριμνήσει για την πλήρη συμμετοχή του Ευρωπαϊκού Κοινοβουλίου και του Συμβουλίου σε πρώιμο στάδιο και καθ’ όλη τη διάρκεια οποιασδήποτε διαδικασίας απόσυρσης, και να διενεργεί διεξοδικές και τεκμηριωμένες εκτιμήσεις επιπτώσεων πριν </w:t>
      </w:r>
      <w:r w:rsidR="00127EEE" w:rsidRPr="000C1E56">
        <w:lastRenderedPageBreak/>
        <w:t>από οποιαδήποτε πιθανή κατάργηση, λαμβάνοντας υπόψη τα οφέλη και το κόστος με ολοκληρωμένο τρόπο, συμπεριλαμβανομένου του κόστους της μη συμμόρφωσης και της αδράνειας·</w:t>
      </w:r>
    </w:p>
    <w:p w14:paraId="72EAA76C" w14:textId="0FE2D9E2" w:rsidR="00127EEE" w:rsidRPr="000C1E56" w:rsidRDefault="000C1E56" w:rsidP="000C1E56">
      <w:pPr>
        <w:pStyle w:val="NormalHanging12a"/>
        <w:ind w:left="570" w:hanging="570"/>
      </w:pPr>
      <w:r w:rsidRPr="000C1E56">
        <w:t>42.</w:t>
      </w:r>
      <w:r w:rsidRPr="000C1E56">
        <w:tab/>
      </w:r>
      <w:r w:rsidR="00127EEE" w:rsidRPr="000C1E56">
        <w:t>συνιστά στην Επιτροπή να προτείνει νομοθεσία για την κωδικοποίηση των ελάχιστων προτύπων για τις διοικητικές διαδικασίες σε όλα τα κράτη μέλη, σύμφωνα με το ψήφισμα του Ευρωπαϊκού Κοινοβουλίου, της 22ας Νοεμβρίου 2023, που περιέχει συστάσεις προς την Επιτροπή σχετικά με την ψηφιοποίηση και το διοικητικό δίκαιο· τονίζει ότι η εν λόγω νομοθεσία θα πρέπει να προωθεί τη δικαιοσύνη, τη διαφάνεια και την ψηφιοποίηση στη δημόσια διοίκηση της ΕΕ, συμπεριλαμβανομένων διασφαλίσεων για την υπεύθυνη χρήση της ΤΝ στη λήψη αποφάσεων·</w:t>
      </w:r>
    </w:p>
    <w:p w14:paraId="2F25BF9D" w14:textId="3D94C8A9" w:rsidR="00127EEE" w:rsidRPr="000C1E56" w:rsidRDefault="000C1E56" w:rsidP="000C1E56">
      <w:pPr>
        <w:pStyle w:val="NormalHanging12a"/>
        <w:ind w:left="570" w:hanging="570"/>
      </w:pPr>
      <w:r w:rsidRPr="000C1E56">
        <w:t>43.</w:t>
      </w:r>
      <w:r w:rsidRPr="000C1E56">
        <w:tab/>
      </w:r>
      <w:r w:rsidR="00127EEE" w:rsidRPr="000C1E56">
        <w:t>ζητεί σημαντική απλούστευση των διοικητικών υποχρεώσεων για τους δικαιούχους κονδυλίων της ΕΕ, ώστε να διασφαλιστεί η ορθή και αποτελεσματική χρήση των κονδυλίων της ΕΕ, ιδίως μέσω της ευρύτερης χρήσης μοντέλων υποβολής εκθέσεων με βάση τα αποτελέσματα, της μείωσης των αλληλεπικαλύψεων στις διαδικασίες ελέγχου και της σαφούς νομικής διάκρισης μεταξύ ακούσιων σφαλμάτων και εσκεμμένης απάτης· εκφράζει τη δυσαρέσκειά του για το γεγονός ότι, στα τέλη του 2023, μόνο το ένα τρίτο περίπου των συνολικών κονδυλίων του Μηχανισμού Ανάκαμψης και Ανθεκτικότητας (ΜΑΑ) είχε εκταμιευθεί στα κράτη μέλη, ενώ επτά κράτη μέλη δεν είχαν λάβει κονδύλια για την ικανοποιητική εκπλήρωση των οροσήμων και των στόχων από τον ΜΑΑ στα τέλη του 2023, λόγω του γεγονότος ότι οι κυβερνήσεις δεν τήρησαν τα συμφωνηθέντα ορόσημα</w:t>
      </w:r>
      <w:r w:rsidR="00AF3FCC" w:rsidRPr="000C1E56">
        <w:rPr>
          <w:rStyle w:val="FootnoteReference"/>
        </w:rPr>
        <w:footnoteReference w:id="10"/>
      </w:r>
      <w:r w:rsidR="00127EEE" w:rsidRPr="000C1E56">
        <w:t>· επισημαίνει ότι ο υπερβολικός διοικητικός φόρτος, καθώς και ζητήματα διοικητικής ικανότητας και οι πολύπλοκοι κανόνες σε εθνικό επίπεδο, υπονομεύουν την πρόσβαση στη χρηματοδότηση της ΕΕ και την αξιοπιστία των πολιτικών στήριξης της ΕΕ·</w:t>
      </w:r>
    </w:p>
    <w:p w14:paraId="5634BABB" w14:textId="5ED8C89B" w:rsidR="00127EEE" w:rsidRPr="000C1E56" w:rsidRDefault="000C1E56" w:rsidP="000C1E56">
      <w:pPr>
        <w:pStyle w:val="NormalHanging12a"/>
        <w:ind w:left="570" w:hanging="570"/>
      </w:pPr>
      <w:r w:rsidRPr="000C1E56">
        <w:t>44.</w:t>
      </w:r>
      <w:r w:rsidRPr="000C1E56">
        <w:tab/>
      </w:r>
      <w:r w:rsidR="00127EEE" w:rsidRPr="000C1E56">
        <w:t>παροτρύνει την Επιτροπή να αξιολογήσει τη σκοπιμότητα της συγχώνευσης της ισχύουσας και της επικείμενης ψηφιακής νομοθεσίας, συμπεριλαμβανομένων των πλαισίων κυβερνοασφάλειας, σε ένα ενιαίο, συνεκτικό εγχειρίδιο κανόνων για το ψηφιακό περιβάλλον· συνιστά ένα τέτοιο μέσο να περιέχει εναρμονισμένους ορισμούς, ενοποιημένες υποχρεώσεις υποβολής εκθέσεων και σαφή καθοδήγηση τόσο για τους δημόσιους όσο και για τους ιδιωτικούς φορείς, ώστε να βελτιωθεί η νομική συνοχή και συμμόρφωση σε ολόκληρη την ψηφιακή ενιαία αγορά·</w:t>
      </w:r>
    </w:p>
    <w:p w14:paraId="3FEC89D3" w14:textId="77777777" w:rsidR="00127EEE" w:rsidRPr="000C1E56" w:rsidRDefault="00127EEE" w:rsidP="00211FA8">
      <w:pPr>
        <w:pStyle w:val="Normal12a"/>
      </w:pPr>
      <w:r w:rsidRPr="000C1E56">
        <w:rPr>
          <w:b/>
          <w:i/>
        </w:rPr>
        <w:t>Ζητήματα που αφορούν συγκεκριμένους τομείς</w:t>
      </w:r>
    </w:p>
    <w:p w14:paraId="70704116" w14:textId="3EC6773A" w:rsidR="00127EEE" w:rsidRPr="000C1E56" w:rsidRDefault="000C1E56" w:rsidP="000C1E56">
      <w:pPr>
        <w:pStyle w:val="NormalHanging12a"/>
        <w:ind w:left="570" w:hanging="570"/>
      </w:pPr>
      <w:r w:rsidRPr="000C1E56">
        <w:t>45.</w:t>
      </w:r>
      <w:r w:rsidRPr="000C1E56">
        <w:tab/>
      </w:r>
      <w:r w:rsidR="00127EEE" w:rsidRPr="000C1E56">
        <w:t xml:space="preserve">σημειώνει ότι, στον τομέα του εμπορίου, στην περίπτωση νομοθετικών πράξεων με ετεροχρονισμένες ημερομηνίες εφαρμογής, ο καθορισμός σαφών ημερομηνιών εφαρμογής είναι υψίστης σημασίας· υπενθυμίζει ότι οι κατευθυντήριες γραμμές της Επιτροπής που απαιτούνται για την αποτελεσματική και ομοιόμορφη εφαρμογή των εν λόγω πράξεων θα πρέπει να παρέχουν σαφήνεια και ασφάλεια δικαίου και να μην υπονομεύουν την ίδια την ουσία και τον σκοπό της βασικής πράξης· εκφράζει, στο πλαίσιο αυτό, τη βαθιά λύπη του για τον αρνητικό αντίκτυπο που έχουν στους οικονομικούς φορείς της ΕΕ και στους διεθνείς εταίρους της οι επανειλημμένες </w:t>
      </w:r>
      <w:r w:rsidR="00127EEE" w:rsidRPr="000C1E56">
        <w:lastRenderedPageBreak/>
        <w:t>καθυστερήσεις και η έλλειψη σαφήνειας όσον αφορά τις ημερομηνίες εφαρμογής και τις περιόδους σταδιακής εφαρμογής βάσει της νομοθεσίας της ΕΕ και των διεθνών συμφωνιών στις οποίες η ΕΕ είναι συμβαλλόμενο μέρος, μεταξύ άλλων υπονομεύοντας την αξιοπιστία της ΕΕ στην παγκόσμια σκηνή·</w:t>
      </w:r>
    </w:p>
    <w:p w14:paraId="1D7DD63D" w14:textId="7EF2AC3C" w:rsidR="00127EEE" w:rsidRPr="000C1E56" w:rsidRDefault="000C1E56" w:rsidP="000C1E56">
      <w:pPr>
        <w:pStyle w:val="NormalHanging12a"/>
        <w:ind w:left="570" w:hanging="570"/>
      </w:pPr>
      <w:r w:rsidRPr="000C1E56">
        <w:t>46.</w:t>
      </w:r>
      <w:r w:rsidRPr="000C1E56">
        <w:tab/>
      </w:r>
      <w:r w:rsidR="00127EEE" w:rsidRPr="000C1E56">
        <w:t>εκφράζει την ικανοποίησή του, στον τομέα της απασχόλησης, για την απόφαση του ΔΕΕ</w:t>
      </w:r>
      <w:r w:rsidR="00AF3FCC" w:rsidRPr="000C1E56">
        <w:rPr>
          <w:rStyle w:val="FootnoteReference"/>
        </w:rPr>
        <w:footnoteReference w:id="11"/>
      </w:r>
      <w:r w:rsidR="00127EEE" w:rsidRPr="000C1E56">
        <w:t>, η οποία επιβεβαίωσε σε μεγάλο βαθμό την ισχύ της οδηγίας για επαρκείς κατώτατους μισθούς</w:t>
      </w:r>
      <w:r w:rsidR="00AF3FCC" w:rsidRPr="000C1E56">
        <w:rPr>
          <w:rStyle w:val="FootnoteReference"/>
        </w:rPr>
        <w:footnoteReference w:id="12"/>
      </w:r>
      <w:r w:rsidR="00127EEE" w:rsidRPr="000C1E56">
        <w:t>· καλεί τα κράτη μέλη που δεν έχουν ακόμη μεταφέρει την οδηγία στα εθνικά νομικά τους συστήματα εντός της προβλεπόμενης προθεσμίας να το πράξουν χωρίς καθυστέρηση· παροτρύνει την Επιτροπή να συνεχίσει να επαγρυπνεί και να λάβει όλα τα κατάλληλα μέτρα για να διασφαλίσει την πλήρη και έγκαιρη μεταφορά της οδηγίας στα εθνικά δίκαια και την αποτελεσματική εφαρμογή της· υποστηρίζει τη συμμετοχή της Επιτροπής σε διαλόγους πριν από την κίνηση διαδικασίας επί παραβάσει στον τομέα της επαγγελματικής ασφάλειας και υγείας, οι οποίοι διευκολύνουν τις εθνικές νομοθετικές αλλαγές που αποσκοπούν στην ενίσχυση και την εναρμόνιση των ελάχιστων επιπέδων προστασίας των εργαζομένων, διασφαλίζοντας έτσι τα δικαιώματα των εργαζομένων και συμβάλλοντας στη δημιουργία ισότιμων όρων ανταγωνισμού σε ολόκληρη την ΕΕ· εκφράζει τη δυσαρέσκειά του για το γεγονός ότι αρκετά κράτη μέλη έχουν μεταφέρει μόνο εν μέρει ορισμένες οδηγίες στην εθνική τους νομοθεσία·</w:t>
      </w:r>
    </w:p>
    <w:p w14:paraId="7F90B5B4" w14:textId="63062CD4" w:rsidR="00127EEE" w:rsidRPr="000C1E56" w:rsidRDefault="000C1E56" w:rsidP="000C1E56">
      <w:pPr>
        <w:pStyle w:val="NormalHanging12a"/>
        <w:ind w:left="570" w:hanging="570"/>
      </w:pPr>
      <w:r w:rsidRPr="000C1E56">
        <w:t>47.</w:t>
      </w:r>
      <w:r w:rsidRPr="000C1E56">
        <w:tab/>
      </w:r>
      <w:r w:rsidR="00127EEE" w:rsidRPr="000C1E56">
        <w:t>χαιρετίζει, στον τομέα του περιβάλλοντος, την επισκόπηση της εφαρμογής της περιβαλλοντικής πολιτικής (ΕΕΠΠ)· καλεί την Επιτροπή να δημοσιεύει ετήσιους πίνακες εφαρμογής για κάθε κράτος μέλος και τομέα πολιτικής με μηχαναγνώσιμους, συγκρίσιμους δείκτες και μεταδεδομένα κατάστασης υποθέσεων, ενσωματώνοντας σύνολα δεδομένων του Ευρωπαϊκού Οργανισμού Περιβάλλοντος και του Ευρωπαϊκού Οργανισμού Χημικών Προϊόντων και καθιστώντας δυνατή την ανάλυση τάσεων και τη συγκριτική αξιολόγηση· επισημαίνει ότι, σύμφωνα με την ΕΕΠΠ του 2025, το κόστος της μη εφαρμογής της περιβαλλοντικής νομοθεσίας της ΕΕ ανέρχεται σε 180</w:t>
      </w:r>
      <w:r w:rsidR="00187C57" w:rsidRPr="000C1E56">
        <w:t> </w:t>
      </w:r>
      <w:r w:rsidR="00127EEE" w:rsidRPr="000C1E56">
        <w:t xml:space="preserve">δισεκατομμύρια EUR ετησίως, ενώ η γεφύρωση του χάσματος εφαρμογής θα απαιτούσε 122 δισεκατομμύρια EUR ετησίως, γεγονός που καταδεικνύει ότι η αποτελεσματική εφαρμογή αποτελεί υγιή επένδυση και όχι κόστος· επισημαίνει ότι, στις 2 Απριλίου 2025, βρίσκονταν σε εξέλιξη 309 διαδικασίες επί παραβάσει στον τομέα της περιβαλλοντικής νομοθεσίας, εκ των οποίων το 45 % αφορούσε τη ρύπανση και τα ύδατα, το 24 % τη διαχείριση των αποβλήτων, το 24 % τη φύση και τη βιοποικιλότητα και το 7 % τη διακυβέρνηση· καλεί τα κράτη μέλη να ενισχύσουν τη διοικητική τους ικανότητα όσον αφορά την αδειοδότηση, τις επιθεωρήσεις και την παρακολούθηση, να υιοθετήσουν ψηφιακά εργαλεία αδειοδότησης και επιβολής και να διασφαλίσουν ανοικτά περιβαλλοντικά δεδομένα για την τεκμηριωμένη χάραξη πολιτικής και την εποπτεία από τους πολίτες· σημειώνει με ανησυχία ότι ο πολλαπλασιασμός και η διαστρωμάτωση των εκτελεστικών και κατ’ εξουσιοδότηση πράξεων μπορεί να υπονομεύσει τη νομική σαφήνεια και την έγκαιρη συμμόρφωση των διοικήσεων και των αρμόδιων φορέων· υπογραμμίζει ότι η απλούστευση θα πρέπει να ενισχύει τη σαφήνεια και την ασφάλεια χωρίς να υποβαθμίζει τα πρότυπα προστασίας του περιβάλλοντος· καλεί την Επιτροπή να συνοδεύσει τις πρωτοβουλίες απλούστευσης </w:t>
      </w:r>
      <w:r w:rsidR="00127EEE" w:rsidRPr="000C1E56">
        <w:lastRenderedPageBreak/>
        <w:t>με εκτιμήσεις επιπτώσεων όσον αφορά τη συμμόρφωση και καθοδήγηση για τους επαγγελματίες· ζητεί την ευθυγράμμιση της χρηματοδότησης της ΕΕ με τις προτεραιότητες εφαρμογής μέσω της οριοθέτησης της στήριξης για την κάλυψη των κενών περιβαλλοντικής συμμόρφωσης που εντοπίζονται στην ΕΕΠΠ και μέσω της σταδιακής κατάργησης των επιζήμιων για το περιβάλλον επιδοτήσεων· καλεί την Επιτροπή να εξετάσει αναλογικά, στοχευμένα μέτρα αιρεσιμότητας όταν η συνεχιζόμενη μη συμμόρφωση υπονομεύει τους στόχους της ΕΕ·</w:t>
      </w:r>
    </w:p>
    <w:p w14:paraId="6D97A888" w14:textId="6C7BC374" w:rsidR="00127EEE" w:rsidRPr="000C1E56" w:rsidRDefault="000C1E56" w:rsidP="000C1E56">
      <w:pPr>
        <w:pStyle w:val="NormalHanging12a"/>
        <w:ind w:left="570" w:hanging="570"/>
      </w:pPr>
      <w:r w:rsidRPr="000C1E56">
        <w:t>48.</w:t>
      </w:r>
      <w:r w:rsidRPr="000C1E56">
        <w:tab/>
      </w:r>
      <w:r w:rsidR="00127EEE" w:rsidRPr="000C1E56">
        <w:t>εκφράζει την ικανοποίησή του για το γεγονός ότι η Επιτροπή δρομολόγησε διαλόγους πριν από την κίνηση διαδικασίας επί παραβάσει με τα κράτη μέλη, ιδίως με εκείνα που δεν υπέβαλαν εγκαίρως τα επικαιροποιημένα προσχέδια των εθνικών σχεδίων για την ενέργεια και το κλίμα για την περίοδο 2021-2030, αλλά εκφράζει τη λύπη του για την απουσία λεπτομερών χρονοδιαγραμμάτων για τη συμμόρφωση και τις επακόλουθες ενέργειες από τα κράτη μέλη· τονίζει τη σημασία του εξορθολογισμού της εφαρμογής της νομοθεσίας της ΕΕ για το κλίμα και το περιβάλλον, συμπεριλαμβανομένης της δέσμης μέτρων προσαρμογής στον στόχο του 55 % και της Ευρωπαϊκής Πράσινης Συμφωνίας· ζητεί ολοκληρωμένη παρακολούθηση, καλύτερους μηχανισμούς επιβολής και στενότερη ευθυγράμμιση μεταξύ των στόχων της ΕΕ για το κλίμα και των εθνικών στρατηγικών, ώστε να διασφαλιστεί η έγκαιρη και συνεκτική υλοποίηση των περιβαλλοντικών δεσμεύσεων της ΕΕ·</w:t>
      </w:r>
    </w:p>
    <w:p w14:paraId="6E296A35" w14:textId="45306411" w:rsidR="00127EEE" w:rsidRPr="000C1E56" w:rsidRDefault="000C1E56" w:rsidP="000C1E56">
      <w:pPr>
        <w:pStyle w:val="NormalHanging12a"/>
        <w:ind w:left="570" w:hanging="570"/>
      </w:pPr>
      <w:r w:rsidRPr="000C1E56">
        <w:t>49.</w:t>
      </w:r>
      <w:r w:rsidRPr="000C1E56">
        <w:tab/>
      </w:r>
      <w:r w:rsidR="00127EEE" w:rsidRPr="000C1E56">
        <w:t>σημειώνει ότι η έγκαιρη και αποτελεσματική εφαρμογή της προσφάτως εγκριθείσας νομοθεσίας, συμπεριλαμβανομένης της αναδιατυπωμένης οδηγίας για την ενεργειακή απόδοση</w:t>
      </w:r>
      <w:r w:rsidR="00AF3FCC" w:rsidRPr="000C1E56">
        <w:rPr>
          <w:rStyle w:val="FootnoteReference"/>
        </w:rPr>
        <w:footnoteReference w:id="13"/>
      </w:r>
      <w:r w:rsidR="00127EEE" w:rsidRPr="000C1E56">
        <w:t>, της οδηγίας για τις ανανεώσιμες πηγές ενέργειας</w:t>
      </w:r>
      <w:r w:rsidR="00AF3FCC" w:rsidRPr="000C1E56">
        <w:rPr>
          <w:rStyle w:val="FootnoteReference"/>
        </w:rPr>
        <w:footnoteReference w:id="14"/>
      </w:r>
      <w:r w:rsidR="00127EEE" w:rsidRPr="000C1E56">
        <w:t>, της δέσμης μέτρων για τον σχεδιασμό της αγοράς ηλεκτρικής ενέργειας και της οδηγίας για την ενεργειακή απόδοση των κτιρίων</w:t>
      </w:r>
      <w:r w:rsidR="00AF3FCC" w:rsidRPr="000C1E56">
        <w:rPr>
          <w:rStyle w:val="FootnoteReference"/>
        </w:rPr>
        <w:footnoteReference w:id="15"/>
      </w:r>
      <w:r w:rsidR="00127EEE" w:rsidRPr="000C1E56">
        <w:t>, είναι απαραίτητη για την επίτευξη των κλιματικών και ενεργειακών στόχων της ΕΕ για το 2030, καθώς και για τη διασφάλιση της ολοκλήρωσης μιας πλήρως ενοποιημένης και διασυνδεδεμένης Ενεργειακής Ένωσης σύμφωνα με τον κανονισμό (ΕΕ) 2022/869 σχετικά με τις κατευθυντήριες γραμμές για τις διευρωπαϊκές ενεργειακές υποδομές</w:t>
      </w:r>
      <w:r w:rsidR="00AF3FCC" w:rsidRPr="000C1E56">
        <w:rPr>
          <w:rStyle w:val="FootnoteReference"/>
        </w:rPr>
        <w:footnoteReference w:id="16"/>
      </w:r>
      <w:r w:rsidR="00127EEE" w:rsidRPr="000C1E56">
        <w:t xml:space="preserve">, συμπεριλαμβανομένης της επικείμενης αναθεώρησής του, και τον κανονισμό (ΕΕ) 2018/1999 για τη διακυβέρνηση της </w:t>
      </w:r>
      <w:r w:rsidR="00127EEE" w:rsidRPr="000C1E56">
        <w:lastRenderedPageBreak/>
        <w:t>Ενεργειακής Ένωσης και της Δράσης για το Κλίμα</w:t>
      </w:r>
      <w:r w:rsidR="00AF3FCC" w:rsidRPr="000C1E56">
        <w:rPr>
          <w:rStyle w:val="FootnoteReference"/>
        </w:rPr>
        <w:footnoteReference w:id="17"/>
      </w:r>
      <w:r w:rsidR="00127EEE" w:rsidRPr="000C1E56">
        <w:t>· τονίζει ότι οι επίμονοι φραγμοί, όπως οι χρονοβόρες και πολύπλοκες διοικητικές διαδικασίες, η ανεπαρκής ψηφιοποίηση, η έλλειψη διοικητικής ικανότητας των αρχών αδειοδότησης και των ρυθμιστικών αρχών και η ασυνεπής ή καθυστερημένη μεταφορά στο εθνικό δίκαιο από τα κράτη μέλη, εξακολουθούν να παρεμποδίζουν την ομοιόμορφη εφαρμογή της ενεργειακής νομοθεσίας της ΕΕ, να καθυστερούν τον εκσυγχρονισμό των ενεργειακών υποδομών και διασυνδέσεων και να παρεμποδίζουν την αποτελεσματική λειτουργία της εσωτερικής αγοράς ενέργειας·</w:t>
      </w:r>
    </w:p>
    <w:p w14:paraId="45DC5662" w14:textId="14D186E3" w:rsidR="00127EEE" w:rsidRPr="000C1E56" w:rsidRDefault="000C1E56" w:rsidP="000C1E56">
      <w:pPr>
        <w:pStyle w:val="NormalHanging12a"/>
        <w:ind w:left="570" w:hanging="570"/>
      </w:pPr>
      <w:r w:rsidRPr="000C1E56">
        <w:t>50.</w:t>
      </w:r>
      <w:r w:rsidRPr="000C1E56">
        <w:tab/>
      </w:r>
      <w:r w:rsidR="00127EEE" w:rsidRPr="000C1E56">
        <w:t>εκφράζει τη λύπη του για το γεγονός ότι η επιβολή στον τομέα της ενέργειας εξακολουθεί να αντιπροσωπεύει σημαντικό μερίδιο των διαδικασιών επί παραβάσει, κυρίως λόγω της ελλιπούς ή εσφαλμένης μεταφοράς της νομοθεσίας της ΕΕ στο εθνικό δίκαιο· τονίζει ότι οι ελλείψεις στην εφαρμογή των διατάξεων σχετικά με τις ενεργειακές υποδομές και τις διασυνδέσεις βάσει του κανονισμού (ΕΕ) 2022/869 και του κανονισμού (ΕΕ) 2018/1999 καθυστερούν περαιτέρω την ενοποίηση των εθνικών ενεργειακών συστημάτων και υπονομεύουν την επίτευξη των στόχων της ΕΕ για την ενέργεια και το κλίμα· καλεί την Επιτροπή να διασφαλίσει μια πιο συνεκτική προσέγγιση μεταξύ των διαδικασιών επί παραβάσει, της παρακολούθησης βάσει του κανονισμού (ΕΕ) 2018/1999 και της τεχνικής υποστήριξης που παρέχεται μέσω του Μέσου Τεχνικής Υποστήριξης, προκειμένου να αντιμετωπιστούν περιπτώσεις μη συμμόρφωσης που απορρέουν από ανεπαρκή διοικητική ικανότητα ή έλλειψη νομικής σαφήνειας· ενθαρρύνει την Επιτροπή να δώσει προτεραιότητα σε δράσεις επιβολής και καθοδήγησης που διευκολύνουν την έγκαιρη ολοκλήρωση έργων κοινού ενδιαφέροντος και άλλων διασυνοριακών υποδομών που είναι απαραίτητες για την ολοκλήρωση της εσωτερικής αγοράς ενέργειας και της Ενεργειακής Ένωσης·</w:t>
      </w:r>
    </w:p>
    <w:p w14:paraId="30EAD36E" w14:textId="040A28F2" w:rsidR="00127EEE" w:rsidRPr="000C1E56" w:rsidRDefault="000C1E56" w:rsidP="000C1E56">
      <w:pPr>
        <w:pStyle w:val="NormalHanging12a"/>
        <w:ind w:left="570" w:hanging="570"/>
      </w:pPr>
      <w:r w:rsidRPr="000C1E56">
        <w:t>51.</w:t>
      </w:r>
      <w:r w:rsidRPr="000C1E56">
        <w:tab/>
      </w:r>
      <w:r w:rsidR="00127EEE" w:rsidRPr="000C1E56">
        <w:t>παροτρύνει τα κράτη μέλη να μεταφέρουν πλήρως και ορθά στο εθνικό τους δίκαιο και να εφαρμόσουν την απόφαση-πλαίσιο 2008/913/ΔΕΥ του Συμβουλίου και την πράξη για τις ψηφιακές υπηρεσίες, και καλεί την Επιτροπή να συνεχίσει να κινεί διαδικασίες επί παραβάσει σε περιπτώσεις συστημικής μη συμμόρφωσης· εκφράζει, ειδικότερα, την ικανοποίησή του για τη σύσταση νέας μονάδας στην Επιτροπή που θα ασχολείται με την εφαρμογή και την επιβολή του νόμου για τις ψηφιακές υπηρεσίες, η οποία θα πρέπει να επιτρέπει τη λήψη συγκεκριμένων μέτρων όσον αφορά τις πολύ μεγάλες πλατφόρμες που δεν τηρούν τον νόμο, καθώς και τη δέουσα παρακολούθηση όσον αφορά τη συνεργασία μεταξύ της Επιτροπής και των εθνικών συντονιστών ψηφιακών υπηρεσιών·</w:t>
      </w:r>
    </w:p>
    <w:p w14:paraId="3BBDF708" w14:textId="50CDD8FC" w:rsidR="00127EEE" w:rsidRPr="000C1E56" w:rsidRDefault="000C1E56" w:rsidP="000C1E56">
      <w:pPr>
        <w:pStyle w:val="NormalHanging12a"/>
        <w:ind w:left="570" w:hanging="570"/>
      </w:pPr>
      <w:r w:rsidRPr="000C1E56">
        <w:t>52.</w:t>
      </w:r>
      <w:r w:rsidRPr="000C1E56">
        <w:tab/>
      </w:r>
      <w:r w:rsidR="00127EEE" w:rsidRPr="000C1E56">
        <w:t xml:space="preserve">επισημαίνει το γεγονός ότι, στον τομέα της γεωργίας, η Κοινή Γεωργική Πολιτική (ΚΓΠ) αντιπροσωπεύει το μεγαλύτερο μερίδιο του προϋπολογισμού της ΕΕ, με 31 % των συνολικών δαπανών για την περίοδο 2021-2027· τονίζει ότι είναι ζωτικής σημασίας η νομοθεσία της ΕΕ και τα συστήματα ελέγχου της ΚΓΠ να εφαρμόζονται </w:t>
      </w:r>
      <w:r w:rsidR="00127EEE" w:rsidRPr="000C1E56">
        <w:lastRenderedPageBreak/>
        <w:t>και να επιβάλλονται αποτελεσματικά τόσο σε ενωσιακό όσο και σε εθνικό επίπεδο, ώστε να διασφαλίζεται ότι τα οικονομικά συμφέροντα της ΕΕ και των πολιτών της προστατεύονται αποτελεσματικά από κάθε κατάχρηση κονδυλίων της ΕΕ, η οποία θα μπορούσε να επηρεάσει αρνητικά τους γεωργούς και τη δημόσια εικόνα της εν λόγω πολιτικής· επισημαίνει ότι σε ορισμένα κράτη μέλη έχουν σημειωθεί περιστατικά αρπαγής γαιών και κατάχρησης επιδοτήσεων που οφείλονται σε παραβιάσεις του δικαίου της ΕΕ, πρακτικές διαφθοράς ή στο οργανωμένο έγκλημα· τονίζει ότι η ορθή εφαρμογή του δικαίου της ΕΕ, σε συνδυασμό με αποτελεσματικά μέτρα παρακολούθησης και ελέγχου, είναι απαραίτητη για την καταπολέμηση τέτοιων καταχρήσεων· επισημαίνει, στο πλαίσιο αυτό, την έλλειψη διαφάνειας και την απουσία πρόσβασης του κοινού σε δεδομένα σχετικά με την κατανομή των γεωργικών επιδοτήσεων· εκφράζει την ανησυχία του για το γεγονός ότι η δικαστική συνεργασία, παρά τα πολυάριθμα νομικά μέσα που έχουν θεσπιστεί στον τομέα της ανάκτησης περιουσιακών στοιχείων, εξακολουθεί να παρεμποδίζεται από σημαντικές διαφορές μεταξύ των εθνικών νομικών συστημάτων και από την έλλειψη εναρμονισμένων κανονιστικών διατάξεων· τονίζει ότι ο δημοσιονομικός κανονισμός της ΕΕ</w:t>
      </w:r>
      <w:r w:rsidR="00AF3FCC" w:rsidRPr="000C1E56">
        <w:rPr>
          <w:rStyle w:val="FootnoteReference"/>
        </w:rPr>
        <w:footnoteReference w:id="18"/>
      </w:r>
      <w:r w:rsidR="00127EEE" w:rsidRPr="000C1E56">
        <w:t>, και ιδίως το άρθρο 61, πρέπει να τηρείται και να επιβάλλεται σε όλα τα κράτη μέλη και να εφαρμόζεται σε όλες τις πληρωμές κονδυλίων της ΕΕ, συμπεριλαμβανομένων των άμεσων πληρωμών για τη γεωργία·</w:t>
      </w:r>
    </w:p>
    <w:p w14:paraId="01BAC01B" w14:textId="1F1A58D0" w:rsidR="00127EEE" w:rsidRPr="000C1E56" w:rsidRDefault="000C1E56" w:rsidP="000C1E56">
      <w:pPr>
        <w:pStyle w:val="NormalHanging12a"/>
        <w:ind w:left="570" w:hanging="570"/>
      </w:pPr>
      <w:r w:rsidRPr="000C1E56">
        <w:t>53.</w:t>
      </w:r>
      <w:r w:rsidRPr="000C1E56">
        <w:tab/>
      </w:r>
      <w:r w:rsidR="00127EEE" w:rsidRPr="000C1E56">
        <w:t>υπενθυμίζει ότι, στον τομέα της πολιτικής για τα οπτικοακουστικά μέσα και τα μέσα ενημέρωσης και του πολιτισμού, είναι σημαντική η έγκαιρη και αποτελεσματική εφαρμογή των ρυθμιστικών μέσων, ιδίως της ευρωπαϊκής πράξης για την ελευθερία των μέσων ενημέρωσης</w:t>
      </w:r>
      <w:r w:rsidR="00AF3FCC" w:rsidRPr="000C1E56">
        <w:rPr>
          <w:rStyle w:val="FootnoteReference"/>
        </w:rPr>
        <w:footnoteReference w:id="19"/>
      </w:r>
      <w:r w:rsidR="00127EEE" w:rsidRPr="000C1E56">
        <w:t>, ως μέσου για τη διασφάλιση ενός βιώσιμου, πλουραλιστικού και ανθεκτικού οικοσυστήματος μέσων ενημέρωσης, ικανού να αντιμετωπίσει την παραπληροφόρηση· τονίζει την ανάγκη να εφαρμόζονται τα χρηματοδοτικά μέσα εντός των ετήσιων περιόδων προγραμματισμού τους κατά τρόπο συνεπή με τα κριτήρια που ορίζονται στον κανονισμό (ΕΕ) 2021/818</w:t>
      </w:r>
      <w:r w:rsidR="00AF3FCC" w:rsidRPr="000C1E56">
        <w:rPr>
          <w:rStyle w:val="FootnoteReference"/>
        </w:rPr>
        <w:footnoteReference w:id="20"/>
      </w:r>
      <w:r w:rsidR="00127EEE" w:rsidRPr="000C1E56">
        <w:t xml:space="preserve">, ιδίως όσον αφορά το πρόγραμμα «Δημιουργική Ευρώπη» 2021-2027, πρωταρχική αποστολή του οποίου είναι η στήριξη του πολιτιστικού τομέα και η διασφάλιση της ανεξαρτησίας και της καλλιτεχνικής ελευθερίας των δημιουργών· καλεί την Επιτροπή να διενεργήσει ολοκληρωμένη και </w:t>
      </w:r>
      <w:r w:rsidR="00127EEE" w:rsidRPr="000C1E56">
        <w:lastRenderedPageBreak/>
        <w:t>ισορροπημένη αξιολόγηση της οδηγίας για τις υπηρεσίες οπτικοακουστικών μέσων</w:t>
      </w:r>
      <w:r w:rsidR="00AF3FCC" w:rsidRPr="000C1E56">
        <w:rPr>
          <w:rStyle w:val="FootnoteReference"/>
        </w:rPr>
        <w:footnoteReference w:id="21"/>
      </w:r>
      <w:r w:rsidR="00127EEE" w:rsidRPr="000C1E56">
        <w:t>, ως το κύριο μέσο ρύθμισης του οπτικοακουστικού περιεχομένου και του περιεχομένου των μέσων ενημέρωσης στην ΕΕ·</w:t>
      </w:r>
    </w:p>
    <w:p w14:paraId="7468893F" w14:textId="6F72B86E" w:rsidR="00127EEE" w:rsidRPr="000C1E56" w:rsidRDefault="000C1E56" w:rsidP="000C1E56">
      <w:pPr>
        <w:pStyle w:val="NormalHanging12a"/>
        <w:ind w:left="570" w:hanging="570"/>
      </w:pPr>
      <w:r w:rsidRPr="000C1E56">
        <w:t>54.</w:t>
      </w:r>
      <w:r w:rsidRPr="000C1E56">
        <w:tab/>
      </w:r>
      <w:r w:rsidR="00127EEE" w:rsidRPr="000C1E56">
        <w:t>καλεί την Επιτροπή να διασφαλίσει την ομοιόμορφη εφαρμογή και την αποτελεσματική επιβολή των κανόνων της εσωτερικής αγοράς σε όλους τους τομείς· εκφράζει σοβαρή ανησυχία για τις πρακτικές εξαναγκασμού που επιβάλλονται στους Ευρωπαίους δημιουργούς, ιδίως στο πλαίσιο συμβάσεων που βασίζονται σε αλλοδαπούς νόμους και περιοχές δικαιοδοσίας που ενδέχεται να παρακάμπτουν τα πρότυπα της ΕΕ σχετικά με την κατάλληλη και αναλογική αμοιβή· παροτρύνει την Επιτροπή να υποβάλει ειδική νομοθετική πρόταση για τη θέσπιση διασφαλίσεων για την πρόληψη αυτής της καταστρατήγησης και να διασφαλίσει ότι οι Ευρωπαίοι δημιουργοί μπορούν να βασίζονται αποτελεσματικά και να επιβάλλουν τα δικαιώματά τους βάσει του δικαίου της ΕΕ·</w:t>
      </w:r>
    </w:p>
    <w:p w14:paraId="696633FE" w14:textId="7C193E29" w:rsidR="00127EEE" w:rsidRPr="000C1E56" w:rsidRDefault="000C1E56" w:rsidP="000C1E56">
      <w:pPr>
        <w:pStyle w:val="NormalHanging12a"/>
        <w:ind w:left="570" w:hanging="570"/>
      </w:pPr>
      <w:r w:rsidRPr="000C1E56">
        <w:t>55.</w:t>
      </w:r>
      <w:r w:rsidRPr="000C1E56">
        <w:tab/>
      </w:r>
      <w:r w:rsidR="00127EEE" w:rsidRPr="000C1E56">
        <w:t>σημειώνει με ανησυχία ότι εξακολουθούν να υπάρχουν ελλείψεις στη μεταφορά στο εθνικό δίκαιο και την εφαρμογή βασικών νομικών μέσων που σχετίζονται με το άσυλο, τη μετανάστευση, την προστασία των δεδομένων, τη δικαστική συνεργασία και την επιβολή του νόμου·</w:t>
      </w:r>
    </w:p>
    <w:p w14:paraId="10E57CA8" w14:textId="7245D56A" w:rsidR="00127EEE" w:rsidRPr="000C1E56" w:rsidRDefault="000C1E56" w:rsidP="000C1E56">
      <w:pPr>
        <w:pStyle w:val="NormalHanging12a"/>
        <w:ind w:left="570" w:hanging="570"/>
      </w:pPr>
      <w:r w:rsidRPr="000C1E56">
        <w:t>56.</w:t>
      </w:r>
      <w:r w:rsidRPr="000C1E56">
        <w:tab/>
      </w:r>
      <w:r w:rsidR="00127EEE" w:rsidRPr="000C1E56">
        <w:t>σημειώνει την απουσία υποβολής εκθέσεων σχετικά με την εφαρμογή της στρατηγικής της ΕΕ για την ισότητα των φύλων 2020-2025, σχετικά με τις δράσεις της για την καταπολέμηση των διακρίσεων, μεταξύ άλλων μέσω της πράξης της ΕΕ για την προσβασιμότητα</w:t>
      </w:r>
      <w:r w:rsidR="00AF3FCC" w:rsidRPr="000C1E56">
        <w:rPr>
          <w:rStyle w:val="FootnoteReference"/>
        </w:rPr>
        <w:footnoteReference w:id="22"/>
      </w:r>
      <w:r w:rsidR="00127EEE" w:rsidRPr="000C1E56">
        <w:t>, καθώς και σχετικά με τη στρατηγική της ΕΕ για τη νεολαία· υπενθυμίζει τη δέσμευσή του να επιτύχει τους στόχους του ευρωπαϊκού πυλώνα κοινωνικών δικαιωμάτων έως το 2030 για μια ισχυρή κοινωνική Ευρώπη που θα είναι δίκαιη, χωρίς αποκλεισμούς και γεμάτη ευκαιρίες· καλεί την Επιτροπή να αφιερώσει ειδικά κεφάλαια για την εφαρμογή αυτών των σημαντικών τομέων πολιτικής στις μελλοντικές εκθέσεις της· συνιστά να περιλαμβάνουν λεπτομερείς πληροφορίες σχετικά με την καταπολέμηση των εγκλημάτων μίσους, την ενσωμάτωση της διάστασης του φύλου και τη συστηματική αξιολόγηση του αντικτύπου της ΕΕ από τη σκοπιά της νεολαίας στη χάραξη πολιτικής της·</w:t>
      </w:r>
    </w:p>
    <w:p w14:paraId="4EEBE34A" w14:textId="77777777" w:rsidR="00127EEE" w:rsidRPr="000C1E56" w:rsidRDefault="00127EEE" w:rsidP="00AF3FCC">
      <w:pPr>
        <w:pStyle w:val="NormalCenter12a"/>
      </w:pPr>
      <w:r w:rsidRPr="000C1E56">
        <w:t>°</w:t>
      </w:r>
    </w:p>
    <w:p w14:paraId="4A7B78CE" w14:textId="77777777" w:rsidR="00127EEE" w:rsidRPr="000C1E56" w:rsidRDefault="00127EEE" w:rsidP="00AF3FCC">
      <w:pPr>
        <w:pStyle w:val="NormalCenter12a"/>
      </w:pPr>
      <w:r w:rsidRPr="000C1E56">
        <w:t>°</w:t>
      </w:r>
      <w:r w:rsidRPr="000C1E56">
        <w:tab/>
        <w:t>°</w:t>
      </w:r>
    </w:p>
    <w:p w14:paraId="7DD65864" w14:textId="6F5D8861" w:rsidR="004B1CE5" w:rsidRPr="000C1E56" w:rsidRDefault="000C1E56" w:rsidP="000C1E56">
      <w:pPr>
        <w:pStyle w:val="NormalHanging12a"/>
        <w:ind w:left="570" w:hanging="570"/>
      </w:pPr>
      <w:r w:rsidRPr="000C1E56">
        <w:lastRenderedPageBreak/>
        <w:t>57.</w:t>
      </w:r>
      <w:r w:rsidRPr="000C1E56">
        <w:tab/>
      </w:r>
      <w:r w:rsidR="00127EEE" w:rsidRPr="000C1E56">
        <w:t>αναθέτει στην Πρόεδρό του να διαβιβάσει το παρόν ψήφισμα στο Συμβούλιο και στην Επιτροπή.</w:t>
      </w:r>
    </w:p>
    <w:p w14:paraId="3C748240" w14:textId="77777777" w:rsidR="00AF3FCC" w:rsidRPr="000C1E56" w:rsidRDefault="00AF3FCC" w:rsidP="00AF3FCC">
      <w:pPr>
        <w:pStyle w:val="NormalHanging12a"/>
        <w:ind w:left="567" w:hanging="567"/>
      </w:pPr>
    </w:p>
    <w:sectPr w:rsidR="00AF3FCC" w:rsidRPr="000C1E56" w:rsidSect="004B1CE5">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21A012" w14:textId="77777777" w:rsidR="001B50DF" w:rsidRPr="004B1CE5" w:rsidRDefault="001B50DF">
      <w:r w:rsidRPr="004B1CE5">
        <w:separator/>
      </w:r>
    </w:p>
  </w:endnote>
  <w:endnote w:type="continuationSeparator" w:id="0">
    <w:p w14:paraId="0376E6BB" w14:textId="77777777" w:rsidR="001B50DF" w:rsidRPr="004B1CE5" w:rsidRDefault="001B50DF">
      <w:r w:rsidRPr="004B1CE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E5B7B" w14:textId="77777777" w:rsidR="00064002" w:rsidRPr="004B1CE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96FD7" w14:textId="77777777" w:rsidR="00064002" w:rsidRPr="004B1CE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6A693" w14:textId="77777777" w:rsidR="00064002" w:rsidRPr="004B1CE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1FCB92" w14:textId="77777777" w:rsidR="001B50DF" w:rsidRPr="004B1CE5" w:rsidRDefault="001B50DF">
      <w:r w:rsidRPr="004B1CE5">
        <w:separator/>
      </w:r>
    </w:p>
  </w:footnote>
  <w:footnote w:type="continuationSeparator" w:id="0">
    <w:p w14:paraId="334F402A" w14:textId="77777777" w:rsidR="001B50DF" w:rsidRPr="004B1CE5" w:rsidRDefault="001B50DF">
      <w:r w:rsidRPr="004B1CE5">
        <w:continuationSeparator/>
      </w:r>
    </w:p>
  </w:footnote>
  <w:footnote w:id="1">
    <w:p w14:paraId="35819BB1" w14:textId="4627734B" w:rsidR="00AF3FCC" w:rsidRPr="00AF3FCC" w:rsidRDefault="00AF3FCC" w:rsidP="00AF3FCC">
      <w:pPr>
        <w:pStyle w:val="FootnoteText"/>
        <w:spacing w:line="240" w:lineRule="auto"/>
        <w:ind w:left="567" w:hanging="567"/>
        <w:rPr>
          <w:sz w:val="24"/>
          <w:lang w:val="fi-FI"/>
        </w:rPr>
      </w:pPr>
      <w:r>
        <w:rPr>
          <w:rStyle w:val="FootnoteReference"/>
        </w:rPr>
        <w:footnoteRef/>
      </w:r>
      <w:r w:rsidRPr="00AF3FCC">
        <w:rPr>
          <w:sz w:val="24"/>
          <w:vertAlign w:val="superscript"/>
          <w:lang w:val="fi-FI"/>
        </w:rPr>
        <w:t xml:space="preserve"> </w:t>
      </w:r>
      <w:r w:rsidRPr="00AF3FCC">
        <w:rPr>
          <w:sz w:val="24"/>
          <w:vertAlign w:val="superscript"/>
          <w:lang w:val="fi-FI"/>
        </w:rPr>
        <w:tab/>
      </w:r>
      <w:r w:rsidRPr="004B1CE5">
        <w:rPr>
          <w:sz w:val="24"/>
          <w:lang w:val="el-GR"/>
        </w:rPr>
        <w:t>ΕΕ</w:t>
      </w:r>
      <w:r w:rsidRPr="00AF3FCC">
        <w:rPr>
          <w:sz w:val="24"/>
          <w:lang w:val="fi-FI"/>
        </w:rPr>
        <w:t xml:space="preserve"> C, C/2024/4229, 24.7.2024, ELI: </w:t>
      </w:r>
      <w:hyperlink r:id="rId1" w:tgtFrame="http://data.europa.eu/eli/C/2024/4229/oj" w:history="1">
        <w:r w:rsidRPr="00AF3FCC">
          <w:rPr>
            <w:rStyle w:val="Hyperlink"/>
            <w:sz w:val="24"/>
            <w:lang w:val="fi-FI"/>
          </w:rPr>
          <w:t>http://data.europa.eu/eli/C/2024/4229/oj</w:t>
        </w:r>
      </w:hyperlink>
      <w:r w:rsidRPr="00AF3FCC">
        <w:rPr>
          <w:sz w:val="24"/>
          <w:lang w:val="fi-FI"/>
        </w:rPr>
        <w:t>.</w:t>
      </w:r>
    </w:p>
  </w:footnote>
  <w:footnote w:id="2">
    <w:p w14:paraId="4BB1B2E0" w14:textId="4F509848" w:rsidR="00AF3FCC" w:rsidRPr="004B1CE5" w:rsidRDefault="00AF3FCC" w:rsidP="00AF3FCC">
      <w:pPr>
        <w:pStyle w:val="FootnoteText"/>
        <w:spacing w:line="240" w:lineRule="auto"/>
        <w:ind w:left="567" w:hanging="567"/>
        <w:rPr>
          <w:sz w:val="24"/>
          <w:lang w:val="el-GR"/>
        </w:rPr>
      </w:pPr>
      <w:r>
        <w:rPr>
          <w:rStyle w:val="FootnoteReference"/>
        </w:rPr>
        <w:footnoteRef/>
      </w:r>
      <w:r w:rsidRPr="004B1CE5">
        <w:rPr>
          <w:sz w:val="24"/>
          <w:vertAlign w:val="superscript"/>
          <w:lang w:val="el-GR"/>
        </w:rPr>
        <w:t xml:space="preserve"> </w:t>
      </w:r>
      <w:r w:rsidRPr="004B1CE5">
        <w:rPr>
          <w:sz w:val="24"/>
          <w:vertAlign w:val="superscript"/>
          <w:lang w:val="el-GR"/>
        </w:rPr>
        <w:tab/>
      </w:r>
      <w:r w:rsidRPr="004B1CE5">
        <w:rPr>
          <w:sz w:val="24"/>
          <w:lang w:val="el-GR"/>
        </w:rPr>
        <w:t>ΕΕ C 86 της 6.3.2018, σ. 126.</w:t>
      </w:r>
    </w:p>
  </w:footnote>
  <w:footnote w:id="3">
    <w:p w14:paraId="0E79A676" w14:textId="2BBAED46" w:rsidR="00AF3FCC" w:rsidRPr="000C1E56" w:rsidRDefault="00AF3FCC" w:rsidP="00AF3FCC">
      <w:pPr>
        <w:pStyle w:val="FootnoteText"/>
        <w:spacing w:line="240" w:lineRule="auto"/>
        <w:ind w:left="567" w:hanging="567"/>
        <w:rPr>
          <w:sz w:val="24"/>
          <w:lang w:val="fi-FI"/>
        </w:rPr>
      </w:pPr>
      <w:r>
        <w:rPr>
          <w:rStyle w:val="FootnoteReference"/>
        </w:rPr>
        <w:footnoteRef/>
      </w:r>
      <w:r w:rsidRPr="000C1E56">
        <w:rPr>
          <w:sz w:val="24"/>
          <w:vertAlign w:val="superscript"/>
          <w:lang w:val="fi-FI"/>
        </w:rPr>
        <w:t xml:space="preserve"> </w:t>
      </w:r>
      <w:r w:rsidRPr="000C1E56">
        <w:rPr>
          <w:sz w:val="24"/>
          <w:vertAlign w:val="superscript"/>
          <w:lang w:val="fi-FI"/>
        </w:rPr>
        <w:tab/>
      </w:r>
      <w:r w:rsidRPr="004B1CE5">
        <w:rPr>
          <w:sz w:val="24"/>
          <w:lang w:val="el-GR"/>
        </w:rPr>
        <w:t>ΕΕ</w:t>
      </w:r>
      <w:r w:rsidRPr="000C1E56">
        <w:rPr>
          <w:sz w:val="24"/>
          <w:lang w:val="fi-FI"/>
        </w:rPr>
        <w:t xml:space="preserve"> </w:t>
      </w:r>
      <w:r w:rsidRPr="00211FA8">
        <w:rPr>
          <w:sz w:val="24"/>
          <w:lang w:val="fi-FI"/>
        </w:rPr>
        <w:t>C</w:t>
      </w:r>
      <w:r w:rsidRPr="000C1E56">
        <w:rPr>
          <w:sz w:val="24"/>
          <w:lang w:val="fi-FI"/>
        </w:rPr>
        <w:t xml:space="preserve">, </w:t>
      </w:r>
      <w:r w:rsidRPr="00211FA8">
        <w:rPr>
          <w:sz w:val="24"/>
          <w:lang w:val="fi-FI"/>
        </w:rPr>
        <w:t>C</w:t>
      </w:r>
      <w:r w:rsidRPr="000C1E56">
        <w:rPr>
          <w:sz w:val="24"/>
          <w:lang w:val="fi-FI"/>
        </w:rPr>
        <w:t xml:space="preserve">/2024/4215, 24.7.2024, </w:t>
      </w:r>
      <w:r w:rsidRPr="00211FA8">
        <w:rPr>
          <w:sz w:val="24"/>
          <w:lang w:val="fi-FI"/>
        </w:rPr>
        <w:t>ELI</w:t>
      </w:r>
      <w:r w:rsidRPr="000C1E56">
        <w:rPr>
          <w:sz w:val="24"/>
          <w:lang w:val="fi-FI"/>
        </w:rPr>
        <w:t xml:space="preserve">: </w:t>
      </w:r>
      <w:hyperlink r:id="rId2" w:tgtFrame="http://data.europa.eu/eli/C/2024/4215/oj" w:history="1">
        <w:r w:rsidRPr="00211FA8">
          <w:rPr>
            <w:rStyle w:val="Hyperlink"/>
            <w:sz w:val="24"/>
            <w:lang w:val="fi-FI"/>
          </w:rPr>
          <w:t>http</w:t>
        </w:r>
        <w:r w:rsidRPr="000C1E56">
          <w:rPr>
            <w:rStyle w:val="Hyperlink"/>
            <w:sz w:val="24"/>
            <w:lang w:val="fi-FI"/>
          </w:rPr>
          <w:t>://</w:t>
        </w:r>
        <w:r w:rsidRPr="00211FA8">
          <w:rPr>
            <w:rStyle w:val="Hyperlink"/>
            <w:sz w:val="24"/>
            <w:lang w:val="fi-FI"/>
          </w:rPr>
          <w:t>data</w:t>
        </w:r>
        <w:r w:rsidRPr="000C1E56">
          <w:rPr>
            <w:rStyle w:val="Hyperlink"/>
            <w:sz w:val="24"/>
            <w:lang w:val="fi-FI"/>
          </w:rPr>
          <w:t>.</w:t>
        </w:r>
        <w:r w:rsidRPr="00211FA8">
          <w:rPr>
            <w:rStyle w:val="Hyperlink"/>
            <w:sz w:val="24"/>
            <w:lang w:val="fi-FI"/>
          </w:rPr>
          <w:t>europa</w:t>
        </w:r>
        <w:r w:rsidRPr="000C1E56">
          <w:rPr>
            <w:rStyle w:val="Hyperlink"/>
            <w:sz w:val="24"/>
            <w:lang w:val="fi-FI"/>
          </w:rPr>
          <w:t>.</w:t>
        </w:r>
        <w:r w:rsidRPr="00211FA8">
          <w:rPr>
            <w:rStyle w:val="Hyperlink"/>
            <w:sz w:val="24"/>
            <w:lang w:val="fi-FI"/>
          </w:rPr>
          <w:t>eu</w:t>
        </w:r>
        <w:r w:rsidRPr="000C1E56">
          <w:rPr>
            <w:rStyle w:val="Hyperlink"/>
            <w:sz w:val="24"/>
            <w:lang w:val="fi-FI"/>
          </w:rPr>
          <w:t>/</w:t>
        </w:r>
        <w:r w:rsidRPr="00211FA8">
          <w:rPr>
            <w:rStyle w:val="Hyperlink"/>
            <w:sz w:val="24"/>
            <w:lang w:val="fi-FI"/>
          </w:rPr>
          <w:t>eli</w:t>
        </w:r>
        <w:r w:rsidRPr="000C1E56">
          <w:rPr>
            <w:rStyle w:val="Hyperlink"/>
            <w:sz w:val="24"/>
            <w:lang w:val="fi-FI"/>
          </w:rPr>
          <w:t>/</w:t>
        </w:r>
        <w:r w:rsidRPr="00211FA8">
          <w:rPr>
            <w:rStyle w:val="Hyperlink"/>
            <w:sz w:val="24"/>
            <w:lang w:val="fi-FI"/>
          </w:rPr>
          <w:t>C</w:t>
        </w:r>
        <w:r w:rsidRPr="000C1E56">
          <w:rPr>
            <w:rStyle w:val="Hyperlink"/>
            <w:sz w:val="24"/>
            <w:lang w:val="fi-FI"/>
          </w:rPr>
          <w:t>/2024/4215/</w:t>
        </w:r>
        <w:r w:rsidRPr="00211FA8">
          <w:rPr>
            <w:rStyle w:val="Hyperlink"/>
            <w:sz w:val="24"/>
            <w:lang w:val="fi-FI"/>
          </w:rPr>
          <w:t>oj</w:t>
        </w:r>
      </w:hyperlink>
      <w:r w:rsidRPr="000C1E56">
        <w:rPr>
          <w:sz w:val="24"/>
          <w:lang w:val="fi-FI"/>
        </w:rPr>
        <w:t>.</w:t>
      </w:r>
    </w:p>
  </w:footnote>
  <w:footnote w:id="4">
    <w:p w14:paraId="50BD15B9" w14:textId="55D87733" w:rsidR="00AF3FCC" w:rsidRPr="004B1CE5" w:rsidRDefault="00AF3FCC" w:rsidP="00AF3FCC">
      <w:pPr>
        <w:pStyle w:val="FootnoteText"/>
        <w:spacing w:line="240" w:lineRule="auto"/>
        <w:ind w:left="567" w:hanging="567"/>
        <w:rPr>
          <w:sz w:val="24"/>
          <w:lang w:val="el-GR"/>
        </w:rPr>
      </w:pPr>
      <w:r>
        <w:rPr>
          <w:rStyle w:val="FootnoteReference"/>
        </w:rPr>
        <w:footnoteRef/>
      </w:r>
      <w:r w:rsidRPr="004B1CE5">
        <w:rPr>
          <w:sz w:val="24"/>
          <w:vertAlign w:val="superscript"/>
          <w:lang w:val="el-GR"/>
        </w:rPr>
        <w:t xml:space="preserve"> </w:t>
      </w:r>
      <w:r w:rsidRPr="004B1CE5">
        <w:rPr>
          <w:sz w:val="24"/>
          <w:vertAlign w:val="superscript"/>
          <w:lang w:val="el-GR"/>
        </w:rPr>
        <w:tab/>
      </w:r>
      <w:r w:rsidRPr="004B1CE5">
        <w:rPr>
          <w:sz w:val="24"/>
          <w:lang w:val="el-GR"/>
        </w:rPr>
        <w:t xml:space="preserve">ΕΕ L 123 της 12.5.2016, σ. 1, ELI: </w:t>
      </w:r>
      <w:hyperlink r:id="rId3" w:tgtFrame="http://data.europa.eu/eli/agree_interinstit/2016/512/oj" w:history="1">
        <w:r w:rsidRPr="004B1CE5">
          <w:rPr>
            <w:rStyle w:val="Hyperlink"/>
            <w:sz w:val="24"/>
            <w:lang w:val="el-GR"/>
          </w:rPr>
          <w:t>http://data.europa.eu/eli/agree_interinstit/2016/512/oj</w:t>
        </w:r>
      </w:hyperlink>
      <w:r w:rsidRPr="004B1CE5">
        <w:rPr>
          <w:sz w:val="24"/>
          <w:lang w:val="el-GR"/>
        </w:rPr>
        <w:t>.</w:t>
      </w:r>
    </w:p>
  </w:footnote>
  <w:footnote w:id="5">
    <w:p w14:paraId="000B2D73" w14:textId="723E7C6C" w:rsidR="00AF3FCC" w:rsidRPr="00AF3FCC" w:rsidRDefault="00AF3FCC" w:rsidP="00AF3FCC">
      <w:pPr>
        <w:pStyle w:val="FootnoteText"/>
        <w:spacing w:line="240" w:lineRule="auto"/>
        <w:ind w:left="567" w:hanging="567"/>
        <w:rPr>
          <w:sz w:val="24"/>
          <w:lang w:val="fi-FI"/>
        </w:rPr>
      </w:pPr>
      <w:r>
        <w:rPr>
          <w:rStyle w:val="FootnoteReference"/>
        </w:rPr>
        <w:footnoteRef/>
      </w:r>
      <w:r w:rsidRPr="00AF3FCC">
        <w:rPr>
          <w:sz w:val="24"/>
          <w:vertAlign w:val="superscript"/>
          <w:lang w:val="fi-FI"/>
        </w:rPr>
        <w:t xml:space="preserve"> </w:t>
      </w:r>
      <w:r w:rsidRPr="00AF3FCC">
        <w:rPr>
          <w:sz w:val="24"/>
          <w:vertAlign w:val="superscript"/>
          <w:lang w:val="fi-FI"/>
        </w:rPr>
        <w:tab/>
      </w:r>
      <w:r w:rsidRPr="004B1CE5">
        <w:rPr>
          <w:sz w:val="24"/>
          <w:lang w:val="el-GR"/>
        </w:rPr>
        <w:t>ΕΕ</w:t>
      </w:r>
      <w:r w:rsidRPr="00AF3FCC">
        <w:rPr>
          <w:sz w:val="24"/>
          <w:lang w:val="fi-FI"/>
        </w:rPr>
        <w:t xml:space="preserve"> C, C/2025/4414, 29.8.2025, ELI: </w:t>
      </w:r>
      <w:hyperlink r:id="rId4" w:tgtFrame="http://data.europa.eu/eli/C/2025/4414/oj" w:history="1">
        <w:r w:rsidRPr="00AF3FCC">
          <w:rPr>
            <w:rStyle w:val="Hyperlink"/>
            <w:sz w:val="24"/>
            <w:lang w:val="fi-FI"/>
          </w:rPr>
          <w:t>http://data.europa.eu/eli/C/2025/4414/oj</w:t>
        </w:r>
      </w:hyperlink>
      <w:r w:rsidRPr="00AF3FCC">
        <w:rPr>
          <w:sz w:val="24"/>
          <w:lang w:val="fi-FI"/>
        </w:rPr>
        <w:t>.</w:t>
      </w:r>
    </w:p>
  </w:footnote>
  <w:footnote w:id="6">
    <w:p w14:paraId="3026E02F" w14:textId="01A864DC" w:rsidR="00AF3FCC" w:rsidRPr="004B1CE5" w:rsidRDefault="00AF3FCC" w:rsidP="00AF3FCC">
      <w:pPr>
        <w:pStyle w:val="FootnoteText"/>
        <w:spacing w:line="240" w:lineRule="auto"/>
        <w:ind w:left="567" w:hanging="567"/>
        <w:rPr>
          <w:sz w:val="24"/>
          <w:lang w:val="el-GR"/>
        </w:rPr>
      </w:pPr>
      <w:r>
        <w:rPr>
          <w:rStyle w:val="FootnoteReference"/>
        </w:rPr>
        <w:footnoteRef/>
      </w:r>
      <w:r w:rsidRPr="004B1CE5">
        <w:rPr>
          <w:sz w:val="24"/>
          <w:vertAlign w:val="superscript"/>
          <w:lang w:val="el-GR"/>
        </w:rPr>
        <w:t xml:space="preserve"> </w:t>
      </w:r>
      <w:r w:rsidRPr="004B1CE5">
        <w:rPr>
          <w:sz w:val="24"/>
          <w:vertAlign w:val="superscript"/>
          <w:lang w:val="el-GR"/>
        </w:rPr>
        <w:tab/>
      </w:r>
      <w:r w:rsidRPr="004B1CE5">
        <w:rPr>
          <w:sz w:val="24"/>
          <w:lang w:val="el-GR"/>
        </w:rPr>
        <w:t xml:space="preserve">ΕΕ L 328 της 6.12.2008, σ. </w:t>
      </w:r>
      <w:r w:rsidRPr="004B1CE5">
        <w:rPr>
          <w:sz w:val="24"/>
          <w:lang w:val="el-GR"/>
        </w:rPr>
        <w:t xml:space="preserve">55, ELI: </w:t>
      </w:r>
      <w:hyperlink r:id="rId5" w:tgtFrame="http://data.europa.eu/eli/dec_framw/2008/913/oj" w:history="1">
        <w:r w:rsidRPr="004B1CE5">
          <w:rPr>
            <w:rStyle w:val="Hyperlink"/>
            <w:sz w:val="24"/>
            <w:lang w:val="el-GR"/>
          </w:rPr>
          <w:t>http://data.europa.eu/eli/dec_framw/2008/913/oj</w:t>
        </w:r>
      </w:hyperlink>
      <w:r w:rsidRPr="004B1CE5">
        <w:rPr>
          <w:sz w:val="24"/>
          <w:lang w:val="el-GR"/>
        </w:rPr>
        <w:t>.</w:t>
      </w:r>
    </w:p>
  </w:footnote>
  <w:footnote w:id="7">
    <w:p w14:paraId="7F74B1CA" w14:textId="6900A5DF" w:rsidR="00AF3FCC" w:rsidRPr="004B1CE5" w:rsidRDefault="00AF3FCC" w:rsidP="00AF3FCC">
      <w:pPr>
        <w:pStyle w:val="FootnoteText"/>
        <w:spacing w:line="240" w:lineRule="auto"/>
        <w:ind w:left="567" w:hanging="567"/>
        <w:rPr>
          <w:sz w:val="24"/>
          <w:lang w:val="el-GR"/>
        </w:rPr>
      </w:pPr>
      <w:r>
        <w:rPr>
          <w:rStyle w:val="FootnoteReference"/>
        </w:rPr>
        <w:footnoteRef/>
      </w:r>
      <w:r w:rsidRPr="004B1CE5">
        <w:rPr>
          <w:sz w:val="24"/>
          <w:vertAlign w:val="superscript"/>
          <w:lang w:val="el-GR"/>
        </w:rPr>
        <w:t xml:space="preserve"> </w:t>
      </w:r>
      <w:r w:rsidRPr="004B1CE5">
        <w:rPr>
          <w:sz w:val="24"/>
          <w:vertAlign w:val="superscript"/>
          <w:lang w:val="el-GR"/>
        </w:rPr>
        <w:tab/>
      </w:r>
      <w:r w:rsidRPr="004B1CE5">
        <w:rPr>
          <w:sz w:val="24"/>
          <w:lang w:val="el-GR"/>
        </w:rPr>
        <w:t>Κανονισμός (ΕΕ) 2022/2065 του Ευρωπαϊκού Κοινοβουλίου και του Συμβουλίου, της 19ης Οκτωβρίου 2022, σχετικά με την ενιαία αγορά ψηφιακών υπηρεσιών και την τροποποίηση της οδηγίας 2000/31/ΕΚ (πράξη για τις ψηφιακές υπηρεσίες) (ΕΕ L 277 της 27.10.2022, σ. </w:t>
      </w:r>
      <w:r w:rsidRPr="004B1CE5">
        <w:rPr>
          <w:sz w:val="24"/>
          <w:lang w:val="el-GR"/>
        </w:rPr>
        <w:t xml:space="preserve">1, ELI: </w:t>
      </w:r>
      <w:hyperlink r:id="rId6" w:tgtFrame="http://data.europa.eu/eli/reg/2022/2065/oj" w:history="1">
        <w:r w:rsidRPr="004B1CE5">
          <w:rPr>
            <w:rStyle w:val="Hyperlink"/>
            <w:sz w:val="24"/>
            <w:lang w:val="el-GR"/>
          </w:rPr>
          <w:t>http://data.europa.eu/eli/reg/2022/2065/oj</w:t>
        </w:r>
      </w:hyperlink>
      <w:r w:rsidRPr="004B1CE5">
        <w:rPr>
          <w:sz w:val="24"/>
          <w:lang w:val="el-GR"/>
        </w:rPr>
        <w:t>).</w:t>
      </w:r>
    </w:p>
  </w:footnote>
  <w:footnote w:id="8">
    <w:p w14:paraId="41600242" w14:textId="2067F63B" w:rsidR="00AF3FCC" w:rsidRPr="004B1CE5" w:rsidRDefault="00AF3FCC" w:rsidP="00AF3FCC">
      <w:pPr>
        <w:pStyle w:val="FootnoteText"/>
        <w:spacing w:line="240" w:lineRule="auto"/>
        <w:ind w:left="567" w:hanging="567"/>
        <w:rPr>
          <w:sz w:val="24"/>
          <w:lang w:val="el-GR"/>
        </w:rPr>
      </w:pPr>
      <w:r>
        <w:rPr>
          <w:rStyle w:val="FootnoteReference"/>
        </w:rPr>
        <w:footnoteRef/>
      </w:r>
      <w:r w:rsidRPr="004B1CE5">
        <w:rPr>
          <w:sz w:val="24"/>
          <w:vertAlign w:val="superscript"/>
          <w:lang w:val="el-GR"/>
        </w:rPr>
        <w:t xml:space="preserve"> </w:t>
      </w:r>
      <w:r w:rsidRPr="004B1CE5">
        <w:rPr>
          <w:sz w:val="24"/>
          <w:vertAlign w:val="superscript"/>
          <w:lang w:val="el-GR"/>
        </w:rPr>
        <w:tab/>
      </w:r>
      <w:r w:rsidRPr="004B1CE5">
        <w:rPr>
          <w:sz w:val="24"/>
          <w:lang w:val="el-GR"/>
        </w:rPr>
        <w:t>Ανακοίνωση της Επιτροπής, της 11ης Φεβρουαρίου 2025, με τίτλο «Μια απλούστερη και ταχύτερη Ευρώπη: Ανακοίνωση για την εφαρμογή και την απλούστευση» (</w:t>
      </w:r>
      <w:r w:rsidRPr="00B85AC9">
        <w:rPr>
          <w:sz w:val="24"/>
          <w:lang w:val="el-GR"/>
        </w:rPr>
        <w:t>COM(2025)0047</w:t>
      </w:r>
      <w:r w:rsidRPr="004B1CE5">
        <w:rPr>
          <w:sz w:val="24"/>
          <w:lang w:val="el-GR"/>
        </w:rPr>
        <w:t>).</w:t>
      </w:r>
    </w:p>
  </w:footnote>
  <w:footnote w:id="9">
    <w:p w14:paraId="78CE5131" w14:textId="63560933" w:rsidR="00ED6069" w:rsidRPr="000C1E56" w:rsidRDefault="00ED6069">
      <w:pPr>
        <w:pStyle w:val="FootnoteText"/>
        <w:rPr>
          <w:sz w:val="24"/>
          <w:szCs w:val="22"/>
          <w:lang w:val="el-GR"/>
        </w:rPr>
      </w:pPr>
      <w:r w:rsidRPr="000C1E56">
        <w:rPr>
          <w:rStyle w:val="FootnoteReference"/>
          <w:sz w:val="24"/>
          <w:szCs w:val="22"/>
        </w:rPr>
        <w:footnoteRef/>
      </w:r>
      <w:r w:rsidRPr="000C1E56">
        <w:rPr>
          <w:sz w:val="24"/>
          <w:szCs w:val="22"/>
          <w:lang w:val="el-GR"/>
        </w:rPr>
        <w:t xml:space="preserve"> </w:t>
      </w:r>
      <w:r w:rsidRPr="000C1E56">
        <w:rPr>
          <w:sz w:val="24"/>
          <w:szCs w:val="22"/>
          <w:lang w:val="el-GR"/>
        </w:rPr>
        <w:tab/>
        <w:t>Οδηγία 2011/93/ΕΕ του Ευρωπαϊκού Κοινοβουλίου και του Συμβουλίου, της 13ης</w:t>
      </w:r>
      <w:r>
        <w:rPr>
          <w:sz w:val="24"/>
          <w:szCs w:val="22"/>
          <w:lang w:val="el-GR"/>
        </w:rPr>
        <w:t> </w:t>
      </w:r>
      <w:r w:rsidRPr="000C1E56">
        <w:rPr>
          <w:sz w:val="24"/>
          <w:szCs w:val="22"/>
          <w:lang w:val="el-GR"/>
        </w:rPr>
        <w:t xml:space="preserve">Δεκεμβρίου 2011, σχετικά με την καταπολέμηση της σεξουαλικής κακοποίησης και της σεξουαλικής εκμετάλλευσης παιδιών και της παιδικής πορνογραφίας και την αντικατάσταση της απόφασης-πλαίσιο 2004/68/ΔΕΥ του Συμβουλίου (ΕΕ L 335 της 17.12.2011, σ. </w:t>
      </w:r>
      <w:r w:rsidRPr="000C1E56">
        <w:rPr>
          <w:sz w:val="24"/>
          <w:szCs w:val="22"/>
          <w:lang w:val="el-GR"/>
        </w:rPr>
        <w:t xml:space="preserve">1, </w:t>
      </w:r>
      <w:r>
        <w:rPr>
          <w:sz w:val="24"/>
          <w:szCs w:val="22"/>
          <w:lang w:val="el-GR"/>
        </w:rPr>
        <w:t xml:space="preserve">ELI: </w:t>
      </w:r>
      <w:hyperlink r:id="rId7" w:history="1">
        <w:r w:rsidRPr="000C1E56">
          <w:rPr>
            <w:rStyle w:val="Hyperlink"/>
            <w:sz w:val="24"/>
            <w:szCs w:val="22"/>
          </w:rPr>
          <w:t>http</w:t>
        </w:r>
        <w:r w:rsidRPr="000C1E56">
          <w:rPr>
            <w:rStyle w:val="Hyperlink"/>
            <w:sz w:val="24"/>
            <w:szCs w:val="22"/>
            <w:lang w:val="el-GR"/>
          </w:rPr>
          <w:t>://</w:t>
        </w:r>
        <w:r w:rsidRPr="000C1E56">
          <w:rPr>
            <w:rStyle w:val="Hyperlink"/>
            <w:sz w:val="24"/>
            <w:szCs w:val="22"/>
          </w:rPr>
          <w:t>data</w:t>
        </w:r>
        <w:r w:rsidRPr="000C1E56">
          <w:rPr>
            <w:rStyle w:val="Hyperlink"/>
            <w:sz w:val="24"/>
            <w:szCs w:val="22"/>
            <w:lang w:val="el-GR"/>
          </w:rPr>
          <w:t>.</w:t>
        </w:r>
        <w:proofErr w:type="spellStart"/>
        <w:r w:rsidRPr="000C1E56">
          <w:rPr>
            <w:rStyle w:val="Hyperlink"/>
            <w:sz w:val="24"/>
            <w:szCs w:val="22"/>
          </w:rPr>
          <w:t>europa</w:t>
        </w:r>
        <w:proofErr w:type="spellEnd"/>
        <w:r w:rsidRPr="000C1E56">
          <w:rPr>
            <w:rStyle w:val="Hyperlink"/>
            <w:sz w:val="24"/>
            <w:szCs w:val="22"/>
            <w:lang w:val="el-GR"/>
          </w:rPr>
          <w:t>.</w:t>
        </w:r>
        <w:r w:rsidRPr="000C1E56">
          <w:rPr>
            <w:rStyle w:val="Hyperlink"/>
            <w:sz w:val="24"/>
            <w:szCs w:val="22"/>
          </w:rPr>
          <w:t>eu</w:t>
        </w:r>
        <w:r w:rsidRPr="000C1E56">
          <w:rPr>
            <w:rStyle w:val="Hyperlink"/>
            <w:sz w:val="24"/>
            <w:szCs w:val="22"/>
            <w:lang w:val="el-GR"/>
          </w:rPr>
          <w:t>/</w:t>
        </w:r>
        <w:proofErr w:type="spellStart"/>
        <w:r w:rsidRPr="000C1E56">
          <w:rPr>
            <w:rStyle w:val="Hyperlink"/>
            <w:sz w:val="24"/>
            <w:szCs w:val="22"/>
          </w:rPr>
          <w:t>eli</w:t>
        </w:r>
        <w:proofErr w:type="spellEnd"/>
        <w:r w:rsidRPr="000C1E56">
          <w:rPr>
            <w:rStyle w:val="Hyperlink"/>
            <w:sz w:val="24"/>
            <w:szCs w:val="22"/>
            <w:lang w:val="el-GR"/>
          </w:rPr>
          <w:t>/</w:t>
        </w:r>
        <w:proofErr w:type="spellStart"/>
        <w:r w:rsidRPr="000C1E56">
          <w:rPr>
            <w:rStyle w:val="Hyperlink"/>
            <w:sz w:val="24"/>
            <w:szCs w:val="22"/>
          </w:rPr>
          <w:t>dir</w:t>
        </w:r>
        <w:proofErr w:type="spellEnd"/>
        <w:r w:rsidRPr="000C1E56">
          <w:rPr>
            <w:rStyle w:val="Hyperlink"/>
            <w:sz w:val="24"/>
            <w:szCs w:val="22"/>
            <w:lang w:val="el-GR"/>
          </w:rPr>
          <w:t>/2011/93/</w:t>
        </w:r>
        <w:proofErr w:type="spellStart"/>
        <w:r w:rsidRPr="000C1E56">
          <w:rPr>
            <w:rStyle w:val="Hyperlink"/>
            <w:sz w:val="24"/>
            <w:szCs w:val="22"/>
          </w:rPr>
          <w:t>oj</w:t>
        </w:r>
        <w:proofErr w:type="spellEnd"/>
      </w:hyperlink>
      <w:r w:rsidRPr="000C1E56">
        <w:rPr>
          <w:sz w:val="24"/>
          <w:szCs w:val="22"/>
          <w:lang w:val="el-GR"/>
        </w:rPr>
        <w:t>).</w:t>
      </w:r>
    </w:p>
  </w:footnote>
  <w:footnote w:id="10">
    <w:p w14:paraId="7334ABC8" w14:textId="29CE5A60" w:rsidR="00AF3FCC" w:rsidRPr="004B1CE5" w:rsidRDefault="00AF3FCC" w:rsidP="00AF3FCC">
      <w:pPr>
        <w:pStyle w:val="FootnoteText"/>
        <w:spacing w:line="240" w:lineRule="auto"/>
        <w:ind w:left="567" w:hanging="567"/>
        <w:rPr>
          <w:sz w:val="24"/>
          <w:lang w:val="el-GR"/>
        </w:rPr>
      </w:pPr>
      <w:r>
        <w:rPr>
          <w:rStyle w:val="FootnoteReference"/>
        </w:rPr>
        <w:footnoteRef/>
      </w:r>
      <w:r w:rsidRPr="004B1CE5">
        <w:rPr>
          <w:sz w:val="24"/>
          <w:vertAlign w:val="superscript"/>
          <w:lang w:val="el-GR"/>
        </w:rPr>
        <w:t xml:space="preserve"> </w:t>
      </w:r>
      <w:r w:rsidRPr="004B1CE5">
        <w:rPr>
          <w:sz w:val="24"/>
          <w:vertAlign w:val="superscript"/>
          <w:lang w:val="el-GR"/>
        </w:rPr>
        <w:tab/>
      </w:r>
      <w:r w:rsidRPr="004B1CE5">
        <w:rPr>
          <w:sz w:val="24"/>
          <w:lang w:val="el-GR"/>
        </w:rPr>
        <w:t>Ειδική έκθεση 13/2024 του Ευρωπαϊκού Ελεγκτικού Συνεδρίου: «Απορρόφηση των κονδυλίων του μηχανισμού ανάκαμψης και ανθεκτικότητας — Πρόοδος αλλά και καθυστερήσεις, ενώ δεν έχουν εξαλειφθεί οι κίνδυνοι σχετικά με την ολοκλήρωση των μέτρων, υπονομεύοντας την επίτευξη των στόχων του ΜΑΑ», Υπηρεσία Εκδόσεων της Ευρωπαϊκής Ένωσης, 2024.</w:t>
      </w:r>
    </w:p>
  </w:footnote>
  <w:footnote w:id="11">
    <w:p w14:paraId="48E66F7F" w14:textId="48B09442" w:rsidR="00AF3FCC" w:rsidRPr="004B1CE5" w:rsidRDefault="00AF3FCC" w:rsidP="00AF3FCC">
      <w:pPr>
        <w:pStyle w:val="FootnoteText"/>
        <w:spacing w:line="240" w:lineRule="auto"/>
        <w:ind w:left="567" w:hanging="567"/>
        <w:rPr>
          <w:sz w:val="24"/>
          <w:lang w:val="el-GR"/>
        </w:rPr>
      </w:pPr>
      <w:r>
        <w:rPr>
          <w:rStyle w:val="FootnoteReference"/>
        </w:rPr>
        <w:footnoteRef/>
      </w:r>
      <w:r w:rsidRPr="004B1CE5">
        <w:rPr>
          <w:sz w:val="24"/>
          <w:vertAlign w:val="superscript"/>
          <w:lang w:val="el-GR"/>
        </w:rPr>
        <w:t xml:space="preserve"> </w:t>
      </w:r>
      <w:r w:rsidRPr="004B1CE5">
        <w:rPr>
          <w:sz w:val="24"/>
          <w:vertAlign w:val="superscript"/>
          <w:lang w:val="el-GR"/>
        </w:rPr>
        <w:tab/>
      </w:r>
      <w:r w:rsidRPr="004B1CE5">
        <w:rPr>
          <w:sz w:val="24"/>
          <w:lang w:val="el-GR"/>
        </w:rPr>
        <w:t>Απόφαση του Δικαστηρίου της 11ης Νοεμβρίου 2025, Δανία κατά Κοινοβουλίου και Συμβουλίου, C-19/23, ECLI:EU:C:2025:865.</w:t>
      </w:r>
    </w:p>
  </w:footnote>
  <w:footnote w:id="12">
    <w:p w14:paraId="20C5D31E" w14:textId="26C1053B" w:rsidR="00AF3FCC" w:rsidRPr="004B1CE5" w:rsidRDefault="00AF3FCC" w:rsidP="00AF3FCC">
      <w:pPr>
        <w:pStyle w:val="FootnoteText"/>
        <w:spacing w:line="240" w:lineRule="auto"/>
        <w:ind w:left="567" w:hanging="567"/>
        <w:rPr>
          <w:sz w:val="24"/>
          <w:lang w:val="el-GR"/>
        </w:rPr>
      </w:pPr>
      <w:r>
        <w:rPr>
          <w:rStyle w:val="FootnoteReference"/>
        </w:rPr>
        <w:footnoteRef/>
      </w:r>
      <w:r w:rsidRPr="004B1CE5">
        <w:rPr>
          <w:sz w:val="24"/>
          <w:vertAlign w:val="superscript"/>
          <w:lang w:val="el-GR"/>
        </w:rPr>
        <w:t xml:space="preserve"> </w:t>
      </w:r>
      <w:r w:rsidRPr="004B1CE5">
        <w:rPr>
          <w:sz w:val="24"/>
          <w:vertAlign w:val="superscript"/>
          <w:lang w:val="el-GR"/>
        </w:rPr>
        <w:tab/>
      </w:r>
      <w:r w:rsidRPr="004B1CE5">
        <w:rPr>
          <w:sz w:val="24"/>
          <w:lang w:val="el-GR"/>
        </w:rPr>
        <w:t>Οδηγία (ΕΕ) 2022/2041 του Ευρωπαϊκού Κοινοβουλίου και του Συμβουλίου, της 19ης</w:t>
      </w:r>
      <w:r w:rsidR="00187C57">
        <w:rPr>
          <w:sz w:val="24"/>
          <w:lang w:val="el-GR"/>
        </w:rPr>
        <w:t> </w:t>
      </w:r>
      <w:r w:rsidRPr="004B1CE5">
        <w:rPr>
          <w:sz w:val="24"/>
          <w:lang w:val="el-GR"/>
        </w:rPr>
        <w:t>Οκτωβρίου 2022, για επαρκείς κατώτατους μισθούς στην Ευρωπαϊκή Ένωση (ΕΕ</w:t>
      </w:r>
      <w:r w:rsidR="00287258">
        <w:rPr>
          <w:sz w:val="24"/>
          <w:lang w:val="en-GB"/>
        </w:rPr>
        <w:t> </w:t>
      </w:r>
      <w:r w:rsidRPr="004B1CE5">
        <w:rPr>
          <w:sz w:val="24"/>
          <w:lang w:val="el-GR"/>
        </w:rPr>
        <w:t xml:space="preserve">L 275 της 25.10.2022, σ. </w:t>
      </w:r>
      <w:r w:rsidRPr="004B1CE5">
        <w:rPr>
          <w:sz w:val="24"/>
          <w:lang w:val="el-GR"/>
        </w:rPr>
        <w:t xml:space="preserve">33, ELI: </w:t>
      </w:r>
      <w:hyperlink r:id="rId8" w:tgtFrame="http://data.europa.eu/eli/dir/2022/2041/oj" w:history="1">
        <w:r w:rsidRPr="004B1CE5">
          <w:rPr>
            <w:rStyle w:val="Hyperlink"/>
            <w:sz w:val="24"/>
            <w:lang w:val="el-GR"/>
          </w:rPr>
          <w:t>http://data.europa.eu/eli/dir/2022/2041/oj</w:t>
        </w:r>
      </w:hyperlink>
      <w:r w:rsidRPr="004B1CE5">
        <w:rPr>
          <w:rStyle w:val="Hyperlink"/>
          <w:sz w:val="24"/>
          <w:lang w:val="el-GR"/>
        </w:rPr>
        <w:t>)</w:t>
      </w:r>
      <w:r w:rsidRPr="004B1CE5">
        <w:rPr>
          <w:sz w:val="24"/>
          <w:lang w:val="el-GR"/>
        </w:rPr>
        <w:t>.</w:t>
      </w:r>
    </w:p>
  </w:footnote>
  <w:footnote w:id="13">
    <w:p w14:paraId="415FA64D" w14:textId="55F2601B" w:rsidR="00AF3FCC" w:rsidRPr="004B1CE5" w:rsidRDefault="00AF3FCC" w:rsidP="00AF3FCC">
      <w:pPr>
        <w:pStyle w:val="FootnoteText"/>
        <w:spacing w:line="240" w:lineRule="auto"/>
        <w:ind w:left="567" w:hanging="567"/>
        <w:rPr>
          <w:sz w:val="24"/>
          <w:lang w:val="el-GR"/>
        </w:rPr>
      </w:pPr>
      <w:r>
        <w:rPr>
          <w:rStyle w:val="FootnoteReference"/>
        </w:rPr>
        <w:footnoteRef/>
      </w:r>
      <w:r w:rsidRPr="004B1CE5">
        <w:rPr>
          <w:sz w:val="24"/>
          <w:vertAlign w:val="superscript"/>
          <w:lang w:val="el-GR"/>
        </w:rPr>
        <w:t xml:space="preserve"> </w:t>
      </w:r>
      <w:r w:rsidRPr="004B1CE5">
        <w:rPr>
          <w:sz w:val="24"/>
          <w:vertAlign w:val="superscript"/>
          <w:lang w:val="el-GR"/>
        </w:rPr>
        <w:tab/>
      </w:r>
      <w:r w:rsidRPr="004B1CE5">
        <w:rPr>
          <w:sz w:val="24"/>
          <w:lang w:val="el-GR"/>
        </w:rPr>
        <w:t>Οδηγία (ΕΕ) 2023/1791 του Ευρωπαϊκού Κοινοβουλίου και του Συμβουλίου, της 13ης</w:t>
      </w:r>
      <w:r w:rsidR="00187C57">
        <w:rPr>
          <w:sz w:val="24"/>
          <w:lang w:val="el-GR"/>
        </w:rPr>
        <w:t> </w:t>
      </w:r>
      <w:r w:rsidRPr="004B1CE5">
        <w:rPr>
          <w:sz w:val="24"/>
          <w:lang w:val="el-GR"/>
        </w:rPr>
        <w:t xml:space="preserve">Σεπτεμβρίου 2023, για την ενεργειακή απόδοση και για την τροποποίηση του κανονισμού (ΕΕ) 2023/955 (ΕΕ L 231 της 20.9.2023, σ. </w:t>
      </w:r>
      <w:r w:rsidRPr="004B1CE5">
        <w:rPr>
          <w:sz w:val="24"/>
          <w:lang w:val="el-GR"/>
        </w:rPr>
        <w:t xml:space="preserve">1, ELI: </w:t>
      </w:r>
      <w:hyperlink r:id="rId9" w:tgtFrame="http://data.europa.eu/eli/dir/2023/1791/oj" w:history="1">
        <w:r w:rsidRPr="004B1CE5">
          <w:rPr>
            <w:rStyle w:val="Hyperlink"/>
            <w:sz w:val="24"/>
            <w:lang w:val="el-GR"/>
          </w:rPr>
          <w:t>http://data.europa.eu/eli/dir/2023/1791/oj</w:t>
        </w:r>
      </w:hyperlink>
      <w:r w:rsidRPr="004B1CE5">
        <w:rPr>
          <w:rStyle w:val="Hyperlink"/>
          <w:sz w:val="24"/>
          <w:lang w:val="el-GR"/>
        </w:rPr>
        <w:t>)</w:t>
      </w:r>
      <w:r w:rsidRPr="004B1CE5">
        <w:rPr>
          <w:sz w:val="24"/>
          <w:lang w:val="el-GR"/>
        </w:rPr>
        <w:t>.</w:t>
      </w:r>
    </w:p>
  </w:footnote>
  <w:footnote w:id="14">
    <w:p w14:paraId="3BA43874" w14:textId="478966AC" w:rsidR="00AF3FCC" w:rsidRPr="004B1CE5" w:rsidRDefault="00AF3FCC" w:rsidP="00AF3FCC">
      <w:pPr>
        <w:pStyle w:val="FootnoteText"/>
        <w:spacing w:line="240" w:lineRule="auto"/>
        <w:ind w:left="567" w:hanging="567"/>
        <w:rPr>
          <w:sz w:val="24"/>
          <w:lang w:val="el-GR"/>
        </w:rPr>
      </w:pPr>
      <w:r>
        <w:rPr>
          <w:rStyle w:val="FootnoteReference"/>
        </w:rPr>
        <w:footnoteRef/>
      </w:r>
      <w:r w:rsidRPr="004B1CE5">
        <w:rPr>
          <w:sz w:val="24"/>
          <w:vertAlign w:val="superscript"/>
          <w:lang w:val="el-GR"/>
        </w:rPr>
        <w:t xml:space="preserve"> </w:t>
      </w:r>
      <w:r w:rsidRPr="004B1CE5">
        <w:rPr>
          <w:sz w:val="24"/>
          <w:vertAlign w:val="superscript"/>
          <w:lang w:val="el-GR"/>
        </w:rPr>
        <w:tab/>
      </w:r>
      <w:r w:rsidRPr="004B1CE5">
        <w:rPr>
          <w:sz w:val="24"/>
          <w:lang w:val="el-GR"/>
        </w:rPr>
        <w:t xml:space="preserve">Οδηγία (EE) 2023/2413 του Ευρωπαϊκού Κοινοβουλίου και του Συμβουλίου, της 18ης Οκτωβρίου 2023, για την τροποποίηση της οδηγίας (ΕΕ) 2018/2001, του κανονισμού (ΕΕ) 2018/1999 και της οδηγίας 98/70/ΕΚ όσον αφορά την προώθηση της ενέργειας από ανανεώσιμες πηγές, και την κατάργηση της οδηγίας (ΕΕ) 2015/652 του Συμβουλίου (ΕΕ L, 2023/2413, 31.10.2023, ELI: </w:t>
      </w:r>
      <w:hyperlink r:id="rId10" w:tgtFrame="http://data.europa.eu/eli/dir/2023/2413/oj" w:history="1">
        <w:r w:rsidRPr="004B1CE5">
          <w:rPr>
            <w:rStyle w:val="Hyperlink"/>
            <w:sz w:val="24"/>
            <w:lang w:val="el-GR"/>
          </w:rPr>
          <w:t>http://data.europa.eu/eli/dir/2023/2413/oj</w:t>
        </w:r>
      </w:hyperlink>
      <w:r w:rsidRPr="004B1CE5">
        <w:rPr>
          <w:rStyle w:val="Hyperlink"/>
          <w:sz w:val="24"/>
          <w:lang w:val="el-GR"/>
        </w:rPr>
        <w:t>)</w:t>
      </w:r>
      <w:r w:rsidRPr="004B1CE5">
        <w:rPr>
          <w:sz w:val="24"/>
          <w:lang w:val="el-GR"/>
        </w:rPr>
        <w:t>.</w:t>
      </w:r>
    </w:p>
  </w:footnote>
  <w:footnote w:id="15">
    <w:p w14:paraId="187BE409" w14:textId="4E5DC413" w:rsidR="00AF3FCC" w:rsidRPr="004B1CE5" w:rsidRDefault="00AF3FCC" w:rsidP="00AF3FCC">
      <w:pPr>
        <w:pStyle w:val="FootnoteText"/>
        <w:spacing w:line="240" w:lineRule="auto"/>
        <w:ind w:left="567" w:hanging="567"/>
        <w:rPr>
          <w:sz w:val="24"/>
          <w:lang w:val="el-GR"/>
        </w:rPr>
      </w:pPr>
      <w:r>
        <w:rPr>
          <w:rStyle w:val="FootnoteReference"/>
        </w:rPr>
        <w:footnoteRef/>
      </w:r>
      <w:r w:rsidRPr="004B1CE5">
        <w:rPr>
          <w:sz w:val="24"/>
          <w:vertAlign w:val="superscript"/>
          <w:lang w:val="el-GR"/>
        </w:rPr>
        <w:t xml:space="preserve"> </w:t>
      </w:r>
      <w:r w:rsidRPr="004B1CE5">
        <w:rPr>
          <w:sz w:val="24"/>
          <w:vertAlign w:val="superscript"/>
          <w:lang w:val="el-GR"/>
        </w:rPr>
        <w:tab/>
      </w:r>
      <w:r w:rsidRPr="004B1CE5">
        <w:rPr>
          <w:sz w:val="24"/>
          <w:lang w:val="el-GR"/>
        </w:rPr>
        <w:t xml:space="preserve">Οδηγία (ΕΕ) 2024/1275 του Ευρωπαϊκού Κοινοβουλίου και του Συμβουλίου, της 24ης Απριλίου 2024, για την ενεργειακή απόδοση των κτιρίων (ΕΕ L, 2024/1275, 8.5.2024, ELI: </w:t>
      </w:r>
      <w:hyperlink r:id="rId11" w:tgtFrame="http://data.europa.eu/eli/dir/2024/1275/oj" w:history="1">
        <w:r w:rsidRPr="004B1CE5">
          <w:rPr>
            <w:rStyle w:val="Hyperlink"/>
            <w:sz w:val="24"/>
            <w:lang w:val="el-GR"/>
          </w:rPr>
          <w:t>http://data.europa.eu/eli/dir/2024/1275/oj</w:t>
        </w:r>
      </w:hyperlink>
      <w:r w:rsidRPr="004B1CE5">
        <w:rPr>
          <w:rStyle w:val="Hyperlink"/>
          <w:sz w:val="24"/>
          <w:lang w:val="el-GR"/>
        </w:rPr>
        <w:t>)</w:t>
      </w:r>
      <w:r w:rsidRPr="004B1CE5">
        <w:rPr>
          <w:sz w:val="24"/>
          <w:lang w:val="el-GR"/>
        </w:rPr>
        <w:t>.</w:t>
      </w:r>
    </w:p>
  </w:footnote>
  <w:footnote w:id="16">
    <w:p w14:paraId="7D083D94" w14:textId="37E3B322" w:rsidR="00AF3FCC" w:rsidRPr="004B1CE5" w:rsidRDefault="00AF3FCC" w:rsidP="00AF3FCC">
      <w:pPr>
        <w:pStyle w:val="FootnoteText"/>
        <w:spacing w:line="240" w:lineRule="auto"/>
        <w:ind w:left="567" w:hanging="567"/>
        <w:rPr>
          <w:sz w:val="24"/>
          <w:lang w:val="el-GR"/>
        </w:rPr>
      </w:pPr>
      <w:r>
        <w:rPr>
          <w:rStyle w:val="FootnoteReference"/>
        </w:rPr>
        <w:footnoteRef/>
      </w:r>
      <w:r w:rsidRPr="004B1CE5">
        <w:rPr>
          <w:sz w:val="24"/>
          <w:vertAlign w:val="superscript"/>
          <w:lang w:val="el-GR"/>
        </w:rPr>
        <w:t xml:space="preserve"> </w:t>
      </w:r>
      <w:r w:rsidRPr="004B1CE5">
        <w:rPr>
          <w:sz w:val="24"/>
          <w:vertAlign w:val="superscript"/>
          <w:lang w:val="el-GR"/>
        </w:rPr>
        <w:tab/>
      </w:r>
      <w:r w:rsidRPr="004B1CE5">
        <w:rPr>
          <w:sz w:val="24"/>
          <w:lang w:val="el-GR"/>
        </w:rPr>
        <w:t>Κανονισμός (ΕΕ) 2022/869 του Ευρωπαϊκού Κοινοβουλίου και του Συμβουλίου, της 30ής Μαΐου 2022, σχετικά με τις κατευθυντήριες γραμμές για τις διευρωπαϊκές ενεργειακές υποδομές, την τροποποίηση των κανονισμών (ΕΚ) αριθ. 715/2009, (ΕΕ) 2019/942 και (ΕΕ) 2019/943 και των οδηγιών 2009/73/ΕΚ και (ΕΕ) 2019/944 και την κατάργηση του κανονισμού (ΕΕ) αριθ. 347/2013 (ΕΕ L 152 της 3.6.2022, σ. </w:t>
      </w:r>
      <w:r w:rsidRPr="004B1CE5">
        <w:rPr>
          <w:sz w:val="24"/>
          <w:lang w:val="el-GR"/>
        </w:rPr>
        <w:t xml:space="preserve">45, ELI: </w:t>
      </w:r>
      <w:hyperlink r:id="rId12" w:tgtFrame="http://data.europa.eu/eli/reg/2022/869/oj" w:history="1">
        <w:r w:rsidRPr="004B1CE5">
          <w:rPr>
            <w:rStyle w:val="Hyperlink"/>
            <w:sz w:val="24"/>
            <w:lang w:val="el-GR"/>
          </w:rPr>
          <w:t>http://data.europa.eu/eli/reg/2022/869/oj</w:t>
        </w:r>
      </w:hyperlink>
      <w:r w:rsidRPr="004B1CE5">
        <w:rPr>
          <w:rStyle w:val="Hyperlink"/>
          <w:sz w:val="24"/>
          <w:lang w:val="el-GR"/>
        </w:rPr>
        <w:t>)</w:t>
      </w:r>
      <w:r w:rsidRPr="004B1CE5">
        <w:rPr>
          <w:sz w:val="24"/>
          <w:lang w:val="el-GR"/>
        </w:rPr>
        <w:t>.</w:t>
      </w:r>
    </w:p>
  </w:footnote>
  <w:footnote w:id="17">
    <w:p w14:paraId="5C6D7844" w14:textId="77CF3F7A" w:rsidR="00AF3FCC" w:rsidRPr="004B1CE5" w:rsidRDefault="00AF3FCC" w:rsidP="00AF3FCC">
      <w:pPr>
        <w:pStyle w:val="FootnoteText"/>
        <w:spacing w:line="240" w:lineRule="auto"/>
        <w:ind w:left="567" w:hanging="567"/>
        <w:rPr>
          <w:sz w:val="24"/>
          <w:lang w:val="el-GR"/>
        </w:rPr>
      </w:pPr>
      <w:r>
        <w:rPr>
          <w:rStyle w:val="FootnoteReference"/>
        </w:rPr>
        <w:footnoteRef/>
      </w:r>
      <w:r w:rsidRPr="004B1CE5">
        <w:rPr>
          <w:sz w:val="24"/>
          <w:vertAlign w:val="superscript"/>
          <w:lang w:val="el-GR"/>
        </w:rPr>
        <w:t xml:space="preserve"> </w:t>
      </w:r>
      <w:r w:rsidRPr="004B1CE5">
        <w:rPr>
          <w:sz w:val="24"/>
          <w:vertAlign w:val="superscript"/>
          <w:lang w:val="el-GR"/>
        </w:rPr>
        <w:tab/>
      </w:r>
      <w:r w:rsidRPr="004B1CE5">
        <w:rPr>
          <w:sz w:val="24"/>
          <w:lang w:val="el-GR"/>
        </w:rPr>
        <w:t>Κανονισμός (ΕΕ) 2018/1999 του Ευρωπαϊκού Κοινοβουλίου και του Συμβουλίου, της 11ης Δεκεμβρίου 2018, για τη διακυβέρνηση της Ενεργειακής Ένωσης και της Δράσης για το Κλίμα, για την τροποποίηση των κανονισμών (ΕΚ) αριθ. 663/2009 και (ΕΚ) αριθ. 715/2009 του Ευρωπαϊκού Κοινοβουλίου και του Συμβουλίου, των οδηγιών 94/22/ΕΚ, 98/70/ΕΚ, 2009/31/ΕΚ, 2009/73/ΕΚ, 2010/31/ΕΕ, 2012/27/ΕΕ και 2013/30/ΕΕ του Ευρωπαϊκού Κοινοβουλίου και του Συμβουλίου, των οδηγιών 2009/119/ΕΚ και (ΕΕ) 2015/652 του Συμβουλίου και για την κατάργηση του κανονισμού (ΕΕ) αριθ. 525/2013 του Ευρωπαϊκού Κοινοβουλίου και του Συμβουλίου (ΕΕ L 328 της 21.12.2018, σ. </w:t>
      </w:r>
      <w:r w:rsidRPr="004B1CE5">
        <w:rPr>
          <w:sz w:val="24"/>
          <w:lang w:val="el-GR"/>
        </w:rPr>
        <w:t xml:space="preserve">1, ELI: </w:t>
      </w:r>
      <w:hyperlink r:id="rId13" w:tgtFrame="http://data.europa.eu/eli/reg/2018/1999/oj" w:history="1">
        <w:r w:rsidRPr="004B1CE5">
          <w:rPr>
            <w:rStyle w:val="Hyperlink"/>
            <w:sz w:val="24"/>
            <w:lang w:val="el-GR"/>
          </w:rPr>
          <w:t>http://data.europa.eu/eli/reg/2018/1999/oj</w:t>
        </w:r>
      </w:hyperlink>
      <w:r w:rsidRPr="004B1CE5">
        <w:rPr>
          <w:rStyle w:val="Hyperlink"/>
          <w:sz w:val="24"/>
          <w:lang w:val="el-GR"/>
        </w:rPr>
        <w:t>)</w:t>
      </w:r>
      <w:r w:rsidRPr="004B1CE5">
        <w:rPr>
          <w:sz w:val="24"/>
          <w:lang w:val="el-GR"/>
        </w:rPr>
        <w:t>.</w:t>
      </w:r>
    </w:p>
  </w:footnote>
  <w:footnote w:id="18">
    <w:p w14:paraId="19437625" w14:textId="551FDFC7" w:rsidR="00AF3FCC" w:rsidRPr="004B1CE5" w:rsidRDefault="00AF3FCC" w:rsidP="00AF3FCC">
      <w:pPr>
        <w:pStyle w:val="FootnoteText"/>
        <w:spacing w:line="240" w:lineRule="auto"/>
        <w:ind w:left="567" w:hanging="567"/>
        <w:rPr>
          <w:sz w:val="24"/>
          <w:lang w:val="el-GR"/>
        </w:rPr>
      </w:pPr>
      <w:r>
        <w:rPr>
          <w:rStyle w:val="FootnoteReference"/>
        </w:rPr>
        <w:footnoteRef/>
      </w:r>
      <w:r w:rsidRPr="004B1CE5">
        <w:rPr>
          <w:sz w:val="24"/>
          <w:vertAlign w:val="superscript"/>
          <w:lang w:val="el-GR"/>
        </w:rPr>
        <w:t xml:space="preserve"> </w:t>
      </w:r>
      <w:r w:rsidRPr="004B1CE5">
        <w:rPr>
          <w:sz w:val="24"/>
          <w:vertAlign w:val="superscript"/>
          <w:lang w:val="el-GR"/>
        </w:rPr>
        <w:tab/>
      </w:r>
      <w:r w:rsidRPr="004B1CE5">
        <w:rPr>
          <w:sz w:val="24"/>
          <w:lang w:val="el-GR"/>
        </w:rPr>
        <w:t xml:space="preserve">Κανονισμός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 (ΕΕ L, 2024/2509, 26.9.2024, ELI: </w:t>
      </w:r>
      <w:hyperlink r:id="rId14" w:tgtFrame="http://data.europa.eu/eli/reg/2024/2509/oj" w:history="1">
        <w:r w:rsidRPr="004B1CE5">
          <w:rPr>
            <w:rStyle w:val="Hyperlink"/>
            <w:sz w:val="24"/>
            <w:lang w:val="el-GR"/>
          </w:rPr>
          <w:t>http://data.europa.eu/eli/reg/2024/2509/oj</w:t>
        </w:r>
      </w:hyperlink>
      <w:r w:rsidRPr="004B1CE5">
        <w:rPr>
          <w:rStyle w:val="Hyperlink"/>
          <w:sz w:val="24"/>
          <w:lang w:val="el-GR"/>
        </w:rPr>
        <w:t>)</w:t>
      </w:r>
      <w:r w:rsidRPr="004B1CE5">
        <w:rPr>
          <w:sz w:val="24"/>
          <w:lang w:val="el-GR"/>
        </w:rPr>
        <w:t>.</w:t>
      </w:r>
    </w:p>
  </w:footnote>
  <w:footnote w:id="19">
    <w:p w14:paraId="1EA09A2E" w14:textId="7E37E5B0" w:rsidR="00AF3FCC" w:rsidRPr="004B1CE5" w:rsidRDefault="00AF3FCC" w:rsidP="00AF3FCC">
      <w:pPr>
        <w:pStyle w:val="FootnoteText"/>
        <w:spacing w:line="240" w:lineRule="auto"/>
        <w:ind w:left="567" w:hanging="567"/>
        <w:rPr>
          <w:sz w:val="24"/>
          <w:lang w:val="el-GR"/>
        </w:rPr>
      </w:pPr>
      <w:r>
        <w:rPr>
          <w:rStyle w:val="FootnoteReference"/>
        </w:rPr>
        <w:footnoteRef/>
      </w:r>
      <w:r w:rsidRPr="004B1CE5">
        <w:rPr>
          <w:sz w:val="24"/>
          <w:vertAlign w:val="superscript"/>
          <w:lang w:val="el-GR"/>
        </w:rPr>
        <w:t xml:space="preserve"> </w:t>
      </w:r>
      <w:r w:rsidRPr="004B1CE5">
        <w:rPr>
          <w:sz w:val="24"/>
          <w:vertAlign w:val="superscript"/>
          <w:lang w:val="el-GR"/>
        </w:rPr>
        <w:tab/>
      </w:r>
      <w:r w:rsidRPr="004B1CE5">
        <w:rPr>
          <w:sz w:val="24"/>
          <w:lang w:val="el-GR"/>
        </w:rPr>
        <w:t xml:space="preserve">Κανονισμός (ΕΕ) 2024/1083 του Ευρωπαϊκού Κοινοβουλίου και του Συμβουλίου, της 11ης Απριλίου 2024, σχετικά με τη θέσπιση κοινού πλαισίου για τις υπηρεσίες μέσων ενημέρωσης στην εσωτερική αγορά και την τροποποίηση της οδηγίας 2010/13/ΕΕ (ευρωπαϊκός κανονισμός για την ελευθερία των μέσων ενημέρωσης) </w:t>
      </w:r>
      <w:r w:rsidR="00187C57">
        <w:rPr>
          <w:sz w:val="24"/>
          <w:lang w:val="el-GR"/>
        </w:rPr>
        <w:t>(</w:t>
      </w:r>
      <w:r w:rsidRPr="004B1CE5">
        <w:rPr>
          <w:sz w:val="24"/>
          <w:lang w:val="el-GR"/>
        </w:rPr>
        <w:t xml:space="preserve">ΕΕ L, 2024/1083, 17.4.2024, ELI: </w:t>
      </w:r>
      <w:hyperlink r:id="rId15" w:tgtFrame="http://data.europa.eu/eli/reg/2024/1083/oj" w:history="1">
        <w:r w:rsidRPr="004B1CE5">
          <w:rPr>
            <w:rStyle w:val="Hyperlink"/>
            <w:sz w:val="24"/>
            <w:lang w:val="el-GR"/>
          </w:rPr>
          <w:t>http://data.europa.eu/eli/reg/2024/1083/oj</w:t>
        </w:r>
      </w:hyperlink>
      <w:r w:rsidRPr="004B1CE5">
        <w:rPr>
          <w:rStyle w:val="Hyperlink"/>
          <w:sz w:val="24"/>
          <w:lang w:val="el-GR"/>
        </w:rPr>
        <w:t>)</w:t>
      </w:r>
      <w:r w:rsidRPr="004B1CE5">
        <w:rPr>
          <w:sz w:val="24"/>
          <w:lang w:val="el-GR"/>
        </w:rPr>
        <w:t>.</w:t>
      </w:r>
    </w:p>
  </w:footnote>
  <w:footnote w:id="20">
    <w:p w14:paraId="24B0D576" w14:textId="4FFBA604" w:rsidR="00AF3FCC" w:rsidRPr="004B1CE5" w:rsidRDefault="00AF3FCC" w:rsidP="00AF3FCC">
      <w:pPr>
        <w:pStyle w:val="FootnoteText"/>
        <w:spacing w:line="240" w:lineRule="auto"/>
        <w:ind w:left="567" w:hanging="567"/>
        <w:rPr>
          <w:sz w:val="24"/>
          <w:lang w:val="el-GR"/>
        </w:rPr>
      </w:pPr>
      <w:r>
        <w:rPr>
          <w:rStyle w:val="FootnoteReference"/>
        </w:rPr>
        <w:footnoteRef/>
      </w:r>
      <w:r w:rsidRPr="004B1CE5">
        <w:rPr>
          <w:sz w:val="24"/>
          <w:vertAlign w:val="superscript"/>
          <w:lang w:val="el-GR"/>
        </w:rPr>
        <w:t xml:space="preserve"> </w:t>
      </w:r>
      <w:r w:rsidRPr="004B1CE5">
        <w:rPr>
          <w:sz w:val="24"/>
          <w:vertAlign w:val="superscript"/>
          <w:lang w:val="el-GR"/>
        </w:rPr>
        <w:tab/>
      </w:r>
      <w:r w:rsidRPr="004B1CE5">
        <w:rPr>
          <w:sz w:val="24"/>
          <w:lang w:val="el-GR"/>
        </w:rPr>
        <w:t>Κανονισμός (ΕΕ) 2021/818 του Ευρωπαϊκού Κοινοβουλίου και του Συμβουλίου, της 20ής Μαΐου 2021, για τη θέσπιση του προγράμματος «Δημιουργική Ευρώπη» (2021-2027) και την κατάργηση του κανονισμού (ΕΕ) αριθ. 1295/2013 (ΕΕ L 189 της 28.5.2021, σ. </w:t>
      </w:r>
      <w:r w:rsidRPr="004B1CE5">
        <w:rPr>
          <w:sz w:val="24"/>
          <w:lang w:val="el-GR"/>
        </w:rPr>
        <w:t xml:space="preserve">34, ELI: </w:t>
      </w:r>
      <w:hyperlink r:id="rId16" w:tgtFrame="http://data.europa.eu/eli/reg/2021/818/oj" w:history="1">
        <w:r w:rsidRPr="004B1CE5">
          <w:rPr>
            <w:rStyle w:val="Hyperlink"/>
            <w:sz w:val="24"/>
            <w:lang w:val="el-GR"/>
          </w:rPr>
          <w:t>http://data.europa.eu/eli/reg/2021/818/oj</w:t>
        </w:r>
      </w:hyperlink>
      <w:r w:rsidRPr="004B1CE5">
        <w:rPr>
          <w:rStyle w:val="Hyperlink"/>
          <w:sz w:val="24"/>
          <w:lang w:val="el-GR"/>
        </w:rPr>
        <w:t>)</w:t>
      </w:r>
      <w:r w:rsidRPr="004B1CE5">
        <w:rPr>
          <w:sz w:val="24"/>
          <w:lang w:val="el-GR"/>
        </w:rPr>
        <w:t>.</w:t>
      </w:r>
    </w:p>
  </w:footnote>
  <w:footnote w:id="21">
    <w:p w14:paraId="596C63D1" w14:textId="41739A82" w:rsidR="00AF3FCC" w:rsidRPr="004B1CE5" w:rsidRDefault="00AF3FCC" w:rsidP="00AF3FCC">
      <w:pPr>
        <w:pStyle w:val="FootnoteText"/>
        <w:spacing w:line="240" w:lineRule="auto"/>
        <w:ind w:left="567" w:hanging="567"/>
        <w:rPr>
          <w:sz w:val="24"/>
          <w:lang w:val="el-GR"/>
        </w:rPr>
      </w:pPr>
      <w:r>
        <w:rPr>
          <w:rStyle w:val="FootnoteReference"/>
        </w:rPr>
        <w:footnoteRef/>
      </w:r>
      <w:r w:rsidRPr="004B1CE5">
        <w:rPr>
          <w:sz w:val="24"/>
          <w:vertAlign w:val="superscript"/>
          <w:lang w:val="el-GR"/>
        </w:rPr>
        <w:t xml:space="preserve"> </w:t>
      </w:r>
      <w:r w:rsidRPr="004B1CE5">
        <w:rPr>
          <w:sz w:val="24"/>
          <w:vertAlign w:val="superscript"/>
          <w:lang w:val="el-GR"/>
        </w:rPr>
        <w:tab/>
      </w:r>
      <w:r w:rsidRPr="004B1CE5">
        <w:rPr>
          <w:sz w:val="24"/>
          <w:lang w:val="el-GR"/>
        </w:rPr>
        <w:t>Οδηγία (EE) 2018/1808 του Ευρωπαϊκού Κοινοβουλίου και του Συμβουλίου, της 14ης</w:t>
      </w:r>
      <w:r w:rsidR="00187C57">
        <w:rPr>
          <w:sz w:val="24"/>
          <w:lang w:val="el-GR"/>
        </w:rPr>
        <w:t> </w:t>
      </w:r>
      <w:r w:rsidRPr="004B1CE5">
        <w:rPr>
          <w:sz w:val="24"/>
          <w:lang w:val="el-GR"/>
        </w:rPr>
        <w:t>Νοεμβρίου 2018, για την τροποποίηση της οδηγίας 2010/13/ΕΕ για τον συντονισμό ορισμένων νομοθετικών, κανονιστικών και διοικητικών διατάξεων των κρατών μελών σχετικά με την παροχή υπηρεσιών οπτικοακουστικών μέσων (οδηγία για τις υπηρεσίες οπτικοακουστικών μέσων) ενόψει των μεταβαλλόμενων συνθηκών της αγοράς (ΕΕ L 303 της 28.11.2018, σ. </w:t>
      </w:r>
      <w:r w:rsidRPr="004B1CE5">
        <w:rPr>
          <w:sz w:val="24"/>
          <w:lang w:val="el-GR"/>
        </w:rPr>
        <w:t xml:space="preserve">69, ELI: </w:t>
      </w:r>
      <w:hyperlink r:id="rId17" w:tgtFrame="http://data.europa.eu/eli/dir/2018/1808/oj" w:history="1">
        <w:r w:rsidRPr="004B1CE5">
          <w:rPr>
            <w:rStyle w:val="Hyperlink"/>
            <w:sz w:val="24"/>
            <w:lang w:val="el-GR"/>
          </w:rPr>
          <w:t>http://data.europa.eu/eli/dir/2018/1808/oj</w:t>
        </w:r>
      </w:hyperlink>
      <w:r w:rsidRPr="004B1CE5">
        <w:rPr>
          <w:rStyle w:val="Hyperlink"/>
          <w:sz w:val="24"/>
          <w:lang w:val="el-GR"/>
        </w:rPr>
        <w:t>)</w:t>
      </w:r>
      <w:r w:rsidRPr="004B1CE5">
        <w:rPr>
          <w:sz w:val="24"/>
          <w:lang w:val="el-GR"/>
        </w:rPr>
        <w:t>.</w:t>
      </w:r>
    </w:p>
  </w:footnote>
  <w:footnote w:id="22">
    <w:p w14:paraId="2BEFAB1F" w14:textId="0AFB3396" w:rsidR="00AF3FCC" w:rsidRPr="004B1CE5" w:rsidRDefault="00AF3FCC" w:rsidP="00AF3FCC">
      <w:pPr>
        <w:pStyle w:val="FootnoteText"/>
        <w:spacing w:line="240" w:lineRule="auto"/>
        <w:ind w:left="567" w:hanging="567"/>
        <w:rPr>
          <w:sz w:val="24"/>
          <w:lang w:val="el-GR"/>
        </w:rPr>
      </w:pPr>
      <w:r>
        <w:rPr>
          <w:rStyle w:val="FootnoteReference"/>
        </w:rPr>
        <w:footnoteRef/>
      </w:r>
      <w:r w:rsidRPr="004B1CE5">
        <w:rPr>
          <w:sz w:val="24"/>
          <w:vertAlign w:val="superscript"/>
          <w:lang w:val="el-GR"/>
        </w:rPr>
        <w:t xml:space="preserve"> </w:t>
      </w:r>
      <w:r w:rsidRPr="004B1CE5">
        <w:rPr>
          <w:sz w:val="24"/>
          <w:vertAlign w:val="superscript"/>
          <w:lang w:val="el-GR"/>
        </w:rPr>
        <w:tab/>
      </w:r>
      <w:r w:rsidRPr="004B1CE5">
        <w:rPr>
          <w:sz w:val="24"/>
          <w:lang w:val="el-GR"/>
        </w:rPr>
        <w:t>Οδηγία (EE) 2019/882 του Ευρωπαϊκού Κοινοβουλίου και του Συμβουλίου, της 17ης</w:t>
      </w:r>
      <w:r w:rsidR="00187C57">
        <w:rPr>
          <w:sz w:val="24"/>
          <w:lang w:val="el-GR"/>
        </w:rPr>
        <w:t> </w:t>
      </w:r>
      <w:r w:rsidRPr="004B1CE5">
        <w:rPr>
          <w:sz w:val="24"/>
          <w:lang w:val="el-GR"/>
        </w:rPr>
        <w:t xml:space="preserve">Απριλίου 2019, σχετικά με τις απαιτήσεις προσβασιμότητας προϊόντων και υπηρεσιών (ΕΕ L 151 της 7.6.2019, σ. </w:t>
      </w:r>
      <w:r w:rsidRPr="004B1CE5">
        <w:rPr>
          <w:sz w:val="24"/>
          <w:lang w:val="el-GR"/>
        </w:rPr>
        <w:t xml:space="preserve">70, ELI: </w:t>
      </w:r>
      <w:hyperlink r:id="rId18" w:tgtFrame="http://data.europa.eu/eli/dir/2019/882/oj" w:history="1">
        <w:r w:rsidRPr="004B1CE5">
          <w:rPr>
            <w:rStyle w:val="Hyperlink"/>
            <w:sz w:val="24"/>
            <w:lang w:val="el-GR"/>
          </w:rPr>
          <w:t>http://data.europa.eu/eli/dir/2019/882/oj</w:t>
        </w:r>
      </w:hyperlink>
      <w:r w:rsidRPr="004B1CE5">
        <w:rPr>
          <w:rStyle w:val="Hyperlink"/>
          <w:sz w:val="24"/>
          <w:lang w:val="el-GR"/>
        </w:rPr>
        <w:t>)</w:t>
      </w:r>
      <w:r w:rsidRPr="004B1CE5">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14B5E" w14:textId="77777777" w:rsidR="00064002" w:rsidRPr="004B1CE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A3DBD" w14:textId="77777777" w:rsidR="00064002" w:rsidRPr="004B1CE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AA6AF" w14:textId="77777777" w:rsidR="00064002" w:rsidRPr="004B1CE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EAC5AD2"/>
    <w:multiLevelType w:val="hybridMultilevel"/>
    <w:tmpl w:val="CBE00B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5B36CA3"/>
    <w:multiLevelType w:val="hybridMultilevel"/>
    <w:tmpl w:val="94BA4E2C"/>
    <w:lvl w:ilvl="0" w:tplc="DE669FA8">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83768108">
    <w:abstractNumId w:val="9"/>
  </w:num>
  <w:num w:numId="2" w16cid:durableId="1452943158">
    <w:abstractNumId w:val="9"/>
  </w:num>
  <w:num w:numId="3" w16cid:durableId="120197417">
    <w:abstractNumId w:val="7"/>
  </w:num>
  <w:num w:numId="4" w16cid:durableId="812717857">
    <w:abstractNumId w:val="7"/>
  </w:num>
  <w:num w:numId="5" w16cid:durableId="976644911">
    <w:abstractNumId w:val="6"/>
  </w:num>
  <w:num w:numId="6" w16cid:durableId="1988507935">
    <w:abstractNumId w:val="6"/>
  </w:num>
  <w:num w:numId="7" w16cid:durableId="659115798">
    <w:abstractNumId w:val="5"/>
  </w:num>
  <w:num w:numId="8" w16cid:durableId="835877351">
    <w:abstractNumId w:val="5"/>
  </w:num>
  <w:num w:numId="9" w16cid:durableId="1240364872">
    <w:abstractNumId w:val="4"/>
  </w:num>
  <w:num w:numId="10" w16cid:durableId="1260716649">
    <w:abstractNumId w:val="4"/>
  </w:num>
  <w:num w:numId="11" w16cid:durableId="425465021">
    <w:abstractNumId w:val="8"/>
  </w:num>
  <w:num w:numId="12" w16cid:durableId="937062845">
    <w:abstractNumId w:val="8"/>
  </w:num>
  <w:num w:numId="13" w16cid:durableId="1755710454">
    <w:abstractNumId w:val="3"/>
  </w:num>
  <w:num w:numId="14" w16cid:durableId="273875682">
    <w:abstractNumId w:val="3"/>
  </w:num>
  <w:num w:numId="15" w16cid:durableId="611785528">
    <w:abstractNumId w:val="2"/>
  </w:num>
  <w:num w:numId="16" w16cid:durableId="660162015">
    <w:abstractNumId w:val="2"/>
  </w:num>
  <w:num w:numId="17" w16cid:durableId="1783185676">
    <w:abstractNumId w:val="1"/>
  </w:num>
  <w:num w:numId="18" w16cid:durableId="579951485">
    <w:abstractNumId w:val="1"/>
  </w:num>
  <w:num w:numId="19" w16cid:durableId="1260066200">
    <w:abstractNumId w:val="0"/>
  </w:num>
  <w:num w:numId="20" w16cid:durableId="906300673">
    <w:abstractNumId w:val="0"/>
  </w:num>
  <w:num w:numId="21" w16cid:durableId="1520269796">
    <w:abstractNumId w:val="9"/>
  </w:num>
  <w:num w:numId="22" w16cid:durableId="430249215">
    <w:abstractNumId w:val="7"/>
  </w:num>
  <w:num w:numId="23" w16cid:durableId="1058556413">
    <w:abstractNumId w:val="6"/>
  </w:num>
  <w:num w:numId="24" w16cid:durableId="933980469">
    <w:abstractNumId w:val="5"/>
  </w:num>
  <w:num w:numId="25" w16cid:durableId="505749518">
    <w:abstractNumId w:val="4"/>
  </w:num>
  <w:num w:numId="26" w16cid:durableId="1407191748">
    <w:abstractNumId w:val="8"/>
  </w:num>
  <w:num w:numId="27" w16cid:durableId="1690718152">
    <w:abstractNumId w:val="3"/>
  </w:num>
  <w:num w:numId="28" w16cid:durableId="1863401522">
    <w:abstractNumId w:val="2"/>
  </w:num>
  <w:num w:numId="29" w16cid:durableId="511145647">
    <w:abstractNumId w:val="1"/>
  </w:num>
  <w:num w:numId="30" w16cid:durableId="1010064964">
    <w:abstractNumId w:val="0"/>
  </w:num>
  <w:num w:numId="31" w16cid:durableId="655231485">
    <w:abstractNumId w:val="9"/>
  </w:num>
  <w:num w:numId="32" w16cid:durableId="2084251156">
    <w:abstractNumId w:val="7"/>
  </w:num>
  <w:num w:numId="33" w16cid:durableId="1270501991">
    <w:abstractNumId w:val="6"/>
  </w:num>
  <w:num w:numId="34" w16cid:durableId="1570263524">
    <w:abstractNumId w:val="5"/>
  </w:num>
  <w:num w:numId="35" w16cid:durableId="1062102634">
    <w:abstractNumId w:val="4"/>
  </w:num>
  <w:num w:numId="36" w16cid:durableId="182208811">
    <w:abstractNumId w:val="8"/>
  </w:num>
  <w:num w:numId="37" w16cid:durableId="1488788097">
    <w:abstractNumId w:val="3"/>
  </w:num>
  <w:num w:numId="38" w16cid:durableId="1530139671">
    <w:abstractNumId w:val="2"/>
  </w:num>
  <w:num w:numId="39" w16cid:durableId="780035162">
    <w:abstractNumId w:val="1"/>
  </w:num>
  <w:num w:numId="40" w16cid:durableId="1462532233">
    <w:abstractNumId w:val="0"/>
  </w:num>
  <w:num w:numId="41" w16cid:durableId="1130321420">
    <w:abstractNumId w:val="10"/>
  </w:num>
  <w:num w:numId="42" w16cid:durableId="768281459">
    <w:abstractNumId w:val="10"/>
  </w:num>
  <w:num w:numId="43" w16cid:durableId="542980245">
    <w:abstractNumId w:val="10"/>
  </w:num>
  <w:num w:numId="44" w16cid:durableId="1580209707">
    <w:abstractNumId w:val="11"/>
  </w:num>
  <w:num w:numId="45" w16cid:durableId="373653210">
    <w:abstractNumId w:val="12"/>
  </w:num>
  <w:num w:numId="46" w16cid:durableId="105339085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37/2026"/>
    <w:docVar w:name="dvlangue" w:val="EL"/>
    <w:docVar w:name="dvnumam" w:val="0"/>
    <w:docVar w:name="dvpe" w:val="778.115"/>
    <w:docVar w:name="dvrapporteur" w:val="Εισηγητής: "/>
    <w:docVar w:name="dvtitre" w:val="Ψήφισμα του Ευρωπαϊκού Κοινοβουλίου της ... 2026 σχετικά με την παρακολούθηση της εφαρμογής του δικαίου της Ευρωπαϊκής Ένωσης για τα έτη 2023, 2024 και 2025(2025/2016(INI))"/>
  </w:docVars>
  <w:rsids>
    <w:rsidRoot w:val="001B50DF"/>
    <w:rsid w:val="00002272"/>
    <w:rsid w:val="00064002"/>
    <w:rsid w:val="000677B9"/>
    <w:rsid w:val="000831BA"/>
    <w:rsid w:val="000A42CC"/>
    <w:rsid w:val="000C1E56"/>
    <w:rsid w:val="000E7DD9"/>
    <w:rsid w:val="0010095E"/>
    <w:rsid w:val="00125B37"/>
    <w:rsid w:val="00127EEE"/>
    <w:rsid w:val="00187494"/>
    <w:rsid w:val="00187C57"/>
    <w:rsid w:val="001B50DF"/>
    <w:rsid w:val="001F32AE"/>
    <w:rsid w:val="00211FA8"/>
    <w:rsid w:val="002767FF"/>
    <w:rsid w:val="00287258"/>
    <w:rsid w:val="002B18FE"/>
    <w:rsid w:val="002B5493"/>
    <w:rsid w:val="00343214"/>
    <w:rsid w:val="00361C00"/>
    <w:rsid w:val="00395FA1"/>
    <w:rsid w:val="003E15D4"/>
    <w:rsid w:val="00411CCE"/>
    <w:rsid w:val="0041666E"/>
    <w:rsid w:val="00421060"/>
    <w:rsid w:val="00471C19"/>
    <w:rsid w:val="004867E3"/>
    <w:rsid w:val="00494A28"/>
    <w:rsid w:val="004B1CE5"/>
    <w:rsid w:val="004C0004"/>
    <w:rsid w:val="004C5D52"/>
    <w:rsid w:val="0050519A"/>
    <w:rsid w:val="005072A1"/>
    <w:rsid w:val="00514517"/>
    <w:rsid w:val="00545827"/>
    <w:rsid w:val="00560270"/>
    <w:rsid w:val="005C2568"/>
    <w:rsid w:val="005F1B17"/>
    <w:rsid w:val="006037C0"/>
    <w:rsid w:val="00654908"/>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52C"/>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C5414"/>
    <w:rsid w:val="00AE0928"/>
    <w:rsid w:val="00AF3B82"/>
    <w:rsid w:val="00AF3FCC"/>
    <w:rsid w:val="00B12E95"/>
    <w:rsid w:val="00B22876"/>
    <w:rsid w:val="00B558F0"/>
    <w:rsid w:val="00B85AC9"/>
    <w:rsid w:val="00BD48FE"/>
    <w:rsid w:val="00BD7BD8"/>
    <w:rsid w:val="00BE6ADC"/>
    <w:rsid w:val="00C05BFE"/>
    <w:rsid w:val="00C23CD4"/>
    <w:rsid w:val="00C61C0C"/>
    <w:rsid w:val="00C941CB"/>
    <w:rsid w:val="00CC2357"/>
    <w:rsid w:val="00CF071A"/>
    <w:rsid w:val="00D058B8"/>
    <w:rsid w:val="00D17057"/>
    <w:rsid w:val="00D56C11"/>
    <w:rsid w:val="00D834A0"/>
    <w:rsid w:val="00D872DF"/>
    <w:rsid w:val="00D91E21"/>
    <w:rsid w:val="00DA7FCD"/>
    <w:rsid w:val="00DB0178"/>
    <w:rsid w:val="00E365E1"/>
    <w:rsid w:val="00E43650"/>
    <w:rsid w:val="00E820A4"/>
    <w:rsid w:val="00EB006A"/>
    <w:rsid w:val="00EB4772"/>
    <w:rsid w:val="00ED169E"/>
    <w:rsid w:val="00ED4235"/>
    <w:rsid w:val="00ED6069"/>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980C0B"/>
  <w15:chartTrackingRefBased/>
  <w15:docId w15:val="{F9FEC53F-92B6-42FD-986E-9EA4A8AFBD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127EEE"/>
    <w:pPr>
      <w:widowControl/>
      <w:spacing w:after="240"/>
    </w:pPr>
    <w:rPr>
      <w:szCs w:val="24"/>
      <w:lang w:eastAsia="en-US"/>
    </w:rPr>
  </w:style>
  <w:style w:type="paragraph" w:customStyle="1" w:styleId="NormalHanging12a">
    <w:name w:val="NormalHanging12a"/>
    <w:basedOn w:val="Normal"/>
    <w:rsid w:val="00127EEE"/>
    <w:pPr>
      <w:widowControl/>
      <w:spacing w:after="240"/>
      <w:ind w:left="566" w:hanging="566"/>
    </w:pPr>
    <w:rPr>
      <w:szCs w:val="24"/>
      <w:lang w:eastAsia="en-US"/>
    </w:rPr>
  </w:style>
  <w:style w:type="paragraph" w:customStyle="1" w:styleId="Normal12">
    <w:name w:val="Normal12"/>
    <w:basedOn w:val="Normal"/>
    <w:rsid w:val="00127EEE"/>
    <w:pPr>
      <w:widowControl/>
      <w:spacing w:after="240"/>
    </w:pPr>
    <w:rPr>
      <w:szCs w:val="24"/>
      <w:lang w:eastAsia="en-US"/>
    </w:rPr>
  </w:style>
  <w:style w:type="paragraph" w:customStyle="1" w:styleId="NormalHanging">
    <w:name w:val="NormalHanging"/>
    <w:basedOn w:val="Normal"/>
    <w:rsid w:val="00127EEE"/>
    <w:pPr>
      <w:widowControl/>
      <w:spacing w:after="240"/>
      <w:ind w:left="566" w:hanging="566"/>
    </w:pPr>
    <w:rPr>
      <w:szCs w:val="24"/>
      <w:lang w:eastAsia="en-US"/>
    </w:rPr>
  </w:style>
  <w:style w:type="paragraph" w:customStyle="1" w:styleId="NormalBold12a">
    <w:name w:val="NormalBold12a"/>
    <w:basedOn w:val="Normal"/>
    <w:rsid w:val="00127EEE"/>
    <w:pPr>
      <w:widowControl/>
      <w:spacing w:after="240"/>
    </w:pPr>
    <w:rPr>
      <w:b/>
      <w:szCs w:val="24"/>
      <w:lang w:eastAsia="en-US"/>
    </w:rPr>
  </w:style>
  <w:style w:type="paragraph" w:customStyle="1" w:styleId="NormalCenter12a">
    <w:name w:val="NormalCenter12a"/>
    <w:basedOn w:val="Normal"/>
    <w:rsid w:val="00127EEE"/>
    <w:pPr>
      <w:widowControl/>
      <w:spacing w:after="240"/>
      <w:jc w:val="center"/>
    </w:pPr>
    <w:rPr>
      <w:szCs w:val="24"/>
      <w:lang w:eastAsia="en-US"/>
    </w:rPr>
  </w:style>
  <w:style w:type="character" w:styleId="Hyperlink">
    <w:name w:val="Hyperlink"/>
    <w:basedOn w:val="DefaultParagraphFont"/>
    <w:uiPriority w:val="99"/>
    <w:rsid w:val="00127EEE"/>
    <w:rPr>
      <w:color w:val="0000FF"/>
      <w:u w:val="single"/>
    </w:rPr>
  </w:style>
  <w:style w:type="paragraph" w:styleId="Revision">
    <w:name w:val="Revision"/>
    <w:hidden/>
    <w:uiPriority w:val="99"/>
    <w:semiHidden/>
    <w:rsid w:val="00AF3FCC"/>
    <w:rPr>
      <w:sz w:val="24"/>
      <w:lang w:val="el-GR"/>
    </w:rPr>
  </w:style>
  <w:style w:type="character" w:styleId="FollowedHyperlink">
    <w:name w:val="FollowedHyperlink"/>
    <w:basedOn w:val="DefaultParagraphFont"/>
    <w:rsid w:val="00187C57"/>
    <w:rPr>
      <w:color w:val="954F72" w:themeColor="followedHyperlink"/>
      <w:u w:val="single"/>
    </w:rPr>
  </w:style>
  <w:style w:type="character" w:styleId="UnresolvedMention">
    <w:name w:val="Unresolved Mention"/>
    <w:basedOn w:val="DefaultParagraphFont"/>
    <w:uiPriority w:val="99"/>
    <w:semiHidden/>
    <w:unhideWhenUsed/>
    <w:rsid w:val="00ED60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22/2041/oj" TargetMode="External"/><Relationship Id="rId13" Type="http://schemas.openxmlformats.org/officeDocument/2006/relationships/hyperlink" Target="http://data.europa.eu/eli/reg/2018/1999/oj" TargetMode="External"/><Relationship Id="rId18" Type="http://schemas.openxmlformats.org/officeDocument/2006/relationships/hyperlink" Target="http://data.europa.eu/eli/dir/2019/882/oj" TargetMode="External"/><Relationship Id="rId3" Type="http://schemas.openxmlformats.org/officeDocument/2006/relationships/hyperlink" Target="http://data.europa.eu/eli/agree_interinstit/2016/512/oj" TargetMode="External"/><Relationship Id="rId7" Type="http://schemas.openxmlformats.org/officeDocument/2006/relationships/hyperlink" Target="http://data.europa.eu/eli/dir/2011/93/oj" TargetMode="External"/><Relationship Id="rId12" Type="http://schemas.openxmlformats.org/officeDocument/2006/relationships/hyperlink" Target="http://data.europa.eu/eli/reg/2022/869/oj" TargetMode="External"/><Relationship Id="rId17" Type="http://schemas.openxmlformats.org/officeDocument/2006/relationships/hyperlink" Target="http://data.europa.eu/eli/dir/2018/1808/oj" TargetMode="External"/><Relationship Id="rId2" Type="http://schemas.openxmlformats.org/officeDocument/2006/relationships/hyperlink" Target="http://data.europa.eu/eli/C/2024/4215/oj" TargetMode="External"/><Relationship Id="rId16" Type="http://schemas.openxmlformats.org/officeDocument/2006/relationships/hyperlink" Target="http://data.europa.eu/eli/reg/2021/818/oj" TargetMode="External"/><Relationship Id="rId1" Type="http://schemas.openxmlformats.org/officeDocument/2006/relationships/hyperlink" Target="http://data.europa.eu/eli/C/2024/4229/oj" TargetMode="External"/><Relationship Id="rId6" Type="http://schemas.openxmlformats.org/officeDocument/2006/relationships/hyperlink" Target="http://data.europa.eu/eli/reg/2022/2065/oj" TargetMode="External"/><Relationship Id="rId11" Type="http://schemas.openxmlformats.org/officeDocument/2006/relationships/hyperlink" Target="http://data.europa.eu/eli/dir/2024/1275/oj" TargetMode="External"/><Relationship Id="rId5" Type="http://schemas.openxmlformats.org/officeDocument/2006/relationships/hyperlink" Target="http://data.europa.eu/eli/dec_framw/2008/913/oj" TargetMode="External"/><Relationship Id="rId15" Type="http://schemas.openxmlformats.org/officeDocument/2006/relationships/hyperlink" Target="http://data.europa.eu/eli/reg/2024/1083/oj" TargetMode="External"/><Relationship Id="rId10" Type="http://schemas.openxmlformats.org/officeDocument/2006/relationships/hyperlink" Target="http://data.europa.eu/eli/dir/2023/2413/oj" TargetMode="External"/><Relationship Id="rId4" Type="http://schemas.openxmlformats.org/officeDocument/2006/relationships/hyperlink" Target="http://data.europa.eu/eli/C/2025/4414/oj" TargetMode="External"/><Relationship Id="rId9" Type="http://schemas.openxmlformats.org/officeDocument/2006/relationships/hyperlink" Target="http://data.europa.eu/eli/dir/2023/1791/oj" TargetMode="External"/><Relationship Id="rId14" Type="http://schemas.openxmlformats.org/officeDocument/2006/relationships/hyperlink" Target="http://data.europa.eu/eli/reg/2024/250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8701</Words>
  <Characters>51347</Characters>
  <Application>Microsoft Office Word</Application>
  <DocSecurity>0</DocSecurity>
  <Lines>2139</Lines>
  <Paragraphs>612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59436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Amalia</cp:lastModifiedBy>
  <cp:revision>2</cp:revision>
  <cp:lastPrinted>2004-11-19T15:42:00Z</cp:lastPrinted>
  <dcterms:created xsi:type="dcterms:W3CDTF">2026-04-29T13:56:00Z</dcterms:created>
  <dcterms:modified xsi:type="dcterms:W3CDTF">2026-04-29T13:56:00Z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A10-0037/2026</vt:lpwstr>
  </property>
  <property fmtid="{D5CDD505-2E9C-101B-9397-08002B2CF9AE}" pid="4" name="&lt;Type&gt;">
    <vt:lpwstr>RR</vt:lpwstr>
  </property>
</Properties>
</file>