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3F73" w14:paraId="62858F65" w14:textId="77777777" w:rsidTr="0010095E">
        <w:trPr>
          <w:trHeight w:hRule="exact" w:val="1418"/>
        </w:trPr>
        <w:tc>
          <w:tcPr>
            <w:tcW w:w="6804" w:type="dxa"/>
            <w:shd w:val="clear" w:color="auto" w:fill="auto"/>
            <w:vAlign w:val="center"/>
          </w:tcPr>
          <w:p w14:paraId="297C88D8" w14:textId="77777777" w:rsidR="00751A4A" w:rsidRPr="00273F73" w:rsidRDefault="00525084" w:rsidP="0010095E">
            <w:pPr>
              <w:pStyle w:val="EPName"/>
            </w:pPr>
            <w:r w:rsidRPr="00273F73">
              <w:t>European Parliament</w:t>
            </w:r>
          </w:p>
          <w:p w14:paraId="299A9452" w14:textId="77777777" w:rsidR="00751A4A" w:rsidRPr="00273F73" w:rsidRDefault="005F1B17" w:rsidP="005F1B17">
            <w:pPr>
              <w:pStyle w:val="EPTerm"/>
              <w:rPr>
                <w:rStyle w:val="HideTWBExt"/>
                <w:noProof w:val="0"/>
                <w:vanish w:val="0"/>
                <w:color w:val="auto"/>
              </w:rPr>
            </w:pPr>
            <w:r w:rsidRPr="00273F73">
              <w:t>2024</w:t>
            </w:r>
            <w:r w:rsidR="00817416" w:rsidRPr="00273F73">
              <w:t>-202</w:t>
            </w:r>
            <w:r w:rsidRPr="00273F73">
              <w:t>9</w:t>
            </w:r>
          </w:p>
        </w:tc>
        <w:tc>
          <w:tcPr>
            <w:tcW w:w="2268" w:type="dxa"/>
            <w:shd w:val="clear" w:color="auto" w:fill="auto"/>
          </w:tcPr>
          <w:p w14:paraId="2A38DD11" w14:textId="77777777" w:rsidR="00751A4A" w:rsidRPr="00273F73" w:rsidRDefault="00187494" w:rsidP="0010095E">
            <w:pPr>
              <w:pStyle w:val="EPLogo"/>
            </w:pPr>
            <w:r w:rsidRPr="00273F73">
              <w:rPr>
                <w:noProof/>
                <w:lang w:eastAsia="ja-JP"/>
              </w:rPr>
              <w:drawing>
                <wp:inline distT="0" distB="0" distL="0" distR="0" wp14:anchorId="2D804E7A" wp14:editId="2E4F71A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DAF4B4" w14:textId="77777777" w:rsidR="00D058B8" w:rsidRPr="00273F73" w:rsidRDefault="00D058B8" w:rsidP="004C5D52">
      <w:pPr>
        <w:pStyle w:val="LineTop"/>
      </w:pPr>
    </w:p>
    <w:p w14:paraId="42EA5D28" w14:textId="77777777" w:rsidR="00680577" w:rsidRPr="00273F73" w:rsidRDefault="00525084" w:rsidP="00680577">
      <w:pPr>
        <w:pStyle w:val="EPBodyTA1"/>
      </w:pPr>
      <w:r w:rsidRPr="00273F73">
        <w:t>TEXTS ADOPTED</w:t>
      </w:r>
    </w:p>
    <w:p w14:paraId="3404911D" w14:textId="77777777" w:rsidR="00D058B8" w:rsidRPr="00273F73" w:rsidRDefault="00D058B8" w:rsidP="00D058B8">
      <w:pPr>
        <w:pStyle w:val="LineBottom"/>
      </w:pPr>
    </w:p>
    <w:p w14:paraId="2E3FC740" w14:textId="1DAEE8E2" w:rsidR="00525084" w:rsidRPr="00273F73" w:rsidRDefault="00525084" w:rsidP="00525084">
      <w:pPr>
        <w:pStyle w:val="ATHeading1"/>
      </w:pPr>
      <w:bookmarkStart w:id="0" w:name="TANumber"/>
      <w:r w:rsidRPr="00273F73">
        <w:t>P10_</w:t>
      </w:r>
      <w:proofErr w:type="gramStart"/>
      <w:r w:rsidRPr="00273F73">
        <w:t>TA(</w:t>
      </w:r>
      <w:proofErr w:type="gramEnd"/>
      <w:r w:rsidRPr="00273F73">
        <w:t>2026)</w:t>
      </w:r>
      <w:bookmarkEnd w:id="0"/>
      <w:r w:rsidR="00312F61">
        <w:t>0148</w:t>
      </w:r>
    </w:p>
    <w:p w14:paraId="5FCBA130" w14:textId="5291EBB5" w:rsidR="00525084" w:rsidRPr="00273F73" w:rsidRDefault="000940B8" w:rsidP="00525084">
      <w:pPr>
        <w:pStyle w:val="ATHeading2"/>
      </w:pPr>
      <w:bookmarkStart w:id="1" w:name="title"/>
      <w:r w:rsidRPr="000940B8">
        <w:t>Monitoring the application of European Union law in 2023, 2024 and 2025</w:t>
      </w:r>
      <w:bookmarkEnd w:id="1"/>
    </w:p>
    <w:p w14:paraId="21F39E75" w14:textId="77777777" w:rsidR="00525084" w:rsidRPr="00273F73" w:rsidRDefault="00525084" w:rsidP="00525084">
      <w:pPr>
        <w:rPr>
          <w:i/>
          <w:vanish/>
        </w:rPr>
      </w:pPr>
      <w:r w:rsidRPr="00273F73">
        <w:rPr>
          <w:i/>
        </w:rPr>
        <w:fldChar w:fldCharType="begin"/>
      </w:r>
      <w:r w:rsidRPr="00273F73">
        <w:rPr>
          <w:i/>
        </w:rPr>
        <w:instrText xml:space="preserve"> TC"(</w:instrText>
      </w:r>
      <w:bookmarkStart w:id="2" w:name="DocNumber"/>
      <w:r w:rsidRPr="00273F73">
        <w:rPr>
          <w:i/>
        </w:rPr>
        <w:instrText>A10-0037/2026</w:instrText>
      </w:r>
      <w:bookmarkEnd w:id="2"/>
      <w:r w:rsidRPr="00273F73">
        <w:rPr>
          <w:i/>
        </w:rPr>
        <w:instrText xml:space="preserve"> - Rapporteur: </w:instrText>
      </w:r>
      <w:proofErr w:type="spellStart"/>
      <w:r w:rsidRPr="00273F73">
        <w:rPr>
          <w:i/>
        </w:rPr>
        <w:instrText>Dainius</w:instrText>
      </w:r>
      <w:proofErr w:type="spellEnd"/>
      <w:r w:rsidRPr="00273F73">
        <w:rPr>
          <w:i/>
        </w:rPr>
        <w:instrText xml:space="preserve"> </w:instrText>
      </w:r>
      <w:proofErr w:type="spellStart"/>
      <w:r w:rsidRPr="00273F73">
        <w:rPr>
          <w:i/>
        </w:rPr>
        <w:instrText>Žalimas</w:instrText>
      </w:r>
      <w:proofErr w:type="spellEnd"/>
      <w:r w:rsidRPr="00273F73">
        <w:rPr>
          <w:i/>
        </w:rPr>
        <w:instrText xml:space="preserve">)"\l3 \n&gt; \* MERGEFORMAT </w:instrText>
      </w:r>
      <w:r w:rsidRPr="00273F73">
        <w:rPr>
          <w:i/>
        </w:rPr>
        <w:fldChar w:fldCharType="end"/>
      </w:r>
    </w:p>
    <w:p w14:paraId="1A12B730" w14:textId="77777777" w:rsidR="00525084" w:rsidRPr="00273F73" w:rsidRDefault="00525084" w:rsidP="00525084">
      <w:pPr>
        <w:rPr>
          <w:vanish/>
        </w:rPr>
      </w:pPr>
      <w:bookmarkStart w:id="3" w:name="Commission"/>
      <w:r w:rsidRPr="00273F73">
        <w:rPr>
          <w:vanish/>
        </w:rPr>
        <w:t>Committee on Legal Affairs</w:t>
      </w:r>
      <w:bookmarkEnd w:id="3"/>
    </w:p>
    <w:p w14:paraId="5B0A6741" w14:textId="77777777" w:rsidR="00525084" w:rsidRPr="00273F73" w:rsidRDefault="00525084" w:rsidP="00525084">
      <w:pPr>
        <w:rPr>
          <w:vanish/>
        </w:rPr>
      </w:pPr>
      <w:bookmarkStart w:id="4" w:name="PE"/>
      <w:r w:rsidRPr="00273F73">
        <w:rPr>
          <w:vanish/>
        </w:rPr>
        <w:t>PE778.115</w:t>
      </w:r>
      <w:bookmarkEnd w:id="4"/>
    </w:p>
    <w:p w14:paraId="39281902" w14:textId="0615D110" w:rsidR="00525084" w:rsidRPr="00273F73" w:rsidRDefault="00525084" w:rsidP="00525084">
      <w:pPr>
        <w:pStyle w:val="ATHeading3"/>
      </w:pPr>
      <w:bookmarkStart w:id="5" w:name="Sujet"/>
      <w:r w:rsidRPr="00273F73">
        <w:t xml:space="preserve">European Parliament resolution of </w:t>
      </w:r>
      <w:r w:rsidR="000940B8">
        <w:t>2</w:t>
      </w:r>
      <w:r w:rsidR="00911A81">
        <w:t>9</w:t>
      </w:r>
      <w:r w:rsidR="000940B8" w:rsidRPr="00273F73">
        <w:t xml:space="preserve"> </w:t>
      </w:r>
      <w:r w:rsidR="000940B8">
        <w:t>April</w:t>
      </w:r>
      <w:r w:rsidR="000940B8" w:rsidRPr="00273F73">
        <w:t xml:space="preserve"> </w:t>
      </w:r>
      <w:r w:rsidRPr="00273F73">
        <w:t>2026 on monitoring the application of European Union law in 2023, 2024 and 2025</w:t>
      </w:r>
      <w:bookmarkEnd w:id="5"/>
      <w:r w:rsidRPr="00273F73">
        <w:t xml:space="preserve"> </w:t>
      </w:r>
      <w:bookmarkStart w:id="6" w:name="References"/>
      <w:r w:rsidRPr="00273F73">
        <w:t>(2025/2016(INI))</w:t>
      </w:r>
      <w:bookmarkEnd w:id="6"/>
    </w:p>
    <w:p w14:paraId="77A5E0BC" w14:textId="77777777" w:rsidR="00AD189F" w:rsidRPr="00273F73" w:rsidRDefault="00AD189F" w:rsidP="00AD189F">
      <w:pPr>
        <w:pStyle w:val="Normal12"/>
      </w:pPr>
      <w:r w:rsidRPr="00273F73">
        <w:rPr>
          <w:i/>
        </w:rPr>
        <w:t>The European Parliament</w:t>
      </w:r>
      <w:r w:rsidRPr="00273F73">
        <w:t>,</w:t>
      </w:r>
    </w:p>
    <w:p w14:paraId="31AB87A1" w14:textId="77777777" w:rsidR="00AD189F" w:rsidRPr="00273F73" w:rsidRDefault="00AD189F" w:rsidP="00AD189F">
      <w:pPr>
        <w:pStyle w:val="NormalHanging"/>
      </w:pPr>
      <w:r w:rsidRPr="00273F73">
        <w:t>–</w:t>
      </w:r>
      <w:r w:rsidRPr="00273F73">
        <w:tab/>
        <w:t>having regard to the Treaty on European Union (TEU), in particular Articles 2 and 3 thereof,</w:t>
      </w:r>
    </w:p>
    <w:p w14:paraId="1C7F04BB" w14:textId="77777777" w:rsidR="00AD189F" w:rsidRPr="00273F73" w:rsidRDefault="00AD189F" w:rsidP="00AD189F">
      <w:pPr>
        <w:pStyle w:val="NormalHanging"/>
      </w:pPr>
      <w:r w:rsidRPr="00273F73">
        <w:t>–</w:t>
      </w:r>
      <w:r w:rsidRPr="00273F73">
        <w:tab/>
        <w:t>having regard to the Charter of Fundamental Rights of the European Union of 18 December 2000,</w:t>
      </w:r>
    </w:p>
    <w:p w14:paraId="4FE53A39" w14:textId="77777777" w:rsidR="00AD189F" w:rsidRPr="00273F73" w:rsidRDefault="00AD189F" w:rsidP="00AD189F">
      <w:pPr>
        <w:pStyle w:val="NormalHanging"/>
      </w:pPr>
      <w:r w:rsidRPr="00273F73">
        <w:t>–</w:t>
      </w:r>
      <w:r w:rsidRPr="00273F73">
        <w:tab/>
        <w:t>having regard to the European Pillar of Social Rights of 17 November 2017,</w:t>
      </w:r>
    </w:p>
    <w:p w14:paraId="27F770B4" w14:textId="48E203F1" w:rsidR="00AD189F" w:rsidRPr="00273F73" w:rsidRDefault="00AD189F" w:rsidP="00AD189F">
      <w:pPr>
        <w:pStyle w:val="NormalHanging"/>
      </w:pPr>
      <w:r w:rsidRPr="00273F73">
        <w:t>–</w:t>
      </w:r>
      <w:r w:rsidRPr="00273F73">
        <w:tab/>
        <w:t>having regard to the Commission report of 25 July 2024 entitled ‘Monitoring the application of EU law 2023 Annual Report’ (</w:t>
      </w:r>
      <w:proofErr w:type="gramStart"/>
      <w:r w:rsidR="000940B8" w:rsidRPr="00911A81">
        <w:t>COM(</w:t>
      </w:r>
      <w:proofErr w:type="gramEnd"/>
      <w:r w:rsidR="000940B8" w:rsidRPr="00911A81">
        <w:t>2024)0358</w:t>
      </w:r>
      <w:r w:rsidRPr="00273F73">
        <w:t>),</w:t>
      </w:r>
    </w:p>
    <w:p w14:paraId="5AAB749E" w14:textId="77777777" w:rsidR="00AD189F" w:rsidRPr="00273F73" w:rsidRDefault="00AD189F" w:rsidP="00AD189F">
      <w:pPr>
        <w:pStyle w:val="NormalHanging"/>
      </w:pPr>
      <w:r w:rsidRPr="00273F73">
        <w:t>–</w:t>
      </w:r>
      <w:r w:rsidRPr="00273F73">
        <w:tab/>
        <w:t>having regard to the Commission report of 21 October 2025 entitled ‘2025 Annual Overview Report on Simplification, Implementation and Enforcement’ (</w:t>
      </w:r>
      <w:proofErr w:type="gramStart"/>
      <w:r w:rsidRPr="00273F73">
        <w:t>COM(</w:t>
      </w:r>
      <w:proofErr w:type="gramEnd"/>
      <w:r w:rsidRPr="00273F73">
        <w:t>2025)0871), and to the</w:t>
      </w:r>
      <w:r w:rsidRPr="00273F73">
        <w:rPr>
          <w:b/>
          <w:i/>
        </w:rPr>
        <w:t xml:space="preserve"> </w:t>
      </w:r>
      <w:r w:rsidRPr="00273F73">
        <w:t>European Commissioners’ ‘2025 Annual Progress Reports on Simplification, Implementation and Enforcement’ of September 2025,</w:t>
      </w:r>
    </w:p>
    <w:p w14:paraId="7EA5B952" w14:textId="3B6B4130" w:rsidR="00AD189F" w:rsidRPr="00273F73" w:rsidRDefault="00AD189F" w:rsidP="00AD189F">
      <w:pPr>
        <w:pStyle w:val="NormalHanging"/>
      </w:pPr>
      <w:r w:rsidRPr="00273F73">
        <w:t>–</w:t>
      </w:r>
      <w:r w:rsidRPr="00273F73">
        <w:tab/>
        <w:t>having regard to its resolution of 23 November 2023 on monitoring the application of European Union Law in 2020, 2021 and 2022</w:t>
      </w:r>
      <w:r w:rsidR="000940B8">
        <w:rPr>
          <w:rStyle w:val="FootnoteReference"/>
        </w:rPr>
        <w:footnoteReference w:id="1"/>
      </w:r>
      <w:r w:rsidRPr="00273F73">
        <w:t>,</w:t>
      </w:r>
    </w:p>
    <w:p w14:paraId="36C37C85" w14:textId="29650DDA" w:rsidR="00AD189F" w:rsidRPr="00273F73" w:rsidRDefault="00AD189F" w:rsidP="00AD189F">
      <w:pPr>
        <w:pStyle w:val="NormalHanging"/>
      </w:pPr>
      <w:r w:rsidRPr="00273F73">
        <w:t>–</w:t>
      </w:r>
      <w:r w:rsidRPr="00273F73">
        <w:tab/>
        <w:t>having regard to</w:t>
      </w:r>
      <w:r w:rsidRPr="00273F73">
        <w:rPr>
          <w:b/>
          <w:i/>
        </w:rPr>
        <w:t xml:space="preserve"> </w:t>
      </w:r>
      <w:r w:rsidRPr="00273F73">
        <w:t>its resolution of 9 June 2016 for an open, efficient and independent European Union administration</w:t>
      </w:r>
      <w:r w:rsidR="000940B8">
        <w:rPr>
          <w:rStyle w:val="FootnoteReference"/>
          <w:b/>
          <w:i/>
        </w:rPr>
        <w:footnoteReference w:id="2"/>
      </w:r>
      <w:r w:rsidRPr="00273F73">
        <w:rPr>
          <w:b/>
          <w:i/>
        </w:rPr>
        <w:t xml:space="preserve"> </w:t>
      </w:r>
      <w:r w:rsidRPr="00273F73">
        <w:t>and to its proposal for a regulation of the European Parliament and of the Council for an open, efficient and independent European Union administration contained therein,</w:t>
      </w:r>
    </w:p>
    <w:p w14:paraId="048CCC5E" w14:textId="306DE2B4" w:rsidR="00AD189F" w:rsidRPr="00273F73" w:rsidRDefault="00AD189F" w:rsidP="00AD189F">
      <w:pPr>
        <w:pStyle w:val="NormalHanging"/>
      </w:pPr>
      <w:r w:rsidRPr="00273F73">
        <w:t>–</w:t>
      </w:r>
      <w:r w:rsidRPr="00273F73">
        <w:tab/>
        <w:t>having regard to its resolution of 22 November 2023 with recommendations to the Commission on Digitalisation and Administrative Law</w:t>
      </w:r>
      <w:r w:rsidR="000940B8">
        <w:rPr>
          <w:rStyle w:val="FootnoteReference"/>
        </w:rPr>
        <w:footnoteReference w:id="3"/>
      </w:r>
      <w:r w:rsidRPr="00273F73">
        <w:t>,</w:t>
      </w:r>
    </w:p>
    <w:p w14:paraId="2888E1A8" w14:textId="3AB4A851" w:rsidR="00AD189F" w:rsidRPr="00273F73" w:rsidRDefault="00AD189F" w:rsidP="00AD189F">
      <w:pPr>
        <w:pStyle w:val="NormalHanging"/>
      </w:pPr>
      <w:r w:rsidRPr="00273F73">
        <w:lastRenderedPageBreak/>
        <w:t>–</w:t>
      </w:r>
      <w:r w:rsidRPr="00273F73">
        <w:tab/>
        <w:t>having regard to the Interinstitutional Agreement between the European Parliament, the Council of the European Union and the European Commission of 13 April 2016 on Better Law-Making</w:t>
      </w:r>
      <w:r w:rsidR="000940B8">
        <w:rPr>
          <w:rStyle w:val="FootnoteReference"/>
        </w:rPr>
        <w:footnoteReference w:id="4"/>
      </w:r>
      <w:r w:rsidRPr="00273F73">
        <w:t>,</w:t>
      </w:r>
    </w:p>
    <w:p w14:paraId="2645A3A7" w14:textId="19CA10BB" w:rsidR="00AD189F" w:rsidRPr="00273F73" w:rsidRDefault="00AD189F" w:rsidP="00AD189F">
      <w:pPr>
        <w:pStyle w:val="NormalHanging"/>
      </w:pPr>
      <w:r w:rsidRPr="00273F73">
        <w:t>–</w:t>
      </w:r>
      <w:r w:rsidRPr="00273F73">
        <w:tab/>
        <w:t>having regard to the Commission communication of 21 May 2025 entitled ‘The Single Market: our European home market in an uncertain world – A Strategy for making the Single Market simple, seamless and strong’ (</w:t>
      </w:r>
      <w:proofErr w:type="gramStart"/>
      <w:r w:rsidR="000940B8" w:rsidRPr="00911A81">
        <w:t>COM(</w:t>
      </w:r>
      <w:proofErr w:type="gramEnd"/>
      <w:r w:rsidR="000940B8" w:rsidRPr="00911A81">
        <w:t>2025)0500</w:t>
      </w:r>
      <w:r w:rsidRPr="00273F73">
        <w:t>),</w:t>
      </w:r>
    </w:p>
    <w:p w14:paraId="58A40B4B" w14:textId="77F08AFB" w:rsidR="00AD189F" w:rsidRPr="00273F73" w:rsidRDefault="00AD189F" w:rsidP="00AD189F">
      <w:pPr>
        <w:pStyle w:val="NormalHanging"/>
      </w:pPr>
      <w:r w:rsidRPr="00273F73">
        <w:t>–</w:t>
      </w:r>
      <w:r w:rsidRPr="00273F73">
        <w:tab/>
        <w:t>having regard to the Commission communication of 11 February 2025 entitled ‘Moving forward together: A Bolder, Simpler, Faster Union’ (</w:t>
      </w:r>
      <w:proofErr w:type="gramStart"/>
      <w:r w:rsidR="000940B8" w:rsidRPr="00911A81">
        <w:t>COM(</w:t>
      </w:r>
      <w:proofErr w:type="gramEnd"/>
      <w:r w:rsidR="000940B8" w:rsidRPr="00911A81">
        <w:t>2025)0045</w:t>
      </w:r>
      <w:r w:rsidRPr="00273F73">
        <w:t>),</w:t>
      </w:r>
    </w:p>
    <w:p w14:paraId="28521CFB" w14:textId="6210B019" w:rsidR="00AD189F" w:rsidRPr="00273F73" w:rsidRDefault="00AD189F" w:rsidP="00AD189F">
      <w:pPr>
        <w:pStyle w:val="NormalHanging"/>
      </w:pPr>
      <w:r w:rsidRPr="00273F73">
        <w:t>–</w:t>
      </w:r>
      <w:r w:rsidRPr="00273F73">
        <w:tab/>
        <w:t>having regard to the Commission communication of 11 February 2025 entitled ‘A simpler and faster Europe: Communication on implementation and simplification’ (</w:t>
      </w:r>
      <w:proofErr w:type="gramStart"/>
      <w:r w:rsidR="000940B8" w:rsidRPr="00911A81">
        <w:t>COM(</w:t>
      </w:r>
      <w:proofErr w:type="gramEnd"/>
      <w:r w:rsidR="000940B8" w:rsidRPr="00911A81">
        <w:t>2025)0047</w:t>
      </w:r>
      <w:r w:rsidRPr="00273F73">
        <w:t>),</w:t>
      </w:r>
    </w:p>
    <w:p w14:paraId="712E8FC3" w14:textId="77777777" w:rsidR="00AD189F" w:rsidRPr="00273F73" w:rsidRDefault="00AD189F" w:rsidP="00AD189F">
      <w:pPr>
        <w:pStyle w:val="NormalHanging"/>
      </w:pPr>
      <w:r w:rsidRPr="00273F73">
        <w:t>–</w:t>
      </w:r>
      <w:r w:rsidRPr="00273F73">
        <w:tab/>
        <w:t>having regard to the Commission staff working document of 14 July 2023 entitled ‘Stocktaking report on the Commission working methods for monitoring the application of EU law’ (</w:t>
      </w:r>
      <w:proofErr w:type="gramStart"/>
      <w:r w:rsidRPr="00273F73">
        <w:t>SWD(</w:t>
      </w:r>
      <w:proofErr w:type="gramEnd"/>
      <w:r w:rsidRPr="00273F73">
        <w:t>2023)0254),</w:t>
      </w:r>
    </w:p>
    <w:p w14:paraId="224E3017" w14:textId="77777777" w:rsidR="00AD189F" w:rsidRPr="00273F73" w:rsidRDefault="00AD189F" w:rsidP="00AD189F">
      <w:pPr>
        <w:pStyle w:val="NormalHanging"/>
      </w:pPr>
      <w:r w:rsidRPr="00273F73">
        <w:t>–</w:t>
      </w:r>
      <w:r w:rsidRPr="00273F73">
        <w:tab/>
        <w:t>having regard to the European Court of Auditors special report 28/2024 entitled ‘Enforcing EU law’,</w:t>
      </w:r>
    </w:p>
    <w:p w14:paraId="2C97ACC3" w14:textId="435701D1" w:rsidR="00AD189F" w:rsidRPr="00273F73" w:rsidRDefault="00AD189F" w:rsidP="00AD189F">
      <w:pPr>
        <w:pStyle w:val="NormalHanging"/>
      </w:pPr>
      <w:r w:rsidRPr="00273F73">
        <w:t>–</w:t>
      </w:r>
      <w:r w:rsidRPr="00273F73">
        <w:tab/>
        <w:t>having regard to the opinion of the European Committee of the Regions of 28 August 2025 entitled ‘A simpler and faster Europe’</w:t>
      </w:r>
      <w:r w:rsidR="000940B8">
        <w:rPr>
          <w:rStyle w:val="FootnoteReference"/>
        </w:rPr>
        <w:footnoteReference w:id="5"/>
      </w:r>
      <w:r w:rsidRPr="00273F73">
        <w:t>,</w:t>
      </w:r>
    </w:p>
    <w:p w14:paraId="51CB767A" w14:textId="77777777" w:rsidR="00AD189F" w:rsidRPr="00273F73" w:rsidRDefault="00AD189F" w:rsidP="00AD189F">
      <w:pPr>
        <w:pStyle w:val="NormalHanging"/>
      </w:pPr>
      <w:r w:rsidRPr="00273F73">
        <w:t>–</w:t>
      </w:r>
      <w:r w:rsidRPr="00273F73">
        <w:tab/>
        <w:t>having regard to the report by Mario Draghi of September 2024 entitled ‘The future of European Competitiveness – A Competitiveness Strategy for Europe’,</w:t>
      </w:r>
    </w:p>
    <w:p w14:paraId="058D04A9" w14:textId="77777777" w:rsidR="00AD189F" w:rsidRPr="00273F73" w:rsidRDefault="00AD189F" w:rsidP="00AD189F">
      <w:pPr>
        <w:pStyle w:val="NormalHanging"/>
      </w:pPr>
      <w:r w:rsidRPr="00273F73">
        <w:t>–</w:t>
      </w:r>
      <w:r w:rsidRPr="00273F73">
        <w:tab/>
        <w:t>having regard to the report by Enrico Letta of April 2024 entitled ‘Much more than a Market’,</w:t>
      </w:r>
    </w:p>
    <w:p w14:paraId="0DF86ECF" w14:textId="77777777" w:rsidR="00AD189F" w:rsidRPr="00273F73" w:rsidRDefault="00AD189F" w:rsidP="00AD189F">
      <w:pPr>
        <w:pStyle w:val="NormalHanging"/>
      </w:pPr>
      <w:r w:rsidRPr="00273F73">
        <w:t>–</w:t>
      </w:r>
      <w:r w:rsidRPr="00273F73">
        <w:tab/>
        <w:t>having regard to Rule 55 of its Rules of Procedure,</w:t>
      </w:r>
    </w:p>
    <w:p w14:paraId="0EBFC382" w14:textId="77777777" w:rsidR="00AD189F" w:rsidRPr="00273F73" w:rsidRDefault="00AD189F" w:rsidP="00AD189F">
      <w:pPr>
        <w:pStyle w:val="NormalHanging"/>
      </w:pPr>
      <w:r w:rsidRPr="00273F73">
        <w:t>–</w:t>
      </w:r>
      <w:r w:rsidRPr="00273F73">
        <w:tab/>
        <w:t>having regard to the opinion of the Committee on Petitions,</w:t>
      </w:r>
    </w:p>
    <w:p w14:paraId="6DBC1090" w14:textId="77777777" w:rsidR="00AD189F" w:rsidRPr="00273F73" w:rsidRDefault="00AD189F" w:rsidP="00AD189F">
      <w:pPr>
        <w:pStyle w:val="NormalHanging"/>
      </w:pPr>
      <w:r w:rsidRPr="00273F73">
        <w:t>–</w:t>
      </w:r>
      <w:r w:rsidRPr="00273F73">
        <w:tab/>
        <w:t>having regard to the report of the Committee on Legal Affairs (A10-0037/2026),</w:t>
      </w:r>
    </w:p>
    <w:p w14:paraId="62D4694F" w14:textId="77777777" w:rsidR="00AD189F" w:rsidRPr="00273F73" w:rsidRDefault="00AD189F" w:rsidP="00AD189F">
      <w:pPr>
        <w:pStyle w:val="NormalHanging"/>
      </w:pPr>
      <w:r w:rsidRPr="00273F73">
        <w:t>A.</w:t>
      </w:r>
      <w:r w:rsidRPr="00273F73">
        <w:tab/>
        <w:t>whereas EU law-making is driven by the values of respect for human dignity, freedom, democracy, equality, the rule of law and respect for human rights as enshrined in Article 2 TEU; whereas the uniform, consistent and effective application of EU law across all Member States is necessary for achieving the EU’s objectives, ensuring the proper functioning of the single market and maintaining an area of freedom, security and justice; whereas the EU’s external credibility depends on its ability to ensure full compliance with these values and principles internally;</w:t>
      </w:r>
    </w:p>
    <w:p w14:paraId="09D8E56D" w14:textId="77777777" w:rsidR="00AD189F" w:rsidRPr="00273F73" w:rsidRDefault="00AD189F" w:rsidP="00AD189F">
      <w:pPr>
        <w:pStyle w:val="NormalHanging"/>
      </w:pPr>
      <w:r w:rsidRPr="00273F73">
        <w:t>B.</w:t>
      </w:r>
      <w:r w:rsidRPr="00273F73">
        <w:tab/>
        <w:t xml:space="preserve">whereas pursuant to Article 4(3) TEU and Articles 288 and 291(1) of the Treaty on the Functioning of the European Union, Member States bear the primary responsibility for transposing, applying and implementing EU law correctly, harmoniously and within the set time limits; whereas the principle of sincere cooperation entails the responsibility to </w:t>
      </w:r>
      <w:r w:rsidRPr="00273F73">
        <w:lastRenderedPageBreak/>
        <w:t>facilitate the completion of the EU’s tasks and to refrain from any measure that could jeopardise the attainment of the EU’s objectives;</w:t>
      </w:r>
      <w:r w:rsidRPr="00273F73">
        <w:rPr>
          <w:b/>
          <w:i/>
        </w:rPr>
        <w:t xml:space="preserve"> </w:t>
      </w:r>
      <w:r w:rsidRPr="00273F73">
        <w:t>whereas EU legislation is effective only in so far as it is, on the one hand, transposed on time, in a complete and accurate manner and, on the other hand, properly applied within the national legal frameworks by the Member States, which is necessary to guarantee the benefits of EU policies for all EU citizens, including the protection of their fundamental rights,</w:t>
      </w:r>
      <w:r w:rsidRPr="00273F73">
        <w:rPr>
          <w:b/>
          <w:i/>
        </w:rPr>
        <w:t xml:space="preserve"> </w:t>
      </w:r>
      <w:r w:rsidRPr="00273F73">
        <w:t>and a level playing field for businesses across the internal market; whereas, in this context, enforcement of EU law is key to maintaining a level playing field between Member States;</w:t>
      </w:r>
    </w:p>
    <w:p w14:paraId="60E64563" w14:textId="77777777" w:rsidR="00AD189F" w:rsidRPr="00273F73" w:rsidRDefault="00AD189F" w:rsidP="00AD189F">
      <w:pPr>
        <w:pStyle w:val="NormalHanging"/>
      </w:pPr>
      <w:r w:rsidRPr="00273F73">
        <w:t>C.</w:t>
      </w:r>
      <w:r w:rsidRPr="00273F73">
        <w:tab/>
        <w:t>whereas the quality, clarity, coherence and accessibility of EU legislation are essential preconditions for its correct, effective, timely and complete transposition and application; whereas complexity, overlapping acts, divergent definitions and ambiguous drafting increase the risk of delays, divergent interpretation and weak compliance; whereas EU legislation should be drafted in a clear, rational and technically transposable manner, enabling Member States, citizens and businesses to understand, apply and invoke their rights and obligations under EU law; whereas technological advances, including artificial intelligence (AI), create new opportunities to improve legislative drafting, monitoring, compliance assessment and communication with citizens and businesses, provided that their use is governed by transparent, ethical and data-secure frameworks;</w:t>
      </w:r>
    </w:p>
    <w:p w14:paraId="7D00C90B" w14:textId="77777777" w:rsidR="00AD189F" w:rsidRPr="00273F73" w:rsidRDefault="00AD189F" w:rsidP="00AD189F">
      <w:pPr>
        <w:pStyle w:val="NormalHanging"/>
      </w:pPr>
      <w:r w:rsidRPr="00273F73">
        <w:t>D.</w:t>
      </w:r>
      <w:r w:rsidRPr="00273F73">
        <w:tab/>
        <w:t>whereas infringement procedures, together with other implementation and compliance-promoting mechanisms, guarantee that EU citizens and businesses are not negatively affected by the late or incomplete transposition or incorrect application of EU law by Member States; whereas the timely and consistent initiation of infringement procedures by the Commission constitutes a complementary instrument to guarantee compliance with EU law; whereas dialogue with national authorities seems to be the Commission’s preferred way to solve infringement procedures, as opposed to bringing Member States before the Court of Justice of the European Union (CJEU), which it sees as a measure of last resort; whereas in 2016, in its work on infringement cases and complaints, the Commission decided to prioritise the most serious breaches of EU law significantly affecting the interests of citizens and businesses; whereas 2017 was the first year in which the Commission applied this new, more targeted approach;</w:t>
      </w:r>
    </w:p>
    <w:p w14:paraId="222DA249" w14:textId="77777777" w:rsidR="00AD189F" w:rsidRPr="00273F73" w:rsidRDefault="00AD189F" w:rsidP="00AD189F">
      <w:pPr>
        <w:pStyle w:val="NormalHanging"/>
      </w:pPr>
      <w:r w:rsidRPr="00273F73">
        <w:t>E.</w:t>
      </w:r>
      <w:r w:rsidRPr="00273F73">
        <w:tab/>
        <w:t xml:space="preserve">whereas public consultations and ex ante and ex post impact assessments are essential tools for well-informed, efficient, accountable and transparent </w:t>
      </w:r>
      <w:proofErr w:type="gramStart"/>
      <w:r w:rsidRPr="00273F73">
        <w:t>law-making;</w:t>
      </w:r>
      <w:proofErr w:type="gramEnd"/>
    </w:p>
    <w:p w14:paraId="4BB78497" w14:textId="77777777" w:rsidR="00AD189F" w:rsidRDefault="00AD189F" w:rsidP="00AD189F">
      <w:pPr>
        <w:pStyle w:val="NormalHanging"/>
      </w:pPr>
      <w:r w:rsidRPr="00273F73">
        <w:t>F.</w:t>
      </w:r>
      <w:r w:rsidRPr="00273F73">
        <w:tab/>
        <w:t>whereas petitions and complaints submitted to Parliament are a valuable source of information on shortcomings and gaps in the implementation of EU law at national level, and can contribute to monitoring the correct application and transposition of EU legislation by Member States across all policy areas; whereas a significant number of petitions concern the implementation of EU environmental legislation, the protection of fundamental rights, and respect for the rule of law and democracy; whereas citizen input such as this provides valuable insights into the real-life application of EU law and should systematically inform monitoring and enforcement practices;</w:t>
      </w:r>
    </w:p>
    <w:p w14:paraId="36D7EB40" w14:textId="5EC8411A" w:rsidR="00312F61" w:rsidRPr="00273F73" w:rsidRDefault="00312F61" w:rsidP="00AD189F">
      <w:pPr>
        <w:pStyle w:val="NormalHanging"/>
      </w:pPr>
      <w:r>
        <w:t>G</w:t>
      </w:r>
      <w:r w:rsidRPr="00312F61">
        <w:t>.</w:t>
      </w:r>
      <w:r w:rsidRPr="00312F61">
        <w:tab/>
        <w:t xml:space="preserve">whereas a growing number of petitions submitted to Parliament address the rights and safety of children and adolescents in digital environments, particularly the risks of sexual abuse and exploitation; whereas petitions concern shortcomings in child protection more broadly, including online safety and access to child protection services; whereas petitioners frequently draw attention to persistent shortcomings and repeated </w:t>
      </w:r>
      <w:r w:rsidRPr="00312F61">
        <w:lastRenderedPageBreak/>
        <w:t>breaches in the implementation of EU law by Member States in these areas, demonstrating the need for strengthened oversight and timely follow-up;</w:t>
      </w:r>
    </w:p>
    <w:p w14:paraId="5A6665ED" w14:textId="4BD0C967" w:rsidR="00AD189F" w:rsidRPr="00273F73" w:rsidRDefault="00312F61" w:rsidP="00AD189F">
      <w:pPr>
        <w:pStyle w:val="NormalHanging"/>
      </w:pPr>
      <w:r>
        <w:t>H</w:t>
      </w:r>
      <w:r w:rsidR="00AD189F" w:rsidRPr="00273F73">
        <w:t>.</w:t>
      </w:r>
      <w:r w:rsidR="00AD189F" w:rsidRPr="00273F73">
        <w:tab/>
        <w:t xml:space="preserve">whereas, regrettably, the Commission did not publish an annual report on monitoring the application of EU law for 2024, thereby breaking a practice that has been in place for over 40 years, since </w:t>
      </w:r>
      <w:proofErr w:type="gramStart"/>
      <w:r w:rsidR="00AD189F" w:rsidRPr="00273F73">
        <w:t>1983;</w:t>
      </w:r>
      <w:proofErr w:type="gramEnd"/>
    </w:p>
    <w:p w14:paraId="25612378" w14:textId="23CB3F59" w:rsidR="00AD189F" w:rsidRPr="00273F73" w:rsidRDefault="00312F61" w:rsidP="00AD189F">
      <w:pPr>
        <w:pStyle w:val="NormalHanging"/>
      </w:pPr>
      <w:r>
        <w:t>I</w:t>
      </w:r>
      <w:r w:rsidR="00AD189F" w:rsidRPr="00273F73">
        <w:t>.</w:t>
      </w:r>
      <w:r w:rsidR="00AD189F" w:rsidRPr="00273F73">
        <w:tab/>
        <w:t>whereas the Commission’s 2025 Overview Report on Simplification, Implementation and Enforcement places a strong emphasis on simplification initiatives; whereas this emphasis should be counterbalanced by an equally detailed analysis of implementation and enforcement; whereas without oversight and effective and efficient enforcement by the Commission, cross-border business and the free movement of people, goods, capital and services in the EU could be severely hampered; whereas the Commission should take enforcement actions to guarantee all rights under EU law, particularly human rights; whereas the effectiveness and credibility of EU law depend on its capacity to deliver tangible social, environmental and economic benefits to all citizens and regions, ensuring that no one is left behind in the application of EU rules; whereas the principle of parliamentary scrutiny of the Commission’s activities, including the Commission’s monitoring of the application of EU law, is essential to ensure democratic accountability to EU citizens and to strengthen public trust in the EU’s institutions;</w:t>
      </w:r>
    </w:p>
    <w:p w14:paraId="1A9A7B6D" w14:textId="474A0562" w:rsidR="00AD189F" w:rsidRPr="00273F73" w:rsidRDefault="00312F61" w:rsidP="00AD189F">
      <w:pPr>
        <w:pStyle w:val="NormalHanging"/>
      </w:pPr>
      <w:r>
        <w:t>J</w:t>
      </w:r>
      <w:r w:rsidR="00AD189F" w:rsidRPr="00273F73">
        <w:t>.</w:t>
      </w:r>
      <w:r w:rsidR="00AD189F" w:rsidRPr="00273F73">
        <w:tab/>
        <w:t>whereas the number of closed infringement cases fell dramatically from 1 030 in 2023 to 535 in 2024; whereas the number of open cases increased from 1 461 in 2023 to 1 493 in 2024; whereas the number of new infringement cases increased from 528 in 2023 to 567 in 2024; whereas for 2025, preliminary figures covering the period from 1 January to 31 July 2025 show that 345 cases were closed and 1 559 cases were active; whereas data is either incomplete, not yet available, or not reported on the Commission website; whereas in 2023, 2024 and 2025, environment was consistently the policy area where the most infringement proceedings were active; whereas in 2023, this policy area was followed by those of energy and transport; whereas in 2024 it was followed by those of justice and consumers, and mobility and transport; whereas in 2025 it was followed by those of justice and consumers, and energy;</w:t>
      </w:r>
    </w:p>
    <w:p w14:paraId="337DCD5B" w14:textId="7DBD6873" w:rsidR="00AD189F" w:rsidRPr="00273F73" w:rsidRDefault="00312F61" w:rsidP="00AD189F">
      <w:pPr>
        <w:pStyle w:val="NormalHanging"/>
      </w:pPr>
      <w:r>
        <w:t>K</w:t>
      </w:r>
      <w:r w:rsidR="00AD189F" w:rsidRPr="00273F73">
        <w:t>.</w:t>
      </w:r>
      <w:r w:rsidR="00AD189F" w:rsidRPr="00273F73">
        <w:tab/>
        <w:t xml:space="preserve">whereas there are cases of persistent breaches of EU law and systematic non-implementation of CJEU judgements by certain Member </w:t>
      </w:r>
      <w:proofErr w:type="gramStart"/>
      <w:r w:rsidR="00AD189F" w:rsidRPr="00273F73">
        <w:t>States;</w:t>
      </w:r>
      <w:proofErr w:type="gramEnd"/>
    </w:p>
    <w:p w14:paraId="7C3BDDD8" w14:textId="77777777" w:rsidR="00AD189F" w:rsidRPr="00273F73" w:rsidRDefault="00AD189F" w:rsidP="00AD189F">
      <w:pPr>
        <w:pStyle w:val="Normal12a"/>
        <w:rPr>
          <w:i/>
          <w:iCs/>
        </w:rPr>
      </w:pPr>
      <w:r w:rsidRPr="00273F73">
        <w:rPr>
          <w:b/>
          <w:i/>
          <w:iCs/>
        </w:rPr>
        <w:t>Monitoring and enforcement of EU law</w:t>
      </w:r>
    </w:p>
    <w:p w14:paraId="1FBA93BE" w14:textId="77777777" w:rsidR="00AD189F" w:rsidRPr="00273F73" w:rsidRDefault="00AD189F" w:rsidP="00AD189F">
      <w:pPr>
        <w:pStyle w:val="NormalHanging12a"/>
      </w:pPr>
      <w:r w:rsidRPr="00273F73">
        <w:t>1.</w:t>
      </w:r>
      <w:r w:rsidRPr="00273F73">
        <w:tab/>
        <w:t xml:space="preserve">Takes note of the Commission’s 2023 report on monitoring the application of EU </w:t>
      </w:r>
      <w:proofErr w:type="gramStart"/>
      <w:r w:rsidRPr="00273F73">
        <w:t>law;</w:t>
      </w:r>
      <w:proofErr w:type="gramEnd"/>
    </w:p>
    <w:p w14:paraId="53C2A5A2" w14:textId="77777777" w:rsidR="00AD189F" w:rsidRPr="00273F73" w:rsidRDefault="00AD189F" w:rsidP="00AD189F">
      <w:pPr>
        <w:pStyle w:val="NormalHanging12a"/>
      </w:pPr>
      <w:r w:rsidRPr="00273F73">
        <w:t>2.</w:t>
      </w:r>
      <w:r w:rsidRPr="00273F73">
        <w:tab/>
        <w:t xml:space="preserve">Regrets that the Commission did not publish an annual report on monitoring the application of EU law for 2024, thus breaking with a practice established over 40 years ago in 1983; stresses that regular, annual monitoring of the application of EU law is an essential instrument through which the Commission fulfils its role as the guardian of the Treaties, in accordance with Article 17(1) TEU, as it helps to ensure and monitor that EU law is correctly applied and enforced across all the Member States and to track progress made in this area in a transparent manner accessible to all; believes that the yearly report on monitoring the application of EU law is a crucial tool for enabling scrutiny of the correct transposition and implementation of EU law, and for safeguarding the institutional balance as provided for in the Treaties; stresses that Parliament must be kept constantly informed and that it relies on this reporting, both as </w:t>
      </w:r>
      <w:r w:rsidRPr="00273F73">
        <w:lastRenderedPageBreak/>
        <w:t>a co-legislator and in its exercise of political scrutiny, under Article 14(1) TEU, of the Commission to ensure that it exercises its prerogatives adequately; stresses the importance of ensuring annual monitoring of the application of EU Law Country by Country, in order to prevent violations of fundamental rights and of the rule of law as a consequence of a lack of compliance; calls on the Commission to pay particular attention to freedom of expression, media pluralism, equality and non-discrimination, the breach of which could have a direct impact on citizens’ trust in the EU; considers that transparent and accessible reporting contributes to keeping citizens informed about EU law implementation and reduces the space for misinformation regarding the functioning of the EU; notes with concern that national constitutional and supreme courts in some Member States have been undermining the well-established doctrine of the primacy of EU law; stresses that such developments should always lead to swift enforcement activities by the Commission, including infringement procedures;</w:t>
      </w:r>
    </w:p>
    <w:p w14:paraId="6D5907DF" w14:textId="77777777" w:rsidR="00AD189F" w:rsidRPr="00273F73" w:rsidRDefault="00AD189F" w:rsidP="00AD189F">
      <w:pPr>
        <w:pStyle w:val="NormalHanging12a"/>
      </w:pPr>
      <w:r w:rsidRPr="00273F73">
        <w:t>3.</w:t>
      </w:r>
      <w:r w:rsidRPr="00273F73">
        <w:tab/>
        <w:t>Notes the Commission’s shift toward a new reporting cycle on monitoring the application of EU law, with annual progress reports on simplification, implementation and enforcement by each Commissioner, and an annual overview report on simplification, implementation and enforcement; welcomes the 2025 Annual Overview Report, and the Commissioners’ 2025 Annual Progress Reports, covering the period from 1 January to 31 July 2025, as a valuable source of factual information on the state of EU law implementation across sectors and Member States; notes that the reports are clearly presented; regrets the fact, nevertheless, that the analysis remains overly focused on achievements, with insufficient attention paid to persistent challenges and systemic enforcement gaps; notes that insufficient comparative data and outcome-oriented indicators limit the assessment of real progress over time; emphasises that the annual overview report must go beyond a descriptive exercise and provide a substantive, critical assessment of systemic challenges and shortcomings in the application and enforcement of EU legislation, including a clear and transparent identification of shortcomings and steps envisaged to address them; calls on the Commission, in future overview reports, to ensure a coherent approach, and that chapters on simplification are counterbalanced by an analysis of implementation and enforcement; calls on the Commission to move beyond formalistic, procedural monitoring focused merely on the transposition of directives; stresses that monitoring should capture the substantive effectiveness of EU law in achieving its objectives; requests that the Commission publish the methodology applied in preparing the overview reports in order to ensure transparency and effective parliamentary scrutiny; underlines the importance of good cooperation among the institutions, in particular through the sustained Structured Dialogue between the Commission and Parliament, to ensure full transparency and accessibility, and to enhance the reports’ credibility and usefulness for policymakers and citizens;</w:t>
      </w:r>
    </w:p>
    <w:p w14:paraId="0B8FF5EB" w14:textId="77777777" w:rsidR="00AD189F" w:rsidRPr="00273F73" w:rsidRDefault="00AD189F" w:rsidP="00AD189F">
      <w:pPr>
        <w:pStyle w:val="NormalHanging12a"/>
      </w:pPr>
      <w:r w:rsidRPr="00273F73">
        <w:t>4.</w:t>
      </w:r>
      <w:r w:rsidRPr="00273F73">
        <w:tab/>
        <w:t xml:space="preserve">Calls for enhanced transparency in cooperation between the Commission, Parliament and the Council in the implementation and enforcement of EU law, including through regular structured dialogues, systematic sharing of data, and timely transmission of relevant documents to Parliament in line with the Interinstitutional Agreement on Better </w:t>
      </w:r>
      <w:proofErr w:type="gramStart"/>
      <w:r w:rsidRPr="00273F73">
        <w:t>Law-Making;</w:t>
      </w:r>
      <w:proofErr w:type="gramEnd"/>
    </w:p>
    <w:p w14:paraId="2CD9EE3F" w14:textId="77777777" w:rsidR="00AD189F" w:rsidRPr="00273F73" w:rsidRDefault="00AD189F" w:rsidP="00AD189F">
      <w:pPr>
        <w:pStyle w:val="NormalHanging12a"/>
      </w:pPr>
      <w:r w:rsidRPr="00273F73">
        <w:t>5.</w:t>
      </w:r>
      <w:r w:rsidRPr="00273F73">
        <w:tab/>
        <w:t xml:space="preserve">Regrets the lack of information on essential EU policy priorities in the Commission annual report on monitoring the application of EU law of 2023, as well as in its overview report on simplification, implementation and </w:t>
      </w:r>
      <w:proofErr w:type="gramStart"/>
      <w:r w:rsidRPr="00273F73">
        <w:t>enforcement;</w:t>
      </w:r>
      <w:proofErr w:type="gramEnd"/>
    </w:p>
    <w:p w14:paraId="3F95B15E" w14:textId="77777777" w:rsidR="00AD189F" w:rsidRPr="00273F73" w:rsidRDefault="00AD189F" w:rsidP="00AD189F">
      <w:pPr>
        <w:pStyle w:val="NormalHanging12a"/>
      </w:pPr>
      <w:r w:rsidRPr="00273F73">
        <w:lastRenderedPageBreak/>
        <w:t>6.</w:t>
      </w:r>
      <w:r w:rsidRPr="00273F73">
        <w:tab/>
        <w:t>Stresses the need to strengthen ex ante mechanisms ensuring that legislative proposals comply fully with the distribution of competences laid down in the Treaties, so as to avoid situations in which acts adopted through the full ordinary legislative procedure and endorsed by the Member States may subsequently be annulled, even partially, on the grounds of legal basis or competence; underlines that enhanced legal scrutiny at all stages of the legislative process is essential to safeguard the stability, predictability and credibility of EU legislation; stresses the need for the Commission to ensure systematic compliance checks in order to prevent EU legislation from encroaching on areas excluded from EU competence, particularly in sensitive domains;</w:t>
      </w:r>
    </w:p>
    <w:p w14:paraId="6CC22BC0" w14:textId="77777777" w:rsidR="00AD189F" w:rsidRPr="00273F73" w:rsidRDefault="00AD189F" w:rsidP="00AD189F">
      <w:pPr>
        <w:pStyle w:val="NormalHanging12a"/>
      </w:pPr>
      <w:r w:rsidRPr="00273F73">
        <w:t>7.</w:t>
      </w:r>
      <w:r w:rsidRPr="00273F73">
        <w:tab/>
        <w:t xml:space="preserve">Calls on the Commission to publish an annual transparency report devoted specifically to the monitoring, simplification and enforcement cycle, detailing methodological changes, data sources, challenges </w:t>
      </w:r>
      <w:proofErr w:type="gramStart"/>
      <w:r w:rsidRPr="00273F73">
        <w:t>encountered</w:t>
      </w:r>
      <w:proofErr w:type="gramEnd"/>
      <w:r w:rsidRPr="00273F73">
        <w:t xml:space="preserve"> and consultations held with stakeholders and national administrations;</w:t>
      </w:r>
    </w:p>
    <w:p w14:paraId="70156553" w14:textId="77777777" w:rsidR="00AD189F" w:rsidRPr="00273F73" w:rsidRDefault="00AD189F" w:rsidP="00AD189F">
      <w:pPr>
        <w:pStyle w:val="NormalHanging12a"/>
      </w:pPr>
      <w:r w:rsidRPr="00273F73">
        <w:t>8.</w:t>
      </w:r>
      <w:r w:rsidRPr="00273F73">
        <w:tab/>
        <w:t xml:space="preserve">Notes the references in the Commission’s 2025 overview report and in the available sectoral progress reports to the pre-infringement procedure dialogues (formerly known as EU Pilot), their current functioning and their role in facilitating early problem-solving prior to the launch of formal infringement proceedings: considers, however, that these references should be more </w:t>
      </w:r>
      <w:proofErr w:type="gramStart"/>
      <w:r w:rsidRPr="00273F73">
        <w:t>detailed;</w:t>
      </w:r>
      <w:proofErr w:type="gramEnd"/>
    </w:p>
    <w:p w14:paraId="7FDD15AA" w14:textId="77777777" w:rsidR="00AD189F" w:rsidRPr="00273F73" w:rsidRDefault="00AD189F" w:rsidP="00AD189F">
      <w:pPr>
        <w:pStyle w:val="NormalHanging12a"/>
      </w:pPr>
      <w:r w:rsidRPr="00273F73">
        <w:t>9.</w:t>
      </w:r>
      <w:r w:rsidRPr="00273F73">
        <w:tab/>
        <w:t>Stresses that petitions received by Parliament constitute a vital instrument for identifying shortcomings in the implementation of EU law, including systemic or structural breaches in Member States; urges the Commission, therefore, to ensure that information and findings emerging from petitions are taken into account and integrated into its enforcement and monitoring processes; asks the Commission, in particular, to provide detailed statistical data on the number of petitions followed up by the Commission, including those that have led to further investigations through EU Pilot processes or infringement procedures;</w:t>
      </w:r>
    </w:p>
    <w:p w14:paraId="5F9505FB" w14:textId="77777777" w:rsidR="00AD189F" w:rsidRPr="00273F73" w:rsidRDefault="00AD189F" w:rsidP="00AD189F">
      <w:pPr>
        <w:pStyle w:val="NormalHanging12a"/>
      </w:pPr>
      <w:r w:rsidRPr="00273F73">
        <w:t>10.</w:t>
      </w:r>
      <w:r w:rsidRPr="00273F73">
        <w:tab/>
        <w:t>Expresses concern about the regular lack of impact assessments accompanying legislative proposals, in particular legislative proposals with possible substantial impacts on fundamental rights; stresses that impact assessments contribute to the quality of EU legislation and therefore facilitate its implementation, as well as improve the transparency and accountability of the EU institutions; highlights the importance of consulting relevant stakeholders and civil society organisations in the drafting of impact assessments;</w:t>
      </w:r>
    </w:p>
    <w:p w14:paraId="73134553" w14:textId="77777777" w:rsidR="00AD189F" w:rsidRPr="00273F73" w:rsidRDefault="00AD189F" w:rsidP="00AD189F">
      <w:pPr>
        <w:pStyle w:val="NormalHanging12a"/>
      </w:pPr>
      <w:r w:rsidRPr="00273F73">
        <w:t>11.</w:t>
      </w:r>
      <w:r w:rsidRPr="00273F73">
        <w:tab/>
        <w:t xml:space="preserve">Recommends that the Commission extensively involve stakeholders, civil society organisations and independent experts when monitoring the implementation of EU law, making full use of their expertise and knowledge about local </w:t>
      </w:r>
      <w:proofErr w:type="gramStart"/>
      <w:r w:rsidRPr="00273F73">
        <w:t>implementation;</w:t>
      </w:r>
      <w:proofErr w:type="gramEnd"/>
    </w:p>
    <w:p w14:paraId="45576482" w14:textId="77777777" w:rsidR="00AD189F" w:rsidRPr="00273F73" w:rsidRDefault="00AD189F" w:rsidP="00AD189F">
      <w:pPr>
        <w:pStyle w:val="NormalHanging12a"/>
      </w:pPr>
      <w:r w:rsidRPr="00273F73">
        <w:t>12.</w:t>
      </w:r>
      <w:r w:rsidRPr="00273F73">
        <w:tab/>
        <w:t xml:space="preserve">Reaffirms that respect for the rule of law is a fundamental precondition for the effective implementation and uniform application of EU law across all the Member States and recognises the essential role of law enforcement in protecting fundamental rights; stresses that the proper and uniform application of EU law in the areas of freedom, security and justice is essential for safeguarding fundamental rights, mutual trust and the rule of law across the EU; notes with concern persistent shortcomings in the transposition and implementation of key legal instruments; expresses strong support for the Rule of Law Conditionality Mechanism and calls on the Commission to apply it consistently and in an objective and transparent manner; stresses the urgent need for </w:t>
      </w:r>
      <w:r w:rsidRPr="00273F73">
        <w:lastRenderedPageBreak/>
        <w:t>increased scrutiny of Member States’ compliance with the EU’s fundamental values, namely the rule of law, democracy and respect for human rights, as enshrined in Article 2 TEU; underlines that the mechanism enshrined in Article 7 TEU is an essential enforcement tool in the event of a clear risk of a serious breach; stresses that respect for the rule of law concerns not only the Member States but also the EU institutions, which should be held accountable for compliance with the Treaties;</w:t>
      </w:r>
    </w:p>
    <w:p w14:paraId="44B7A3AC" w14:textId="2EE80F31" w:rsidR="00AD189F" w:rsidRPr="00273F73" w:rsidRDefault="00AD189F" w:rsidP="00AD189F">
      <w:pPr>
        <w:pStyle w:val="NormalHanging12a"/>
      </w:pPr>
      <w:r w:rsidRPr="00273F73">
        <w:t>13.</w:t>
      </w:r>
      <w:r w:rsidRPr="00273F73">
        <w:tab/>
        <w:t>Welcomes the Commission’s efforts to enforce Council Framework Decision 2008/913/JHA of 28 November 2008 on combating certain forms and expressions of racism and xenophobia by means of criminal law</w:t>
      </w:r>
      <w:r w:rsidR="000940B8">
        <w:rPr>
          <w:rStyle w:val="FootnoteReference"/>
        </w:rPr>
        <w:footnoteReference w:id="6"/>
      </w:r>
      <w:r w:rsidRPr="00273F73">
        <w:t>, as well as the Digital Services Act</w:t>
      </w:r>
      <w:r w:rsidR="000940B8">
        <w:rPr>
          <w:rStyle w:val="FootnoteReference"/>
        </w:rPr>
        <w:footnoteReference w:id="7"/>
      </w:r>
      <w:r w:rsidRPr="00273F73">
        <w:t xml:space="preserve">, to ensure robust legal and institutional protection against hate speech, discrimination and violence, in both physical and digital </w:t>
      </w:r>
      <w:proofErr w:type="gramStart"/>
      <w:r w:rsidRPr="00273F73">
        <w:t>environments;</w:t>
      </w:r>
      <w:proofErr w:type="gramEnd"/>
    </w:p>
    <w:p w14:paraId="540ECC28" w14:textId="77777777" w:rsidR="00AD189F" w:rsidRPr="00273F73" w:rsidRDefault="00AD189F" w:rsidP="00AD189F">
      <w:pPr>
        <w:pStyle w:val="NormalHanging12a"/>
      </w:pPr>
      <w:r w:rsidRPr="00273F73">
        <w:t>14.</w:t>
      </w:r>
      <w:r w:rsidRPr="00273F73">
        <w:tab/>
        <w:t>Calls for stronger cross-border cooperation among judicial and law enforcement authorities to effectively combat serious crime, corruption and terrorism; supports the further digitalisation of justice tools, including the full deployment of e-Evidence and e-CODEX; underlines the importance of reinforcing the role and operational capacity of the European Public Prosecutor’s Office (EPPO</w:t>
      </w:r>
      <w:proofErr w:type="gramStart"/>
      <w:r w:rsidRPr="00273F73">
        <w:t>);</w:t>
      </w:r>
      <w:proofErr w:type="gramEnd"/>
    </w:p>
    <w:p w14:paraId="56BB1018" w14:textId="77777777" w:rsidR="00AD189F" w:rsidRPr="00273F73" w:rsidRDefault="00AD189F" w:rsidP="00AD189F">
      <w:pPr>
        <w:pStyle w:val="NormalHanging12a"/>
      </w:pPr>
      <w:r w:rsidRPr="00273F73">
        <w:t>15.</w:t>
      </w:r>
      <w:r w:rsidRPr="00273F73">
        <w:tab/>
        <w:t xml:space="preserve">Stresses that when the Commission enforces fundamental rights protections under the Charter of Fundamental Rights which correspond to rights guaranteed by the Convention for the Protection of Human Rights and Fundamental Freedoms, it should have due regard for the case-law of the European Court of Human </w:t>
      </w:r>
      <w:proofErr w:type="gramStart"/>
      <w:r w:rsidRPr="00273F73">
        <w:t>Rights;</w:t>
      </w:r>
      <w:proofErr w:type="gramEnd"/>
    </w:p>
    <w:p w14:paraId="61654255" w14:textId="77777777" w:rsidR="00AD189F" w:rsidRPr="00273F73" w:rsidRDefault="00AD189F" w:rsidP="00AD189F">
      <w:pPr>
        <w:pStyle w:val="NormalHanging12a"/>
      </w:pPr>
      <w:r w:rsidRPr="00273F73">
        <w:t>16.</w:t>
      </w:r>
      <w:r w:rsidRPr="00273F73">
        <w:tab/>
        <w:t xml:space="preserve">Endorses the strategic recommendations set out in the Draghi and Letta reports, and highlights their relevance for strengthening the EU’s implementation capacity, modernising the Single Market and ensuring more coherent and results-oriented governance of EU law across policy </w:t>
      </w:r>
      <w:proofErr w:type="gramStart"/>
      <w:r w:rsidRPr="00273F73">
        <w:t>areas;</w:t>
      </w:r>
      <w:proofErr w:type="gramEnd"/>
    </w:p>
    <w:p w14:paraId="04AE9A03" w14:textId="77777777" w:rsidR="00AD189F" w:rsidRPr="00273F73" w:rsidRDefault="00AD189F" w:rsidP="00AD189F">
      <w:pPr>
        <w:pStyle w:val="Normal12a"/>
        <w:rPr>
          <w:i/>
          <w:iCs/>
        </w:rPr>
      </w:pPr>
      <w:r w:rsidRPr="00273F73">
        <w:rPr>
          <w:b/>
          <w:i/>
          <w:iCs/>
        </w:rPr>
        <w:t>Infringement procedures</w:t>
      </w:r>
    </w:p>
    <w:p w14:paraId="3957247B" w14:textId="64065A8E" w:rsidR="00AD189F" w:rsidRPr="00273F73" w:rsidRDefault="00AD189F" w:rsidP="00AD189F">
      <w:pPr>
        <w:pStyle w:val="NormalHanging12a"/>
      </w:pPr>
      <w:r w:rsidRPr="00273F73">
        <w:t>17.</w:t>
      </w:r>
      <w:r w:rsidRPr="00273F73">
        <w:tab/>
        <w:t>Expresses strong concern over the Commission’s reluctance to initiate infringement proceedings before the CJEU, even in cases involving clear and persistent breaches of EU law; urges the Commission, as the guardian of the Treaties, to make full use of all available enforcement tools and not shy away from litigation as an essential enforcement tool to ensure compliance and uphold the authority of EU law; regrets that the initiation of infringement procedures remains selective, given the Commission’s approach to prioritising breaches it deems to have the most significant impact on public and business interests</w:t>
      </w:r>
      <w:r w:rsidR="000940B8">
        <w:rPr>
          <w:rStyle w:val="FootnoteReference"/>
        </w:rPr>
        <w:footnoteReference w:id="8"/>
      </w:r>
      <w:r w:rsidRPr="00273F73">
        <w:t>, and expresses concern that possible infringements of EU law are not systematically followed by enforcement action; highlights the importance of effective monitoring and preventive action in order to ensure that citizens do not bear the cost of incomplete transposition or incorrect application of EU law by Member States;</w:t>
      </w:r>
    </w:p>
    <w:p w14:paraId="5F1F4FC9" w14:textId="77777777" w:rsidR="00AD189F" w:rsidRPr="00273F73" w:rsidRDefault="00AD189F" w:rsidP="00AD189F">
      <w:pPr>
        <w:pStyle w:val="NormalHanging12a"/>
      </w:pPr>
      <w:r w:rsidRPr="00273F73">
        <w:lastRenderedPageBreak/>
        <w:t>18.</w:t>
      </w:r>
      <w:r w:rsidRPr="00273F73">
        <w:tab/>
        <w:t>Criticises the lack of transparency with regard to the criteria used by the Commission to prioritise certain enforcement actions over others; calls on the Commission to adopt and publish transparent, objective criteria applicable to infringement cases, particularly with regard to the selection and prioritisation of those involving serious or systemic violations of fundamental rights, rule of law principles or internal market rules; insists on the need for greater transparency throughout the entire process, including public access to information on the status, nature and scope of open procedures, on the outcomes of procedures, as well as on public input, both received and taken into account, particularly in the initiation phase of infringement procedures; calls on the Commission to report proactively and on a continuous basis on instances where it has acted in response to suspected serious infringement and on cases where it has decided not to act;</w:t>
      </w:r>
    </w:p>
    <w:p w14:paraId="4F44A856" w14:textId="77777777" w:rsidR="00AD189F" w:rsidRPr="00273F73" w:rsidRDefault="00AD189F" w:rsidP="00AD189F">
      <w:pPr>
        <w:pStyle w:val="NormalHanging12a"/>
      </w:pPr>
      <w:r w:rsidRPr="00273F73">
        <w:t>19.</w:t>
      </w:r>
      <w:r w:rsidRPr="00273F73">
        <w:tab/>
        <w:t xml:space="preserve">Regrets the frequent lack of infringement procedures initiated for non-compliance with CJEU rulings; calls on the Commission to consistently initiate such procedures in cases of a failure to implement a CJEU ruling, including by issuing requests for lump sums or penalty payments, especially in cases of systemic breaches of EU law or repeated non-compliance with CJEU rulings by the Member State in </w:t>
      </w:r>
      <w:proofErr w:type="gramStart"/>
      <w:r w:rsidRPr="00273F73">
        <w:t>question;</w:t>
      </w:r>
      <w:proofErr w:type="gramEnd"/>
    </w:p>
    <w:p w14:paraId="17FACEAD" w14:textId="77777777" w:rsidR="00AD189F" w:rsidRDefault="00AD189F" w:rsidP="00AD189F">
      <w:pPr>
        <w:pStyle w:val="NormalHanging12a"/>
      </w:pPr>
      <w:r w:rsidRPr="00273F73">
        <w:t>20.</w:t>
      </w:r>
      <w:r w:rsidRPr="00273F73">
        <w:tab/>
        <w:t>Stresses that complaints concerning alleged breaches of EU law by Member States submitted by citizens, legal professionals or civil society organisations are an important source of information pertaining to the enforcement of EU law; urges the Commission, when complaints are brought before it, to ensure appropriate follow-up to such complaints, including, where relevant, the timely initiation of infringement procedures or clear communication to the applicant on the reasons why no infringement procedure will be initiated; underlines, furthermore, the importance of other channels enabling citizens to report maladministration by an EU institution or fraud, and the need to strengthen the financial means and personnel of the European Ombudsman and of the European Anti-Fraud Office, as well as making the mechanism for filing petitions to the European Parliament more effective;</w:t>
      </w:r>
    </w:p>
    <w:p w14:paraId="35CA7D57" w14:textId="3C7B2C55" w:rsidR="00312F61" w:rsidRPr="00273F73" w:rsidRDefault="00312F61" w:rsidP="00AD189F">
      <w:pPr>
        <w:pStyle w:val="NormalHanging12a"/>
      </w:pPr>
      <w:r>
        <w:t>21</w:t>
      </w:r>
      <w:r w:rsidRPr="00312F61">
        <w:t>.</w:t>
      </w:r>
      <w:r w:rsidRPr="00312F61">
        <w:tab/>
        <w:t>Notes that Parliament has received several petitions raising serious concerns about child sexual abuse, in particular online, and more broadly about repeated or systemic shortcomings in the implementation of EU law relating to child protection; highlights that, in 2023 and 2025, the Commission followed up on infringement procedures against 18 Member States for their incorrect transposition of Directive 2011/93/EU on combating child sexual abuse</w:t>
      </w:r>
      <w:r>
        <w:rPr>
          <w:rStyle w:val="FootnoteReference"/>
        </w:rPr>
        <w:footnoteReference w:id="9"/>
      </w:r>
      <w:r w:rsidRPr="00312F61">
        <w:t>, of which 8 cases have been closed; calls on the Commission to prioritise enforcement in this area and to ensure swift and effective follow-up on petitions raising allegations of non-compliance, given the particular vulnerability of children; encourages, in this context, the Commission to use all available procedural and legal means to ensure the full and effective implementation of EU law aimed at preventing and combating child sexual abuse;</w:t>
      </w:r>
    </w:p>
    <w:p w14:paraId="0BD777C0" w14:textId="665CFA89" w:rsidR="00AD189F" w:rsidRPr="00273F73" w:rsidRDefault="00312F61" w:rsidP="00AD189F">
      <w:pPr>
        <w:pStyle w:val="NormalHanging12a"/>
      </w:pPr>
      <w:r>
        <w:t>22</w:t>
      </w:r>
      <w:r w:rsidR="00AD189F" w:rsidRPr="00273F73">
        <w:t>.</w:t>
      </w:r>
      <w:r w:rsidR="00AD189F" w:rsidRPr="00273F73">
        <w:tab/>
        <w:t xml:space="preserve">Notes with concern that in certain Member States the application of the preliminary ruling procedure is under threat, including judges’ powers to request preliminary rulings; stresses that such obstacles undermine the proper implementation of EU law in </w:t>
      </w:r>
      <w:r w:rsidR="00AD189F" w:rsidRPr="00273F73">
        <w:lastRenderedPageBreak/>
        <w:t xml:space="preserve">those Member States; urges the Commission to make full use of the relevant instruments to ensure full compliance with the preliminary ruling </w:t>
      </w:r>
      <w:proofErr w:type="gramStart"/>
      <w:r w:rsidR="00AD189F" w:rsidRPr="00273F73">
        <w:t>procedure;</w:t>
      </w:r>
      <w:proofErr w:type="gramEnd"/>
    </w:p>
    <w:p w14:paraId="6419BD5D" w14:textId="1804563A" w:rsidR="00AD189F" w:rsidRPr="00273F73" w:rsidRDefault="00312F61" w:rsidP="00AD189F">
      <w:pPr>
        <w:pStyle w:val="NormalHanging12a"/>
      </w:pPr>
      <w:r>
        <w:t>23</w:t>
      </w:r>
      <w:r w:rsidR="00AD189F" w:rsidRPr="00273F73">
        <w:t>.</w:t>
      </w:r>
      <w:r w:rsidR="00AD189F" w:rsidRPr="00273F73">
        <w:tab/>
        <w:t>Urges the Commission to make effective use of the pre-litigation phase, bearing in mind the objective of ensuring that Member States conform with the obligations arising from EU law as swiftly as possible; urges the Commission to introduce a time limit to the pre-infringement dialogue, formerly known as the EU Pilot procedure, to ensure prompt resolution and enforcement; recommends the provision of more detailed and accessible information about these informal dialogues, including expected timelines and outcomes, to ensure accountability and timely resolution;</w:t>
      </w:r>
    </w:p>
    <w:p w14:paraId="4A8296F7" w14:textId="77777777" w:rsidR="00AD189F" w:rsidRPr="00273F73" w:rsidRDefault="00AD189F" w:rsidP="00AD189F">
      <w:pPr>
        <w:pStyle w:val="Normal12a"/>
        <w:rPr>
          <w:i/>
          <w:iCs/>
        </w:rPr>
      </w:pPr>
      <w:r w:rsidRPr="00273F73">
        <w:rPr>
          <w:b/>
          <w:i/>
          <w:iCs/>
        </w:rPr>
        <w:t>Implementation of EU law</w:t>
      </w:r>
    </w:p>
    <w:p w14:paraId="0EE65714" w14:textId="796CBD98" w:rsidR="00AD189F" w:rsidRPr="00273F73" w:rsidRDefault="00312F61" w:rsidP="00AD189F">
      <w:pPr>
        <w:pStyle w:val="NormalHanging12a"/>
      </w:pPr>
      <w:r>
        <w:t>24</w:t>
      </w:r>
      <w:r w:rsidR="00AD189F" w:rsidRPr="00273F73">
        <w:t>.</w:t>
      </w:r>
      <w:r w:rsidR="00AD189F" w:rsidRPr="00273F73">
        <w:tab/>
        <w:t>Encourages the Commission and the Member States to strengthen structured cooperation and early-warning mechanisms that help detect problems with transposition or implementation before formal infringement procedures become necessary; urges the Member States to strictly adhere to transposition deadlines, follow the guidelines issued by the Commission and actively and fully engage in implementation dialogues, and to notify the Commission in a timely manner about potential obstacles and issues with transposition and implementation, in order to avoid delays, errors and potential penalties; calls for further support to build Member States’ administrative and technical capacity in this regard; regrets that some Member States either report transposition and/or implementation issues too late or fail to report them altogether, resulting in delays that negatively affect EU citizens and businesses; recalls that the Member States participate in the legislative procedure through the Council as co-legislator; stresses that the lack of enforcement of EU law undermines citizens’ perception of the EU and its ability to deliver results;</w:t>
      </w:r>
    </w:p>
    <w:p w14:paraId="35A74979" w14:textId="5BB257D8" w:rsidR="00AD189F" w:rsidRPr="00273F73" w:rsidRDefault="00312F61" w:rsidP="00AD189F">
      <w:pPr>
        <w:pStyle w:val="NormalHanging12a"/>
      </w:pPr>
      <w:r>
        <w:t>25</w:t>
      </w:r>
      <w:r w:rsidR="00AD189F" w:rsidRPr="00273F73">
        <w:t>.</w:t>
      </w:r>
      <w:r w:rsidR="00AD189F" w:rsidRPr="00273F73">
        <w:tab/>
        <w:t>Welcomes the introduction of implementation dialogues as a new instrument to support Member States’ compliance with EU law; stresses the importance of establishing a clear, transparent and inclusive process for identifying, selecting and involving stakeholders in these dialogues across all EU Member States; notes with concern that the participation of regional and local authorities in implementation dialogues remains limited; emphasises that meaningful stakeholder participation is essential to enhancing the quality, legitimacy and effectiveness of implementation efforts;</w:t>
      </w:r>
    </w:p>
    <w:p w14:paraId="6DBA6B10" w14:textId="63E0DB66" w:rsidR="00AD189F" w:rsidRPr="00273F73" w:rsidRDefault="00312F61" w:rsidP="00AD189F">
      <w:pPr>
        <w:pStyle w:val="NormalHanging12a"/>
      </w:pPr>
      <w:r>
        <w:t>26</w:t>
      </w:r>
      <w:r w:rsidR="00AD189F" w:rsidRPr="00273F73">
        <w:t>.</w:t>
      </w:r>
      <w:r w:rsidR="00AD189F" w:rsidRPr="00273F73">
        <w:tab/>
        <w:t xml:space="preserve">Notes that, according to the Single Market Scoreboard, the average transposition delay for Single Market directives in the EU is currently 11.9 months, which means, on average, that Member States are taking almost a year longer than the prescribed deadline to incorporate EU directives into their national </w:t>
      </w:r>
      <w:proofErr w:type="gramStart"/>
      <w:r w:rsidR="00AD189F" w:rsidRPr="00273F73">
        <w:t>laws;</w:t>
      </w:r>
      <w:proofErr w:type="gramEnd"/>
    </w:p>
    <w:p w14:paraId="23AA494A" w14:textId="444DC167" w:rsidR="00AD189F" w:rsidRPr="00273F73" w:rsidRDefault="00312F61" w:rsidP="00AD189F">
      <w:pPr>
        <w:pStyle w:val="NormalHanging12a"/>
      </w:pPr>
      <w:r>
        <w:t>27</w:t>
      </w:r>
      <w:r w:rsidR="00AD189F" w:rsidRPr="00273F73">
        <w:t>.</w:t>
      </w:r>
      <w:r w:rsidR="00AD189F" w:rsidRPr="00273F73">
        <w:tab/>
        <w:t xml:space="preserve">Expresses concern over the fact that many European legislative acts include references to technical standards and delegated or implementing acts that are still at the drafting stage when the basic acts are adopted, making it difficult for Member States to fully transpose them within the prescribed </w:t>
      </w:r>
      <w:proofErr w:type="gramStart"/>
      <w:r w:rsidR="00AD189F" w:rsidRPr="00273F73">
        <w:t>period;</w:t>
      </w:r>
      <w:proofErr w:type="gramEnd"/>
    </w:p>
    <w:p w14:paraId="56CA54C1" w14:textId="76017517" w:rsidR="00AD189F" w:rsidRPr="00273F73" w:rsidRDefault="00312F61" w:rsidP="00AD189F">
      <w:pPr>
        <w:pStyle w:val="NormalHanging12a"/>
      </w:pPr>
      <w:r>
        <w:t>28</w:t>
      </w:r>
      <w:r w:rsidR="00AD189F" w:rsidRPr="00273F73">
        <w:t>.</w:t>
      </w:r>
      <w:r w:rsidR="00AD189F" w:rsidRPr="00273F73">
        <w:tab/>
        <w:t xml:space="preserve">Notes with concern the limitations of the new Europa implementation platform, launched in April 2025, the aim of which is to centralise information on the Commission’s enforcement actions, infringement cases, the transposition of directives and pre-infringement dialogue, formerly known as the EU Pilot procedure; points out that, despite its potential, the platform primarily consists of data tables and should be </w:t>
      </w:r>
      <w:r w:rsidR="00AD189F" w:rsidRPr="00273F73">
        <w:lastRenderedPageBreak/>
        <w:t>improved with a view to providing, in a transparent manner, essential information on ongoing or concluded procedures, and to making available exhaustive qualitative analyses of the data presented; notes that the information presented on the platform is primarily organised by the Member States, offering a general overview of national implementation efforts; regrets the absence of a legal-act-based structure that would allow for a clearer understanding of the implementation stage, related challenges, as well as the challenges faced by Member States in implementing legislative acts; considers that developing such an analytical approach would significantly improve transparency and facilitate a more evidence-based assessment of implementation across the EU; calls on the Commission to improve the efficiency of the platform and its content so that it can be used to conduct a range of operations in a transparent and easily accessible manner, including comparisons and conclusions in certain cases, and so that it becomes a useful instrument for legislators, legal practitioners, and citizens seeking insight into how EU law is upheld in practice;</w:t>
      </w:r>
    </w:p>
    <w:p w14:paraId="2B2244C9" w14:textId="30F5EA0B" w:rsidR="00AD189F" w:rsidRPr="00273F73" w:rsidRDefault="00312F61" w:rsidP="00AD189F">
      <w:pPr>
        <w:pStyle w:val="NormalHanging12a"/>
      </w:pPr>
      <w:r>
        <w:t>29</w:t>
      </w:r>
      <w:r w:rsidR="00AD189F" w:rsidRPr="00273F73">
        <w:t>.</w:t>
      </w:r>
      <w:r w:rsidR="00AD189F" w:rsidRPr="00273F73">
        <w:tab/>
        <w:t>Stresses that the transparent and timely publication of data on transposition and infringement cases is essential for accountability and public trust; calls on the Commission to make such data accessible in an open and user-friendly format and to facilitate comparisons across Member States and policy areas; calls on the Commission to ensure the necessary transparency of all tools and databases used to monitor the implementation of EU law, including by making methodological notes, criteria for data collection, and explanations of indicators publicly available; stresses that transparency is essential for meaningful scrutiny by citizens, researchers and the EU institutions;</w:t>
      </w:r>
    </w:p>
    <w:p w14:paraId="5CB5903C" w14:textId="6520770B" w:rsidR="00AD189F" w:rsidRPr="00273F73" w:rsidRDefault="00312F61" w:rsidP="00AD189F">
      <w:pPr>
        <w:pStyle w:val="NormalHanging12a"/>
      </w:pPr>
      <w:r>
        <w:t>30</w:t>
      </w:r>
      <w:r w:rsidR="00AD189F" w:rsidRPr="00273F73">
        <w:t>.</w:t>
      </w:r>
      <w:r w:rsidR="00AD189F" w:rsidRPr="00273F73">
        <w:tab/>
        <w:t xml:space="preserve">Underlines the need to strengthen transparency for citizens and businesses regarding the rights they enjoy under EU law and the mechanisms available when these rights are breached; calls on the Commission and the Member States to improve the visibility and accessibility of complaint procedures, including through modernised digital tools and multilingual information </w:t>
      </w:r>
      <w:proofErr w:type="gramStart"/>
      <w:r w:rsidR="00AD189F" w:rsidRPr="00273F73">
        <w:t>portals;</w:t>
      </w:r>
      <w:proofErr w:type="gramEnd"/>
    </w:p>
    <w:p w14:paraId="3C6B36FF" w14:textId="2983D30A" w:rsidR="00AD189F" w:rsidRPr="00273F73" w:rsidRDefault="00312F61" w:rsidP="00AD189F">
      <w:pPr>
        <w:pStyle w:val="NormalHanging12a"/>
      </w:pPr>
      <w:r>
        <w:t>31</w:t>
      </w:r>
      <w:r w:rsidR="00AD189F" w:rsidRPr="00273F73">
        <w:t>.</w:t>
      </w:r>
      <w:r w:rsidR="00AD189F" w:rsidRPr="00273F73">
        <w:tab/>
        <w:t>Urges the Commission to strengthen and modernise its monitoring of the application of regulations, in recognition of their increasing importance as the EU’s main legislative instrument; notes the challenges in applying regulations, as evidenced by gaps in the data provided by the Commission, particularly in terms of completeness, accessibility and consistency; asks the Commission to report on how its monitoring activities and practices are adapted to the application of regulations and to the recommendations made in this regard in its stocktaking report on the Commission working methods for monitoring the application of EU law;</w:t>
      </w:r>
    </w:p>
    <w:p w14:paraId="7829AF5F" w14:textId="4143EBA4" w:rsidR="00AD189F" w:rsidRPr="00273F73" w:rsidRDefault="00312F61" w:rsidP="00AD189F">
      <w:pPr>
        <w:pStyle w:val="NormalHanging12a"/>
      </w:pPr>
      <w:r>
        <w:t>32</w:t>
      </w:r>
      <w:r w:rsidR="00AD189F" w:rsidRPr="00273F73">
        <w:t>.</w:t>
      </w:r>
      <w:r w:rsidR="00AD189F" w:rsidRPr="00273F73">
        <w:tab/>
        <w:t>Recommends a more disciplined and limited use of level 2 legislation, namely delegated and implementing acts, by specifying non-essential elements of legislation or by restricting their scope to genuinely technical matters necessary for the application of level 1 legislation, respectively; stresses that level 2 acts must be subject to transparent procedures, include clear timelines, allow for sufficient time for meaningful and effective scrutiny by the co-legislators, and be published with sufficient lead time to allow stakeholders to prepare for compliance, and that such measures should, where feasible, be made available prior to or simultaneously with the entry into force of level 1 legislation to ensure legal certainty and enforceability;</w:t>
      </w:r>
    </w:p>
    <w:p w14:paraId="7239CE70" w14:textId="65B3D794" w:rsidR="00AD189F" w:rsidRPr="00273F73" w:rsidRDefault="00312F61" w:rsidP="00AD189F">
      <w:pPr>
        <w:pStyle w:val="NormalHanging12a"/>
      </w:pPr>
      <w:r>
        <w:t>33</w:t>
      </w:r>
      <w:r w:rsidR="00AD189F" w:rsidRPr="00273F73">
        <w:t>.</w:t>
      </w:r>
      <w:r w:rsidR="00AD189F" w:rsidRPr="00273F73">
        <w:tab/>
        <w:t xml:space="preserve">Insists on the fundamental role of Member States’ and the EU’s judicial authorities to build robust case-law, thereby maintaining legal security throughout EU society and the </w:t>
      </w:r>
      <w:r w:rsidR="00AD189F" w:rsidRPr="00273F73">
        <w:lastRenderedPageBreak/>
        <w:t xml:space="preserve">EU market; stresses, in that regard, the importance of preserving judicial independence, but also of allocating robust financial and human resources to judicial </w:t>
      </w:r>
      <w:proofErr w:type="gramStart"/>
      <w:r w:rsidR="00AD189F" w:rsidRPr="00273F73">
        <w:t>authorities;</w:t>
      </w:r>
      <w:proofErr w:type="gramEnd"/>
    </w:p>
    <w:p w14:paraId="2EB19381" w14:textId="3F624346" w:rsidR="00AD189F" w:rsidRPr="00273F73" w:rsidRDefault="00312F61" w:rsidP="00AD189F">
      <w:pPr>
        <w:pStyle w:val="NormalHanging12a"/>
      </w:pPr>
      <w:r>
        <w:t>34</w:t>
      </w:r>
      <w:r w:rsidR="00AD189F" w:rsidRPr="00273F73">
        <w:t>.</w:t>
      </w:r>
      <w:r w:rsidR="00AD189F" w:rsidRPr="00273F73">
        <w:tab/>
        <w:t xml:space="preserve">Highlights that, in certain Member States that have federal or regional systems, transposition might involve multiple legislative processes and levels of </w:t>
      </w:r>
      <w:proofErr w:type="gramStart"/>
      <w:r w:rsidR="00AD189F" w:rsidRPr="00273F73">
        <w:t>government;</w:t>
      </w:r>
      <w:proofErr w:type="gramEnd"/>
    </w:p>
    <w:p w14:paraId="6D74763B" w14:textId="37BBAD98" w:rsidR="00AD189F" w:rsidRPr="00273F73" w:rsidRDefault="00312F61" w:rsidP="00AD189F">
      <w:pPr>
        <w:pStyle w:val="NormalHanging12a"/>
      </w:pPr>
      <w:r>
        <w:t>35</w:t>
      </w:r>
      <w:r w:rsidR="00AD189F" w:rsidRPr="00273F73">
        <w:t>.</w:t>
      </w:r>
      <w:r w:rsidR="00AD189F" w:rsidRPr="00273F73">
        <w:tab/>
        <w:t xml:space="preserve">Underlines the importance of stronger cross-border cooperation among judicial and law enforcement authorities to effectively combat serious crime, corruption and terrorism, in particular through reinforcing the role and operational capacity of the </w:t>
      </w:r>
      <w:proofErr w:type="gramStart"/>
      <w:r w:rsidR="00AD189F" w:rsidRPr="00273F73">
        <w:t>EPPO;</w:t>
      </w:r>
      <w:proofErr w:type="gramEnd"/>
    </w:p>
    <w:p w14:paraId="27E8A262" w14:textId="35FF7FE7" w:rsidR="00AD189F" w:rsidRPr="00273F73" w:rsidRDefault="00312F61" w:rsidP="00AD189F">
      <w:pPr>
        <w:pStyle w:val="NormalHanging12a"/>
      </w:pPr>
      <w:r>
        <w:t>36</w:t>
      </w:r>
      <w:r w:rsidR="00AD189F" w:rsidRPr="00273F73">
        <w:t>.</w:t>
      </w:r>
      <w:r w:rsidR="00AD189F" w:rsidRPr="00273F73">
        <w:tab/>
        <w:t xml:space="preserve">Supports the further digitalisation of justice tools, especially in cross-border procedures, such as the e-Evidence and e-CODEX systems, with the aim of accelerating judicial decision-making in a trustworthy </w:t>
      </w:r>
      <w:proofErr w:type="gramStart"/>
      <w:r w:rsidR="00AD189F" w:rsidRPr="00273F73">
        <w:t>way;</w:t>
      </w:r>
      <w:proofErr w:type="gramEnd"/>
    </w:p>
    <w:p w14:paraId="22AA4147" w14:textId="77777777" w:rsidR="00AD189F" w:rsidRPr="00273F73" w:rsidRDefault="00AD189F" w:rsidP="00AD189F">
      <w:pPr>
        <w:pStyle w:val="Normal12a"/>
        <w:rPr>
          <w:i/>
          <w:iCs/>
        </w:rPr>
      </w:pPr>
      <w:r w:rsidRPr="00273F73">
        <w:rPr>
          <w:b/>
          <w:i/>
          <w:iCs/>
        </w:rPr>
        <w:t>Simplification</w:t>
      </w:r>
    </w:p>
    <w:p w14:paraId="7896F2B1" w14:textId="25DA9909" w:rsidR="00AD189F" w:rsidRPr="00273F73" w:rsidRDefault="00312F61" w:rsidP="00AD189F">
      <w:pPr>
        <w:pStyle w:val="NormalHanging12a"/>
      </w:pPr>
      <w:r>
        <w:t>37</w:t>
      </w:r>
      <w:r w:rsidR="00AD189F" w:rsidRPr="00273F73">
        <w:t>.</w:t>
      </w:r>
      <w:r w:rsidR="00AD189F" w:rsidRPr="00273F73">
        <w:tab/>
        <w:t>Stresses that the simplification of EU law must not be conflated with deregulation; emphasises that the Commission’s simplification efforts, which bundle the fate of various legislative acts, should in no way be automatic and must, where necessary, be subject to thorough impact assessments and meaningful stakeholder consultations; emphasises that streamlining legal texts and procedures can improve clarity, legal certainty, and administrative efficiency; reiterates that quality, clear and cohesive EU legislation is an essential condition for effective, correct and uniform transposition by the Member States that preserves essential policy objectives and protections; highlights that the aim of such a simplification process must be to reduce technical complexity, eliminate regulatory overlaps, harmonise the definitions and procedures laid down by acts governing related fields and guarantee the technical feasibility of implementation in national law; points out the importance of coherence across legislative instruments in order to avoid duplications and contradictions that add complexity and hinder effective implementation; emphasises that reducing administrative burdens is inseparable from ensuring accessibility, which can be effectively achieved through well-designed digital tools that are simple and inclusive for all users;</w:t>
      </w:r>
    </w:p>
    <w:p w14:paraId="51E96F74" w14:textId="4E2DB91F" w:rsidR="00AD189F" w:rsidRPr="00273F73" w:rsidRDefault="00312F61" w:rsidP="00AD189F">
      <w:pPr>
        <w:pStyle w:val="NormalHanging12a"/>
      </w:pPr>
      <w:r>
        <w:t>38</w:t>
      </w:r>
      <w:r w:rsidR="00AD189F" w:rsidRPr="00273F73">
        <w:t>.</w:t>
      </w:r>
      <w:r w:rsidR="00AD189F" w:rsidRPr="00273F73">
        <w:tab/>
        <w:t>Notes that in 2023, 59 out of 130 Ordinary Legislative Procedures were published without an impact assessment, and in 2024, 26 out 31 Ordinary Legislative Procedures were published without one; notes with concern, furthermore, that the Commission published 80 Ordinary Legislative Procedures between 1 December 2024 and 26 September 2025, of which only 18 were supported by a total of 12 impact assessments; calls for impact assessments to be carried out on all acts; regrets the fact that this was not the case for several politically sensitive proposals in the past;</w:t>
      </w:r>
    </w:p>
    <w:p w14:paraId="0365986D" w14:textId="4B23C5B5" w:rsidR="00AD189F" w:rsidRPr="00273F73" w:rsidRDefault="00312F61" w:rsidP="00AD189F">
      <w:pPr>
        <w:pStyle w:val="NormalHanging12a"/>
      </w:pPr>
      <w:r>
        <w:t>39</w:t>
      </w:r>
      <w:r w:rsidR="00AD189F" w:rsidRPr="00273F73">
        <w:t>.</w:t>
      </w:r>
      <w:r w:rsidR="00AD189F" w:rsidRPr="00273F73">
        <w:tab/>
        <w:t>Acknowledges the burden reduction objectives set out by the Commission in its 2025 work programme; welcomes the Commission’s plans to carry out stress tests and reality checks on EU legislation to ensure that it effectively delivers on its policy objectives; recalls, in this regard, the importance of the systematic evaluation of legislation for evidence-based policymaking, as provided for in the Commission’s Better Regulation Toolbox; urges that a designated Commissioner be empowered with the necessary authority, resources, and analytical tools to lead this effort and ensure that all legislative acts are proportionate, enforceable, and fit for purpose;</w:t>
      </w:r>
    </w:p>
    <w:p w14:paraId="6B95348F" w14:textId="36649CBA" w:rsidR="00AD189F" w:rsidRPr="00273F73" w:rsidRDefault="00312F61" w:rsidP="00AD189F">
      <w:pPr>
        <w:pStyle w:val="NormalHanging12a"/>
      </w:pPr>
      <w:r>
        <w:lastRenderedPageBreak/>
        <w:t>40</w:t>
      </w:r>
      <w:r w:rsidR="00AD189F" w:rsidRPr="00273F73">
        <w:t>.</w:t>
      </w:r>
      <w:r w:rsidR="00AD189F" w:rsidRPr="00273F73">
        <w:tab/>
        <w:t xml:space="preserve">Underlines the cases of legislative acts that have never been applied; calls on the Commission to monitor such cases regularly, assess the reasons for this lack of application, decide whether they require simplification and come up with proposals to modify </w:t>
      </w:r>
      <w:proofErr w:type="gramStart"/>
      <w:r w:rsidR="00AD189F" w:rsidRPr="00273F73">
        <w:t>them;</w:t>
      </w:r>
      <w:proofErr w:type="gramEnd"/>
    </w:p>
    <w:p w14:paraId="560E3D2C" w14:textId="4CDD5B98" w:rsidR="00AD189F" w:rsidRPr="00273F73" w:rsidRDefault="00312F61" w:rsidP="00AD189F">
      <w:pPr>
        <w:pStyle w:val="NormalHanging12a"/>
      </w:pPr>
      <w:r>
        <w:t>41</w:t>
      </w:r>
      <w:r w:rsidR="00AD189F" w:rsidRPr="00273F73">
        <w:t>.</w:t>
      </w:r>
      <w:r w:rsidR="00AD189F" w:rsidRPr="00273F73">
        <w:tab/>
        <w:t>Recalls that EU law-making is based on interinstitutional balance among co-legislators and a shared commitment to transparent cooperation throughout the legislative cycle; notes that this must be reflected when setting or reviewing multiannual priorities and in the annual joint declaration on annual interinstitutional priorities; strongly criticises the Commission’s recent practice of withdrawing legislative proposals, particularly those already under trilogue negotiations, without sufficient justification, as such actions undermine the credibility of interinstitutional cooperation and democratic accountability; recalls that any intention by the Commission to withdraw pending legislative acts, as announced in its annual work programmes, need to be duly reasoned and substantiated, allowing for the proper consultation of EU co-legislators; observes that a lack of proper consultation puts at risk the balanced exercise of the prerogatives of EU institutions, creates legal uncertainty for businesses and undermines the trust of ordinary people in EU law-making; calls therefore on the Commission to fully involve the European Parliament and the Council at an early stage and throughout any withdrawal procedure, and to conduct thorough, evidence-based impact assessments before any potential repeal, considering benefits and costs in a comprehensive manner, including the costs of noncompliance and inaction;</w:t>
      </w:r>
    </w:p>
    <w:p w14:paraId="7B4D981F" w14:textId="630FAFC2" w:rsidR="00AD189F" w:rsidRPr="00273F73" w:rsidRDefault="00312F61" w:rsidP="00AD189F">
      <w:pPr>
        <w:pStyle w:val="NormalHanging12a"/>
      </w:pPr>
      <w:r>
        <w:t>42</w:t>
      </w:r>
      <w:r w:rsidR="00AD189F" w:rsidRPr="00273F73">
        <w:t>.</w:t>
      </w:r>
      <w:r w:rsidR="00AD189F" w:rsidRPr="00273F73">
        <w:tab/>
        <w:t xml:space="preserve">Recommends that the Commission bring forward legislation to codify minimum standards for administrative procedures across Member States, in accordance with the European Parliament resolution of 22 November 2023 with recommendations to the Commission on Digitalisation and Administrative Law; stresses that such legislation should promote fairness, transparency and digitalisation in EU public administration, including safeguards for the responsible use of AI in </w:t>
      </w:r>
      <w:proofErr w:type="gramStart"/>
      <w:r w:rsidR="00AD189F" w:rsidRPr="00273F73">
        <w:t>decision-making;</w:t>
      </w:r>
      <w:proofErr w:type="gramEnd"/>
    </w:p>
    <w:p w14:paraId="6AD1E6FA" w14:textId="6BD681A3" w:rsidR="00AD189F" w:rsidRPr="00273F73" w:rsidRDefault="00312F61" w:rsidP="00AD189F">
      <w:pPr>
        <w:pStyle w:val="NormalHanging12a"/>
      </w:pPr>
      <w:r>
        <w:t>43</w:t>
      </w:r>
      <w:r w:rsidR="00AD189F" w:rsidRPr="00273F73">
        <w:t>.</w:t>
      </w:r>
      <w:r w:rsidR="00AD189F" w:rsidRPr="00273F73">
        <w:tab/>
        <w:t>Calls for a significant simplification of administrative obligations for beneficiaries of EU funds to ensure that EU funds are used properly and effectively, particularly through the broader use of results-based reporting models, reduced duplication in audit procedures, and a clear legal distinction between unintentional errors and deliberate fraud; regrets that by the end of 2023, only about a third of the total Recovery and Resilience Facility (RRF) funds had been disbursed to Member States, while seven Member States had not received any funds for the satisfactory fulfilment of milestones and targets from the RRF by the end of 2023, due to governments missing agreed milestones</w:t>
      </w:r>
      <w:r w:rsidR="000940B8">
        <w:rPr>
          <w:rStyle w:val="FootnoteReference"/>
        </w:rPr>
        <w:footnoteReference w:id="10"/>
      </w:r>
      <w:r w:rsidR="00AD189F" w:rsidRPr="00273F73">
        <w:t>; highlights that excessive administrative burdens, as well as issues with administrative capacity and complex rules at national level, undermine access to EU funding and the credibility of EU support policies;</w:t>
      </w:r>
    </w:p>
    <w:p w14:paraId="1196FFA2" w14:textId="1F383417" w:rsidR="00AD189F" w:rsidRPr="00273F73" w:rsidRDefault="00312F61" w:rsidP="00AD189F">
      <w:pPr>
        <w:pStyle w:val="NormalHanging12a"/>
      </w:pPr>
      <w:r>
        <w:t>44</w:t>
      </w:r>
      <w:r w:rsidR="00AD189F" w:rsidRPr="00273F73">
        <w:t>.</w:t>
      </w:r>
      <w:r w:rsidR="00AD189F" w:rsidRPr="00273F73">
        <w:tab/>
        <w:t xml:space="preserve">Urges the Commission to assess the feasibility of merging current and upcoming digital legislation, including cybersecurity frameworks, into a single, coherent Digital Rulebook; recommends that such an instrument contain harmonised definitions, unified </w:t>
      </w:r>
      <w:r w:rsidR="00AD189F" w:rsidRPr="00273F73">
        <w:lastRenderedPageBreak/>
        <w:t xml:space="preserve">reporting obligations, and clear guidance for both public and private actors to improve legal coherence and compliance across the Digital Single </w:t>
      </w:r>
      <w:proofErr w:type="gramStart"/>
      <w:r w:rsidR="00AD189F" w:rsidRPr="00273F73">
        <w:t>Market;</w:t>
      </w:r>
      <w:proofErr w:type="gramEnd"/>
    </w:p>
    <w:p w14:paraId="68D9923C" w14:textId="77777777" w:rsidR="00AD189F" w:rsidRPr="00273F73" w:rsidRDefault="00AD189F" w:rsidP="00AD189F">
      <w:pPr>
        <w:pStyle w:val="Normal12a"/>
      </w:pPr>
      <w:r w:rsidRPr="00273F73">
        <w:rPr>
          <w:b/>
          <w:i/>
        </w:rPr>
        <w:t>Sector-specific elements</w:t>
      </w:r>
    </w:p>
    <w:p w14:paraId="7DCC0453" w14:textId="4A332328" w:rsidR="00AD189F" w:rsidRPr="00273F73" w:rsidRDefault="00312F61" w:rsidP="00AD189F">
      <w:pPr>
        <w:pStyle w:val="NormalHanging12a"/>
      </w:pPr>
      <w:r>
        <w:t>45</w:t>
      </w:r>
      <w:r w:rsidR="00AD189F" w:rsidRPr="00273F73">
        <w:t>.</w:t>
      </w:r>
      <w:r w:rsidR="00AD189F" w:rsidRPr="00273F73">
        <w:tab/>
        <w:t>Notes that, in the field of trade, in the case of legislative acts with deferred application dates, setting out clear application dates is paramount; recalls that the Commission guidelines needed for the effective and uniform implementation of such acts should bring clarity and legal certainty, and not undermine the very essence and purpose of the basic act; greatly regrets, in this context, the negative impact on EU operators and EU international partners of repeated delays and lack of clarity regarding the dates of application and phasing-in periods under EU legislation and international agreements to which EU is party, including by undermining the EU’s credibility on the global scene;</w:t>
      </w:r>
    </w:p>
    <w:p w14:paraId="16CEE003" w14:textId="26D89657" w:rsidR="00AD189F" w:rsidRPr="00273F73" w:rsidRDefault="00312F61" w:rsidP="00AD189F">
      <w:pPr>
        <w:pStyle w:val="NormalHanging12a"/>
      </w:pPr>
      <w:r>
        <w:t>46</w:t>
      </w:r>
      <w:r w:rsidR="00AD189F" w:rsidRPr="00273F73">
        <w:t>.</w:t>
      </w:r>
      <w:r w:rsidR="00AD189F" w:rsidRPr="00273F73">
        <w:tab/>
        <w:t>Welcomes, in the field of employment, the CJEU judgment</w:t>
      </w:r>
      <w:r w:rsidR="000940B8">
        <w:rPr>
          <w:rStyle w:val="FootnoteReference"/>
        </w:rPr>
        <w:footnoteReference w:id="11"/>
      </w:r>
      <w:r w:rsidR="00AD189F" w:rsidRPr="00273F73">
        <w:t xml:space="preserve"> which largely confirmed the validity of the Directive on adequate minimum wages</w:t>
      </w:r>
      <w:r w:rsidR="000940B8">
        <w:rPr>
          <w:rStyle w:val="FootnoteReference"/>
        </w:rPr>
        <w:footnoteReference w:id="12"/>
      </w:r>
      <w:r w:rsidR="00AD189F" w:rsidRPr="00273F73">
        <w:t>; calls on those Member States that have not yet transposed the Directive into their national legal systems within the prescribed deadline to do so without delay; urges the Commission to remain vigilant and to take all appropriate measures to ensure the full and timely transposition and effective implementation of the Directive; supports the Commission’s engagement in pre-infringement dialogues in the field of occupational safety and health, which facilitates national legislative changes aimed at strengthening and harmonising minimum levels of protection for workers, thereby safeguarding workers’ rights and contributing to a level playing field across the EU; regrets that several Member States have only partially transposed certain directives into their national legislation;</w:t>
      </w:r>
    </w:p>
    <w:p w14:paraId="1974904F" w14:textId="5E0C5528" w:rsidR="00AD189F" w:rsidRPr="00273F73" w:rsidRDefault="00312F61" w:rsidP="00AD189F">
      <w:pPr>
        <w:pStyle w:val="NormalHanging12a"/>
      </w:pPr>
      <w:r>
        <w:t>47</w:t>
      </w:r>
      <w:r w:rsidR="00AD189F" w:rsidRPr="00273F73">
        <w:t>.</w:t>
      </w:r>
      <w:r w:rsidR="00AD189F" w:rsidRPr="00273F73">
        <w:tab/>
        <w:t xml:space="preserve">Welcomes, in the field of environment, the Environmental Implementation Review (EIR); calls on the Commission to publish annual implementation dashboards for each Member State and policy area with machine-readable, comparable indicators and case-status metadata, integrating European Environment Agency and European Chemicals Agency datasets and enabling trend analysis and benchmarking; points out that, according to the 2025 EIR, the cost of non-implementation of EU environmental law amounts to EUR 180 billion per year, while closing the implementation gap would require EUR 122 billion per year, demonstrating that effective implementation represents a sound investment rather than a cost; highlights that, as of 2 April 2025, 309 infringement proceedings were ongoing in the field of environmental legislation, of which 45 % concerned pollution and water, 24 % waste management, 24 % nature and biodiversity, and 7 % governance; calls on the Member States to strengthen their administrative capacity for permitting, inspections and monitoring, to adopt digital permitting and enforcement tools, and to ensure open environmental data for evidence-based policymaking and civic oversight; notes with concern that the proliferation and layering of implementing and delegated acts can undermine legal clarity and timely compliance for administrations and duty-bearers; underlines that simplification should enhance clarity and certainty without lowering environmental protection standards; invites the Commission to accompany simplification initiatives with compliance impact </w:t>
      </w:r>
      <w:r w:rsidR="00AD189F" w:rsidRPr="00273F73">
        <w:lastRenderedPageBreak/>
        <w:t>assessments and guidance for practitioners; urges alignment of EU funding with implementation priorities by ring-fencing support for closing environmental compliance gaps identified in the EIR and by phasing out environmentally harmful subsidies; invites the Commission to consider proportionate, targeted conditionalities where persistent non-compliance undermines EU objectives;</w:t>
      </w:r>
    </w:p>
    <w:p w14:paraId="27D0E989" w14:textId="1A2BB94C" w:rsidR="00AD189F" w:rsidRPr="00273F73" w:rsidRDefault="00312F61" w:rsidP="00AD189F">
      <w:pPr>
        <w:pStyle w:val="NormalHanging12a"/>
      </w:pPr>
      <w:r>
        <w:t>48</w:t>
      </w:r>
      <w:r w:rsidR="00AD189F" w:rsidRPr="00273F73">
        <w:t>.</w:t>
      </w:r>
      <w:r w:rsidR="00AD189F" w:rsidRPr="00273F73">
        <w:tab/>
        <w:t>Welcomes the Commission’s initiation of pre-infringement dialogues with Member States, in particular those that did not submit the updated draft national energy and climate plans for the period 2021–2030 in time, but regrets the lack of detailed timetables for compliance and follow-up action by Member States; emphasises the importance of streamlining the implementation of EU climate and environmental legislation, including the Fit for 55 package and the European Green Deal; calls for integrated monitoring, better enforcement mechanisms and closer alignment between EU climate goals and national strategies to ensure the timely and coherent delivery of the EU’s environmental commitments;</w:t>
      </w:r>
    </w:p>
    <w:p w14:paraId="149C0783" w14:textId="1A706351" w:rsidR="00AD189F" w:rsidRPr="00273F73" w:rsidRDefault="00312F61" w:rsidP="00AD189F">
      <w:pPr>
        <w:pStyle w:val="NormalHanging12a"/>
      </w:pPr>
      <w:r>
        <w:t>49</w:t>
      </w:r>
      <w:r w:rsidR="00AD189F" w:rsidRPr="00273F73">
        <w:t>.</w:t>
      </w:r>
      <w:r w:rsidR="00AD189F" w:rsidRPr="00273F73">
        <w:tab/>
        <w:t>Notes that the timely and effective implementation of recently adopted legislation, including the recast Energy Efficiency Directive</w:t>
      </w:r>
      <w:r w:rsidR="000940B8">
        <w:rPr>
          <w:rStyle w:val="FootnoteReference"/>
        </w:rPr>
        <w:footnoteReference w:id="13"/>
      </w:r>
      <w:r w:rsidR="00AD189F" w:rsidRPr="00273F73">
        <w:t>, the Renewable Energy Directive</w:t>
      </w:r>
      <w:r w:rsidR="000940B8">
        <w:rPr>
          <w:rStyle w:val="FootnoteReference"/>
        </w:rPr>
        <w:footnoteReference w:id="14"/>
      </w:r>
      <w:r w:rsidR="00AD189F" w:rsidRPr="00273F73">
        <w:t>, the Electricity Market Design package, and the Energy Performance of Buildings Directive</w:t>
      </w:r>
      <w:r w:rsidR="000940B8">
        <w:rPr>
          <w:rStyle w:val="FootnoteReference"/>
        </w:rPr>
        <w:footnoteReference w:id="15"/>
      </w:r>
      <w:r w:rsidR="00AD189F" w:rsidRPr="00273F73">
        <w:t>, is essential for achieving the EU’s 2030 climate and energy objectives, as well as for ensuring the completion of a fully integrated and interconnected Energy Union in line with Regulation (EU) 2022/869 on guidelines for trans-European energy infrastructure</w:t>
      </w:r>
      <w:r w:rsidR="000940B8">
        <w:rPr>
          <w:rStyle w:val="FootnoteReference"/>
        </w:rPr>
        <w:footnoteReference w:id="16"/>
      </w:r>
      <w:r w:rsidR="00AD189F" w:rsidRPr="00273F73">
        <w:t>, including its upcoming revision, and Regulation (EU) 2018/1999 on the Governance of the Energy Union and Climate Action</w:t>
      </w:r>
      <w:r w:rsidR="000940B8">
        <w:rPr>
          <w:rStyle w:val="FootnoteReference"/>
        </w:rPr>
        <w:footnoteReference w:id="17"/>
      </w:r>
      <w:r w:rsidR="00AD189F" w:rsidRPr="00273F73">
        <w:t xml:space="preserve">; stresses that persistent barriers such as lengthy and complex administrative procedures, insufficient digitalisation, a lack of administrative capacity in permitting and regulatory authorities, and inconsistent or delayed transposition by Member States continue to hinder the uniform application of </w:t>
      </w:r>
      <w:r w:rsidR="00AD189F" w:rsidRPr="00273F73">
        <w:lastRenderedPageBreak/>
        <w:t>EU energy law, delay the modernisation of energy infrastructure and interconnections, and impede the effective functioning of the internal energy market;</w:t>
      </w:r>
    </w:p>
    <w:p w14:paraId="40D8DECB" w14:textId="649ED192" w:rsidR="00AD189F" w:rsidRPr="00273F73" w:rsidRDefault="00312F61" w:rsidP="00AD189F">
      <w:pPr>
        <w:pStyle w:val="NormalHanging12a"/>
      </w:pPr>
      <w:r>
        <w:t>50</w:t>
      </w:r>
      <w:r w:rsidR="00AD189F" w:rsidRPr="00273F73">
        <w:t>.</w:t>
      </w:r>
      <w:r w:rsidR="00AD189F" w:rsidRPr="00273F73">
        <w:tab/>
        <w:t>Regrets that enforcement in the field of energy continues to account for a significant share of infringement proceedings, primarily owing to the incomplete or incorrect transposition of EU legislation; stresses that shortcomings in the implementation of provisions related to energy infrastructure and interconnections under Regulation (EU) 2022/869 and Regulation (EU) 2018/1999 further delay the integration of national energy systems and undermine the achievement of the EU’s energy and climate objectives; calls on the Commission to ensure a more coherent approach between infringement procedures, monitoring under Regulation (EU) 2018/1999, and technical support provided through the Technical Support Instrument, so as to address instances of non-compliance that stem from insufficient administrative capacity or lack of legal clarity; encourages the Commission to prioritise enforcement and guidance actions that facilitate the timely completion of projects of common interest and other cross-border infrastructure essential for the completion of the internal energy market and the Energy Union;</w:t>
      </w:r>
    </w:p>
    <w:p w14:paraId="5AE7E00B" w14:textId="3BDAC241" w:rsidR="00AD189F" w:rsidRPr="00273F73" w:rsidRDefault="00312F61" w:rsidP="00AD189F">
      <w:pPr>
        <w:pStyle w:val="NormalHanging12a"/>
      </w:pPr>
      <w:r>
        <w:t>51</w:t>
      </w:r>
      <w:r w:rsidR="00AD189F" w:rsidRPr="00273F73">
        <w:t>.</w:t>
      </w:r>
      <w:r w:rsidR="00AD189F" w:rsidRPr="00273F73">
        <w:tab/>
        <w:t>Urges Member States to fully and correctly transpose and implement Council Framework Decision 2008/913/JHA and the Digital Services Act, and calls on the Commission to continue pursuing infringement procedures in cases of systemic non-compliance; welcomes, in particular, the establishment of a new Unit at the Commission dealing with the implementation and enforcement of the Digital Services Act, which should enable concrete actions to be taken in respect of very large platforms that do not respect the law, as well as due follow-up regarding cooperation between the Commission and the national Digital Service Coordinators;</w:t>
      </w:r>
    </w:p>
    <w:p w14:paraId="0C8AFF15" w14:textId="525B06E3" w:rsidR="00AD189F" w:rsidRPr="00273F73" w:rsidRDefault="00312F61" w:rsidP="00AD189F">
      <w:pPr>
        <w:pStyle w:val="NormalHanging12a"/>
      </w:pPr>
      <w:r>
        <w:t>52</w:t>
      </w:r>
      <w:r w:rsidR="00AD189F" w:rsidRPr="00273F73">
        <w:t>.</w:t>
      </w:r>
      <w:r w:rsidR="00AD189F" w:rsidRPr="00273F73">
        <w:tab/>
        <w:t>Highlights the fact that, in the field of agriculture, the Common Agricultural Policy (CAP) represents the largest share of the EU budget, with 31 % of the total expenditure for the period 2021-2027; emphasises that it is crucial for EU legislation and the CAP control systems to be effectively implemented and enforced at both EU and national levels, to ensure that the financial interests of the EU and its citizens are effectively protected against any misuse of EU funds, which could adversely affect farmers and the public image of this policy; points out that land grabbing and misuse of subsidies have occurred in certain Member States owing to violations of EU Law, corrupt practices, or the involvement of organised crime; stresses that correct implementation of EU law, together with effective monitoring and control measures, is needed to combat such abuses; highlights, in this context, the lack of transparency and public access to data regarding the distribution of agricultural subsidies; expresses concern that judicial cooperation, despite the numerous legal instruments established in the area of asset recovery, is still hindered by significant differences between national legal systems and a lack of harmonised regulations; emphasises that the EU Financial Regulation</w:t>
      </w:r>
      <w:r w:rsidR="000940B8">
        <w:rPr>
          <w:rStyle w:val="FootnoteReference"/>
        </w:rPr>
        <w:footnoteReference w:id="18"/>
      </w:r>
      <w:r w:rsidR="00AD189F" w:rsidRPr="00273F73">
        <w:t>, particularly Article 61 thereof, must be respected and enforced in all Member States and applied to all EU fund payments, including direct payments for agriculture;</w:t>
      </w:r>
    </w:p>
    <w:p w14:paraId="4B68907C" w14:textId="0924130D" w:rsidR="00AD189F" w:rsidRPr="00273F73" w:rsidRDefault="00312F61" w:rsidP="00AD189F">
      <w:pPr>
        <w:pStyle w:val="NormalHanging12a"/>
      </w:pPr>
      <w:r>
        <w:t>53</w:t>
      </w:r>
      <w:r w:rsidR="00AD189F" w:rsidRPr="00273F73">
        <w:t>.</w:t>
      </w:r>
      <w:r w:rsidR="00AD189F" w:rsidRPr="00273F73">
        <w:tab/>
        <w:t xml:space="preserve">Recalls, in the field of audiovisual and media policy and culture, the importance of the timely and effective implementation of regulatory instruments, in particular the </w:t>
      </w:r>
      <w:r w:rsidR="00AD189F" w:rsidRPr="00273F73">
        <w:lastRenderedPageBreak/>
        <w:t>European Media Freedom Act</w:t>
      </w:r>
      <w:r w:rsidR="000940B8">
        <w:rPr>
          <w:rStyle w:val="FootnoteReference"/>
        </w:rPr>
        <w:footnoteReference w:id="19"/>
      </w:r>
      <w:r w:rsidR="00AD189F" w:rsidRPr="00273F73">
        <w:t>, as a means to ensure a sustainable, pluralistic and resilient media ecosystem, capable of countering disinformation; emphasises the necessity of implementing financial instruments within their annual programming periods in a manner consistent with the criteria established under Regulation (EU) 2021/818</w:t>
      </w:r>
      <w:r w:rsidR="000940B8">
        <w:rPr>
          <w:rStyle w:val="FootnoteReference"/>
        </w:rPr>
        <w:footnoteReference w:id="20"/>
      </w:r>
      <w:r w:rsidR="00AD189F" w:rsidRPr="00273F73">
        <w:t>, in particular with regard to the Creative Europe Programme 2021–2027, whose primary mission is to support the cultural sector and to safeguard the independence and artistic freedom of creators; calls on the Commission to conduct a comprehensive and balanced evaluation of the Audiovisual Media Services Directive</w:t>
      </w:r>
      <w:r w:rsidR="000940B8">
        <w:rPr>
          <w:rStyle w:val="FootnoteReference"/>
        </w:rPr>
        <w:footnoteReference w:id="21"/>
      </w:r>
      <w:r w:rsidR="00AD189F" w:rsidRPr="00273F73">
        <w:t>, as the main instrument regulating audiovisual and media content in the EU;</w:t>
      </w:r>
    </w:p>
    <w:p w14:paraId="057BC64F" w14:textId="47FB925E" w:rsidR="00AD189F" w:rsidRPr="00273F73" w:rsidRDefault="00312F61" w:rsidP="00AD189F">
      <w:pPr>
        <w:pStyle w:val="NormalHanging12a"/>
      </w:pPr>
      <w:r>
        <w:t>54</w:t>
      </w:r>
      <w:r w:rsidR="00AD189F" w:rsidRPr="00273F73">
        <w:t>.</w:t>
      </w:r>
      <w:r w:rsidR="00AD189F" w:rsidRPr="00273F73">
        <w:tab/>
        <w:t xml:space="preserve">Calls on the Commission to ensure the uniform application and effective enforcement of internal market rules across all sectors; expresses serious concern about coercive buy-out practices imposed on European creators, in </w:t>
      </w:r>
      <w:proofErr w:type="spellStart"/>
      <w:r w:rsidR="00AD189F" w:rsidRPr="00273F73">
        <w:t>particularom</w:t>
      </w:r>
      <w:proofErr w:type="spellEnd"/>
      <w:r w:rsidR="00AD189F" w:rsidRPr="00273F73">
        <w:t xml:space="preserve"> of under contracts based on foreign laws and jurisdictions that may circumvent EU standards on appropriate and proportionate remuneration; urges the Commission to introduce a dedicated legislative proposal establishing safeguards to prevent such circumvention and to ensure that European creators can effectively rely on and enforce their rights under EU law;</w:t>
      </w:r>
    </w:p>
    <w:p w14:paraId="78736F55" w14:textId="192B0647" w:rsidR="00AD189F" w:rsidRPr="00273F73" w:rsidRDefault="00312F61" w:rsidP="00AD189F">
      <w:pPr>
        <w:pStyle w:val="NormalHanging12a"/>
      </w:pPr>
      <w:r>
        <w:t>55</w:t>
      </w:r>
      <w:r w:rsidR="00AD189F" w:rsidRPr="00273F73">
        <w:t>.</w:t>
      </w:r>
      <w:r w:rsidR="00AD189F" w:rsidRPr="00273F73">
        <w:tab/>
        <w:t xml:space="preserve">Notes with concern persistent shortcomings in the transposition and implementation of key legal instruments relating to asylum, migration, data protection, judicial cooperation and law </w:t>
      </w:r>
      <w:proofErr w:type="gramStart"/>
      <w:r w:rsidR="00AD189F" w:rsidRPr="00273F73">
        <w:t>enforcement;</w:t>
      </w:r>
      <w:proofErr w:type="gramEnd"/>
    </w:p>
    <w:p w14:paraId="7F82F747" w14:textId="229C9B60" w:rsidR="00AD189F" w:rsidRPr="00273F73" w:rsidRDefault="00312F61" w:rsidP="00AD189F">
      <w:pPr>
        <w:pStyle w:val="NormalHanging12a"/>
      </w:pPr>
      <w:r>
        <w:t>56</w:t>
      </w:r>
      <w:r w:rsidR="00AD189F" w:rsidRPr="00273F73">
        <w:t>.</w:t>
      </w:r>
      <w:r w:rsidR="00AD189F" w:rsidRPr="00273F73">
        <w:tab/>
        <w:t>Notes the absence of reporting on the application of the EU gender equality strategy 2020-2025, on its actions to combat discrimination, including through the EU Accessibility Act</w:t>
      </w:r>
      <w:r w:rsidR="000940B8">
        <w:rPr>
          <w:rStyle w:val="FootnoteReference"/>
        </w:rPr>
        <w:footnoteReference w:id="22"/>
      </w:r>
      <w:r w:rsidR="00AD189F" w:rsidRPr="00273F73">
        <w:t>, as well as on its EU youth strategy; recalls its commitment to achieve the targets of the European Pillar of Social Rights by 2030 for a strong social Europe that is fair, inclusive and full of opportunity; calls on the Commission to dedicate specific chapters on the implementation of these important policy fields in its future reporting; recommends that it include detailed information on combating hate crimes, on gender mainstreaming and on the systematic application of youth tests in its policy making;</w:t>
      </w:r>
    </w:p>
    <w:p w14:paraId="5E55521B" w14:textId="77777777" w:rsidR="00AD189F" w:rsidRPr="00273F73" w:rsidRDefault="00AD189F" w:rsidP="00AD189F">
      <w:pPr>
        <w:pStyle w:val="NormalCenter12a"/>
      </w:pPr>
      <w:r w:rsidRPr="00273F73">
        <w:t>°</w:t>
      </w:r>
    </w:p>
    <w:p w14:paraId="0A3BC4A2" w14:textId="77777777" w:rsidR="00AD189F" w:rsidRPr="00273F73" w:rsidRDefault="00AD189F" w:rsidP="00AD189F">
      <w:pPr>
        <w:pStyle w:val="NormalCenter12a"/>
      </w:pPr>
      <w:r w:rsidRPr="00273F73">
        <w:lastRenderedPageBreak/>
        <w:t>°</w:t>
      </w:r>
      <w:r w:rsidRPr="00273F73">
        <w:tab/>
        <w:t>°</w:t>
      </w:r>
    </w:p>
    <w:p w14:paraId="31F320C4" w14:textId="6D017396" w:rsidR="00273F73" w:rsidRPr="00273F73" w:rsidRDefault="00312F61" w:rsidP="00273F73">
      <w:pPr>
        <w:pStyle w:val="NormalHanging12a"/>
      </w:pPr>
      <w:r>
        <w:t>57</w:t>
      </w:r>
      <w:r w:rsidR="00AD189F" w:rsidRPr="00273F73">
        <w:t>.</w:t>
      </w:r>
      <w:r w:rsidR="00AD189F" w:rsidRPr="00273F73">
        <w:tab/>
        <w:t>Instructs its President to forward this resolution to the Council and the Commission.</w:t>
      </w:r>
    </w:p>
    <w:p w14:paraId="0C3634E7" w14:textId="29A0C8FA" w:rsidR="00E365E1" w:rsidRPr="00273F73" w:rsidRDefault="00E365E1" w:rsidP="00525084"/>
    <w:sectPr w:rsidR="00E365E1" w:rsidRPr="00273F73" w:rsidSect="00273F7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6C6D1" w14:textId="77777777" w:rsidR="00525084" w:rsidRPr="00273F73" w:rsidRDefault="00525084">
      <w:r w:rsidRPr="00273F73">
        <w:separator/>
      </w:r>
    </w:p>
  </w:endnote>
  <w:endnote w:type="continuationSeparator" w:id="0">
    <w:p w14:paraId="1116D5CD" w14:textId="77777777" w:rsidR="00525084" w:rsidRPr="00273F73" w:rsidRDefault="00525084">
      <w:r w:rsidRPr="00273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5402" w14:textId="77777777" w:rsidR="00064002" w:rsidRPr="00273F7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AB93" w14:textId="77777777" w:rsidR="00064002" w:rsidRPr="00273F7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64876" w14:textId="77777777" w:rsidR="00064002" w:rsidRPr="00273F7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92D94" w14:textId="77777777" w:rsidR="00525084" w:rsidRPr="00273F73" w:rsidRDefault="00525084">
      <w:r w:rsidRPr="00273F73">
        <w:separator/>
      </w:r>
    </w:p>
  </w:footnote>
  <w:footnote w:type="continuationSeparator" w:id="0">
    <w:p w14:paraId="1984B612" w14:textId="77777777" w:rsidR="00525084" w:rsidRPr="00273F73" w:rsidRDefault="00525084">
      <w:r w:rsidRPr="00273F73">
        <w:continuationSeparator/>
      </w:r>
    </w:p>
  </w:footnote>
  <w:footnote w:id="1">
    <w:p w14:paraId="1BC6F9D6" w14:textId="3E5D12AD"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 xml:space="preserve">OJ C, C/2024/4229, 24.7.2024, ELI: </w:t>
      </w:r>
      <w:hyperlink r:id="rId1" w:tgtFrame="http://data.europa.eu/eli/C/2024/4229/oj" w:history="1">
        <w:r w:rsidRPr="005F7560">
          <w:rPr>
            <w:rStyle w:val="Hyperlink"/>
            <w:sz w:val="24"/>
            <w:lang w:val="fi-FI"/>
          </w:rPr>
          <w:t>http://data.europa.eu/eli/C/2024/4229/oj</w:t>
        </w:r>
      </w:hyperlink>
      <w:r w:rsidRPr="005F7560">
        <w:rPr>
          <w:sz w:val="24"/>
          <w:lang w:val="fi-FI"/>
        </w:rPr>
        <w:t>.</w:t>
      </w:r>
    </w:p>
  </w:footnote>
  <w:footnote w:id="2">
    <w:p w14:paraId="2E3B0615" w14:textId="054C4A3D"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OJ C 86, 6.3.2018, p. 126.</w:t>
      </w:r>
    </w:p>
  </w:footnote>
  <w:footnote w:id="3">
    <w:p w14:paraId="46C937C9" w14:textId="2159B7A6"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 xml:space="preserve">OJ C, C/2024/4215, 24.7.2024, ELI: </w:t>
      </w:r>
      <w:hyperlink r:id="rId2" w:tgtFrame="http://data.europa.eu/eli/C/2024/4215/oj" w:history="1">
        <w:r w:rsidRPr="005F7560">
          <w:rPr>
            <w:rStyle w:val="Hyperlink"/>
            <w:sz w:val="24"/>
            <w:lang w:val="fi-FI"/>
          </w:rPr>
          <w:t>http://data.europa.eu/eli/C/2024/4215/oj</w:t>
        </w:r>
      </w:hyperlink>
      <w:r w:rsidRPr="005F7560">
        <w:rPr>
          <w:sz w:val="24"/>
          <w:lang w:val="fi-FI"/>
        </w:rPr>
        <w:t>.</w:t>
      </w:r>
    </w:p>
  </w:footnote>
  <w:footnote w:id="4">
    <w:p w14:paraId="62DFB1CB" w14:textId="758256F0"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 xml:space="preserve">OJ L 123, 12.5.2016, p. 1, ELI: </w:t>
      </w:r>
      <w:hyperlink r:id="rId3" w:tgtFrame="http://data.europa.eu/eli/agree_interinstit/2016/512/oj" w:history="1">
        <w:r w:rsidRPr="005F7560">
          <w:rPr>
            <w:rStyle w:val="Hyperlink"/>
            <w:sz w:val="24"/>
            <w:lang w:val="fi-FI"/>
          </w:rPr>
          <w:t>http://data.europa.eu/eli/agree_interinstit/2016/512/oj</w:t>
        </w:r>
      </w:hyperlink>
      <w:r w:rsidRPr="005F7560">
        <w:rPr>
          <w:sz w:val="24"/>
          <w:lang w:val="fi-FI"/>
        </w:rPr>
        <w:t>.</w:t>
      </w:r>
    </w:p>
  </w:footnote>
  <w:footnote w:id="5">
    <w:p w14:paraId="188BB978" w14:textId="620F1F99"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 xml:space="preserve">OJ C, C/2025/4414, 29.8.2025, ELI: </w:t>
      </w:r>
      <w:hyperlink r:id="rId4" w:tgtFrame="http://data.europa.eu/eli/C/2025/4414/oj" w:history="1">
        <w:r w:rsidRPr="005F7560">
          <w:rPr>
            <w:rStyle w:val="Hyperlink"/>
            <w:sz w:val="24"/>
            <w:lang w:val="fi-FI"/>
          </w:rPr>
          <w:t>http://data.europa.eu/eli/C/2025/4414/oj</w:t>
        </w:r>
      </w:hyperlink>
      <w:r w:rsidRPr="005F7560">
        <w:rPr>
          <w:sz w:val="24"/>
          <w:lang w:val="fi-FI"/>
        </w:rPr>
        <w:t>.</w:t>
      </w:r>
    </w:p>
  </w:footnote>
  <w:footnote w:id="6">
    <w:p w14:paraId="13C44B79" w14:textId="2283A940" w:rsidR="000940B8" w:rsidRPr="005F7560" w:rsidRDefault="000940B8" w:rsidP="00273F73">
      <w:pPr>
        <w:pStyle w:val="FootnoteText"/>
        <w:ind w:left="567" w:hanging="567"/>
        <w:rPr>
          <w:sz w:val="24"/>
          <w:lang w:val="fi-FI"/>
        </w:rPr>
      </w:pPr>
      <w:r w:rsidRPr="005F7560">
        <w:rPr>
          <w:rStyle w:val="FootnoteReference"/>
        </w:rPr>
        <w:footnoteRef/>
      </w:r>
      <w:r w:rsidRPr="005F7560">
        <w:rPr>
          <w:sz w:val="24"/>
          <w:vertAlign w:val="superscript"/>
          <w:lang w:val="fi-FI"/>
        </w:rPr>
        <w:t xml:space="preserve"> </w:t>
      </w:r>
      <w:r w:rsidRPr="005F7560">
        <w:rPr>
          <w:sz w:val="24"/>
          <w:vertAlign w:val="superscript"/>
          <w:lang w:val="fi-FI"/>
        </w:rPr>
        <w:tab/>
      </w:r>
      <w:r w:rsidRPr="005F7560">
        <w:rPr>
          <w:sz w:val="24"/>
          <w:lang w:val="fi-FI"/>
        </w:rPr>
        <w:t xml:space="preserve">OJ L 328, 6.12.2008, p. 55, ELI: </w:t>
      </w:r>
      <w:hyperlink r:id="rId5" w:tgtFrame="http://data.europa.eu/eli/dec_framw/2008/913/oj" w:history="1">
        <w:r w:rsidRPr="005F7560">
          <w:rPr>
            <w:rStyle w:val="Hyperlink"/>
            <w:sz w:val="24"/>
            <w:lang w:val="fi-FI"/>
          </w:rPr>
          <w:t>http://data.europa.eu/eli/dec_framw/2008/913/oj</w:t>
        </w:r>
      </w:hyperlink>
      <w:r w:rsidRPr="005F7560">
        <w:rPr>
          <w:sz w:val="24"/>
          <w:lang w:val="fi-FI"/>
        </w:rPr>
        <w:t>.</w:t>
      </w:r>
    </w:p>
  </w:footnote>
  <w:footnote w:id="7">
    <w:p w14:paraId="7FAD1ABF" w14:textId="48E57ACD"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6" w:tgtFrame="http://data.europa.eu/eli/reg/2022/2065/oj" w:history="1">
        <w:r w:rsidRPr="005F7560">
          <w:rPr>
            <w:rStyle w:val="Hyperlink"/>
            <w:sz w:val="24"/>
            <w:lang w:val="en-GB"/>
          </w:rPr>
          <w:t>http://data.europa.eu/eli/reg/2022/2065/oj</w:t>
        </w:r>
      </w:hyperlink>
      <w:r w:rsidRPr="005F7560">
        <w:rPr>
          <w:sz w:val="24"/>
          <w:lang w:val="en-GB"/>
        </w:rPr>
        <w:t>).</w:t>
      </w:r>
    </w:p>
  </w:footnote>
  <w:footnote w:id="8">
    <w:p w14:paraId="2C08ADF5" w14:textId="3540A518"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Commission communication of 11 February 2025 entitled ‘A simpler and faster Europe: Communication on implementation and simplification’ (</w:t>
      </w:r>
      <w:proofErr w:type="gramStart"/>
      <w:r w:rsidRPr="005F7560">
        <w:rPr>
          <w:lang w:val="en-GB"/>
        </w:rPr>
        <w:t>COM(</w:t>
      </w:r>
      <w:proofErr w:type="gramEnd"/>
      <w:r w:rsidRPr="005F7560">
        <w:rPr>
          <w:lang w:val="en-GB"/>
        </w:rPr>
        <w:t>2025)0047</w:t>
      </w:r>
      <w:r w:rsidRPr="005F7560">
        <w:rPr>
          <w:sz w:val="24"/>
          <w:lang w:val="en-GB"/>
        </w:rPr>
        <w:t>).</w:t>
      </w:r>
    </w:p>
  </w:footnote>
  <w:footnote w:id="9">
    <w:p w14:paraId="757BCD9D" w14:textId="12A36801" w:rsidR="00312F61" w:rsidRPr="005F7560" w:rsidRDefault="00312F61" w:rsidP="005F7560">
      <w:pPr>
        <w:pStyle w:val="FootnoteText"/>
        <w:keepLines w:val="0"/>
        <w:ind w:left="567" w:hanging="567"/>
        <w:rPr>
          <w:sz w:val="24"/>
          <w:szCs w:val="24"/>
          <w:lang w:val="en-GB"/>
        </w:rPr>
      </w:pPr>
      <w:r w:rsidRPr="005F7560">
        <w:rPr>
          <w:rStyle w:val="FootnoteReference"/>
          <w:sz w:val="24"/>
          <w:szCs w:val="24"/>
        </w:rPr>
        <w:footnoteRef/>
      </w:r>
      <w:r w:rsidRPr="005F7560">
        <w:rPr>
          <w:sz w:val="24"/>
          <w:szCs w:val="24"/>
          <w:lang w:val="en-GB"/>
        </w:rPr>
        <w:t xml:space="preserve"> </w:t>
      </w:r>
      <w:r w:rsidRPr="005F7560">
        <w:rPr>
          <w:sz w:val="24"/>
          <w:szCs w:val="24"/>
          <w:lang w:val="en-GB"/>
        </w:rPr>
        <w:tab/>
        <w:t xml:space="preserve">Directive 2011/93/EU of the European Parliament and of the Council of 13 December 2011 on combating the sexual abuse and sexual exploitation of children and child pornography, and replacing Council Framework Decision 2004/68/JHA (OJ L 335, 17.12.2011, p. 1, ELI: </w:t>
      </w:r>
      <w:hyperlink r:id="rId7" w:history="1">
        <w:r w:rsidRPr="005F7560">
          <w:rPr>
            <w:rStyle w:val="Hyperlink"/>
            <w:sz w:val="24"/>
            <w:szCs w:val="24"/>
            <w:lang w:val="en-GB"/>
          </w:rPr>
          <w:t>http://data.europa.eu/eli/dir/2011/93/oj</w:t>
        </w:r>
      </w:hyperlink>
      <w:r w:rsidRPr="005F7560">
        <w:rPr>
          <w:sz w:val="24"/>
          <w:szCs w:val="24"/>
          <w:lang w:val="en-GB"/>
        </w:rPr>
        <w:t>).</w:t>
      </w:r>
    </w:p>
  </w:footnote>
  <w:footnote w:id="10">
    <w:p w14:paraId="2F21BEFB" w14:textId="4DD1F291"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European Court of Auditors special report 13/2024: ‘Absorption of funds from the Recovery and Resilience Facility – Progressing with delays and risks remain regarding the completion of measures and therefore the achievement of RRF objectives’, Publications Office of the European Union, 2024.</w:t>
      </w:r>
    </w:p>
  </w:footnote>
  <w:footnote w:id="11">
    <w:p w14:paraId="210F528F" w14:textId="16B3A1E7"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Judgment of the Court of Justice of 11 November 2025, </w:t>
      </w:r>
      <w:r w:rsidRPr="005F7560">
        <w:rPr>
          <w:i/>
          <w:sz w:val="24"/>
          <w:lang w:val="en-GB"/>
        </w:rPr>
        <w:t>Denmark</w:t>
      </w:r>
      <w:r w:rsidRPr="005F7560">
        <w:rPr>
          <w:sz w:val="24"/>
          <w:lang w:val="en-GB"/>
        </w:rPr>
        <w:t xml:space="preserve"> v </w:t>
      </w:r>
      <w:r w:rsidRPr="005F7560">
        <w:rPr>
          <w:i/>
          <w:sz w:val="24"/>
          <w:lang w:val="en-GB"/>
        </w:rPr>
        <w:t>Parliament and Council</w:t>
      </w:r>
      <w:r w:rsidRPr="005F7560">
        <w:rPr>
          <w:sz w:val="24"/>
          <w:lang w:val="en-GB"/>
        </w:rPr>
        <w:t>, C-19/23, ECLI:EU:C:2025:865.</w:t>
      </w:r>
    </w:p>
  </w:footnote>
  <w:footnote w:id="12">
    <w:p w14:paraId="1E0B0322" w14:textId="12ADEA6F"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2022/2041 of the European Parliament and of the Council of 19 October 2022 on adequate minimum wages in the European Union (OJ L 275, 25.10.2022, p. 33, ELI: </w:t>
      </w:r>
      <w:hyperlink r:id="rId8" w:tgtFrame="http://data.europa.eu/eli/dir/2022/2041/oj" w:history="1">
        <w:r w:rsidRPr="005F7560">
          <w:rPr>
            <w:rStyle w:val="Hyperlink"/>
            <w:sz w:val="24"/>
            <w:lang w:val="en-GB"/>
          </w:rPr>
          <w:t>http://data.europa.eu/eli/dir/2022/2041/oj</w:t>
        </w:r>
      </w:hyperlink>
      <w:r w:rsidRPr="005F7560">
        <w:rPr>
          <w:rStyle w:val="Hyperlink"/>
          <w:sz w:val="24"/>
          <w:lang w:val="en-GB"/>
        </w:rPr>
        <w:t>)</w:t>
      </w:r>
      <w:r w:rsidRPr="005F7560">
        <w:rPr>
          <w:sz w:val="24"/>
          <w:lang w:val="en-GB"/>
        </w:rPr>
        <w:t>.</w:t>
      </w:r>
    </w:p>
  </w:footnote>
  <w:footnote w:id="13">
    <w:p w14:paraId="3E1514F2" w14:textId="4F847324"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2023/1791 of the European Parliament and of the Council of 13 September 2023 on energy efficiency and amending Regulation (EU) 2023/955 (OJ L 231, 20.9.2023, p. 1, ELI: </w:t>
      </w:r>
      <w:hyperlink r:id="rId9" w:tgtFrame="http://data.europa.eu/eli/dir/2023/1791/oj" w:history="1">
        <w:r w:rsidRPr="005F7560">
          <w:rPr>
            <w:rStyle w:val="Hyperlink"/>
            <w:sz w:val="24"/>
            <w:lang w:val="en-GB"/>
          </w:rPr>
          <w:t>http://data.europa.eu/eli/dir/2023/1791/oj</w:t>
        </w:r>
      </w:hyperlink>
      <w:r w:rsidRPr="005F7560">
        <w:rPr>
          <w:rStyle w:val="Hyperlink"/>
          <w:sz w:val="24"/>
          <w:lang w:val="en-GB"/>
        </w:rPr>
        <w:t>)</w:t>
      </w:r>
      <w:r w:rsidRPr="005F7560">
        <w:rPr>
          <w:sz w:val="24"/>
          <w:lang w:val="en-GB"/>
        </w:rPr>
        <w:t>.</w:t>
      </w:r>
    </w:p>
  </w:footnote>
  <w:footnote w:id="14">
    <w:p w14:paraId="45C00B3D" w14:textId="54ABDE37"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2023/2413 of the European Parliament and of the Council of 18 October 2023 amending Directive (EU) 2018/2001, Regulation (EU) 2018/1999 and Directive 98/70/EC as regards the promotion of energy from renewable sources, and repealing Council Directive (EU) 2015/652 (OJ L, 2023/2413, 31.10.2023, ELI: </w:t>
      </w:r>
      <w:hyperlink r:id="rId10" w:tgtFrame="http://data.europa.eu/eli/dir/2023/2413/oj" w:history="1">
        <w:r w:rsidRPr="005F7560">
          <w:rPr>
            <w:rStyle w:val="Hyperlink"/>
            <w:sz w:val="24"/>
            <w:lang w:val="en-GB"/>
          </w:rPr>
          <w:t>http://data.europa.eu/eli/dir/2023/2413/oj</w:t>
        </w:r>
      </w:hyperlink>
      <w:r w:rsidRPr="005F7560">
        <w:rPr>
          <w:rStyle w:val="Hyperlink"/>
          <w:sz w:val="24"/>
          <w:lang w:val="en-GB"/>
        </w:rPr>
        <w:t>)</w:t>
      </w:r>
      <w:r w:rsidRPr="005F7560">
        <w:rPr>
          <w:sz w:val="24"/>
          <w:lang w:val="en-GB"/>
        </w:rPr>
        <w:t>.</w:t>
      </w:r>
    </w:p>
  </w:footnote>
  <w:footnote w:id="15">
    <w:p w14:paraId="1ECDCCDF" w14:textId="00CF3B06"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2024/1275 of the European Parliament and of the Council of 24 April 2024 on the energy performance of buildings (OJ L, 2024/1275, 8.5.2024, ELI: </w:t>
      </w:r>
      <w:hyperlink r:id="rId11" w:tgtFrame="http://data.europa.eu/eli/dir/2024/1275/oj" w:history="1">
        <w:r w:rsidRPr="005F7560">
          <w:rPr>
            <w:rStyle w:val="Hyperlink"/>
            <w:sz w:val="24"/>
            <w:lang w:val="en-GB"/>
          </w:rPr>
          <w:t>http://data.europa.eu/eli/dir/2024/1275/oj</w:t>
        </w:r>
      </w:hyperlink>
      <w:r w:rsidRPr="005F7560">
        <w:rPr>
          <w:rStyle w:val="Hyperlink"/>
          <w:sz w:val="24"/>
          <w:lang w:val="en-GB"/>
        </w:rPr>
        <w:t>)</w:t>
      </w:r>
      <w:r w:rsidRPr="005F7560">
        <w:rPr>
          <w:sz w:val="24"/>
          <w:lang w:val="en-GB"/>
        </w:rPr>
        <w:t>.</w:t>
      </w:r>
    </w:p>
  </w:footnote>
  <w:footnote w:id="16">
    <w:p w14:paraId="0EC9947D" w14:textId="634D5D50"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2022/869 of the European Parliament and of the Council of 30 May 2022 on guidelines for trans-European energy infrastructure, amending Regulations (EC) No 715/2009, (EU) 2019/942 and (EU) 2019/943 and Directives 2009/73/EC and (EU) 2019/944, and repealing Regulation (EU) No 347/2013 (OJ L 152, 3.6.2022, p. 45, ELI: </w:t>
      </w:r>
      <w:hyperlink r:id="rId12" w:tgtFrame="http://data.europa.eu/eli/reg/2022/869/oj" w:history="1">
        <w:r w:rsidRPr="005F7560">
          <w:rPr>
            <w:rStyle w:val="Hyperlink"/>
            <w:sz w:val="24"/>
            <w:lang w:val="en-GB"/>
          </w:rPr>
          <w:t>http://data.europa.eu/eli/reg/2022/869/oj</w:t>
        </w:r>
      </w:hyperlink>
      <w:r w:rsidRPr="005F7560">
        <w:rPr>
          <w:rStyle w:val="Hyperlink"/>
          <w:sz w:val="24"/>
          <w:lang w:val="en-GB"/>
        </w:rPr>
        <w:t>)</w:t>
      </w:r>
      <w:r w:rsidRPr="005F7560">
        <w:rPr>
          <w:sz w:val="24"/>
          <w:lang w:val="en-GB"/>
        </w:rPr>
        <w:t>.</w:t>
      </w:r>
    </w:p>
  </w:footnote>
  <w:footnote w:id="17">
    <w:p w14:paraId="2692E369" w14:textId="2303931F"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(OJ L 328, 21.12.2018, p. 1, ELI: </w:t>
      </w:r>
      <w:hyperlink r:id="rId13" w:tgtFrame="http://data.europa.eu/eli/reg/2018/1999/oj" w:history="1">
        <w:r w:rsidRPr="005F7560">
          <w:rPr>
            <w:rStyle w:val="Hyperlink"/>
            <w:sz w:val="24"/>
            <w:lang w:val="en-GB"/>
          </w:rPr>
          <w:t>http://data.europa.eu/eli/reg/2018/1999/oj</w:t>
        </w:r>
      </w:hyperlink>
      <w:r w:rsidRPr="005F7560">
        <w:rPr>
          <w:rStyle w:val="Hyperlink"/>
          <w:sz w:val="24"/>
          <w:lang w:val="en-GB"/>
        </w:rPr>
        <w:t>)</w:t>
      </w:r>
      <w:r w:rsidRPr="005F7560">
        <w:rPr>
          <w:sz w:val="24"/>
          <w:lang w:val="en-GB"/>
        </w:rPr>
        <w:t>.</w:t>
      </w:r>
    </w:p>
  </w:footnote>
  <w:footnote w:id="18">
    <w:p w14:paraId="64ED82C0" w14:textId="00D6B69F"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Euratom) 2024/2509 of the European Parliament and of the Council of 23 September 2024 on the financial rules applicable to the general budget of the Union (OJ L, 2024/2509, 26.9.2024, ELI: </w:t>
      </w:r>
      <w:hyperlink r:id="rId14" w:tgtFrame="http://data.europa.eu/eli/reg/2024/2509/oj" w:history="1">
        <w:r w:rsidRPr="005F7560">
          <w:rPr>
            <w:rStyle w:val="Hyperlink"/>
            <w:sz w:val="24"/>
            <w:lang w:val="en-GB"/>
          </w:rPr>
          <w:t>http://data.europa.eu/eli/reg/2024/2509/oj</w:t>
        </w:r>
      </w:hyperlink>
      <w:r w:rsidRPr="005F7560">
        <w:rPr>
          <w:rStyle w:val="Hyperlink"/>
          <w:sz w:val="24"/>
          <w:lang w:val="en-GB"/>
        </w:rPr>
        <w:t>)</w:t>
      </w:r>
      <w:r w:rsidRPr="005F7560">
        <w:rPr>
          <w:sz w:val="24"/>
          <w:lang w:val="en-GB"/>
        </w:rPr>
        <w:t>.</w:t>
      </w:r>
    </w:p>
  </w:footnote>
  <w:footnote w:id="19">
    <w:p w14:paraId="24193B0A" w14:textId="0BAD7FB6"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15" w:tgtFrame="http://data.europa.eu/eli/reg/2024/1083/oj" w:history="1">
        <w:r w:rsidRPr="005F7560">
          <w:rPr>
            <w:rStyle w:val="Hyperlink"/>
            <w:sz w:val="24"/>
            <w:lang w:val="en-GB"/>
          </w:rPr>
          <w:t>http://data.europa.eu/eli/reg/2024/1083/oj</w:t>
        </w:r>
      </w:hyperlink>
      <w:r w:rsidRPr="005F7560">
        <w:rPr>
          <w:rStyle w:val="Hyperlink"/>
          <w:sz w:val="24"/>
          <w:lang w:val="en-GB"/>
        </w:rPr>
        <w:t>)</w:t>
      </w:r>
      <w:r w:rsidRPr="005F7560">
        <w:rPr>
          <w:sz w:val="24"/>
          <w:lang w:val="en-GB"/>
        </w:rPr>
        <w:t>.</w:t>
      </w:r>
    </w:p>
  </w:footnote>
  <w:footnote w:id="20">
    <w:p w14:paraId="345F5ACF" w14:textId="3667E1EF"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Regulation (EU) 2021/818 of the European Parliament and of the Council of 20 May 2021 establishing the Creative Europe Programme (2021 to 2027) and repealing Regulation (EU) No 1295/2013 (OJ L 189, </w:t>
      </w:r>
      <w:r w:rsidR="004445D6" w:rsidRPr="005F7560">
        <w:rPr>
          <w:sz w:val="24"/>
          <w:lang w:val="en-GB"/>
        </w:rPr>
        <w:t xml:space="preserve">28.5.2021, </w:t>
      </w:r>
      <w:r w:rsidRPr="005F7560">
        <w:rPr>
          <w:sz w:val="24"/>
          <w:lang w:val="en-GB"/>
        </w:rPr>
        <w:t xml:space="preserve">p. 34, ELI: </w:t>
      </w:r>
      <w:hyperlink r:id="rId16" w:tgtFrame="http://data.europa.eu/eli/reg/2021/818/oj" w:history="1">
        <w:r w:rsidRPr="005F7560">
          <w:rPr>
            <w:rStyle w:val="Hyperlink"/>
            <w:sz w:val="24"/>
            <w:lang w:val="en-GB"/>
          </w:rPr>
          <w:t>http://data.europa.eu/eli/reg/2021/818/oj</w:t>
        </w:r>
      </w:hyperlink>
      <w:r w:rsidRPr="005F7560">
        <w:rPr>
          <w:rStyle w:val="Hyperlink"/>
          <w:sz w:val="24"/>
          <w:lang w:val="en-GB"/>
        </w:rPr>
        <w:t>)</w:t>
      </w:r>
      <w:r w:rsidRPr="005F7560">
        <w:rPr>
          <w:sz w:val="24"/>
          <w:lang w:val="en-GB"/>
        </w:rPr>
        <w:t>.</w:t>
      </w:r>
    </w:p>
  </w:footnote>
  <w:footnote w:id="21">
    <w:p w14:paraId="2BA8953C" w14:textId="300C93DF" w:rsidR="000940B8" w:rsidRPr="005F7560"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(OJ L 303, 28.11.2018, p. 69, ELI: </w:t>
      </w:r>
      <w:hyperlink r:id="rId17" w:tgtFrame="http://data.europa.eu/eli/dir/2018/1808/oj" w:history="1">
        <w:r w:rsidRPr="005F7560">
          <w:rPr>
            <w:rStyle w:val="Hyperlink"/>
            <w:sz w:val="24"/>
            <w:lang w:val="en-GB"/>
          </w:rPr>
          <w:t>http://data.europa.eu/eli/dir/2018/1808/oj</w:t>
        </w:r>
      </w:hyperlink>
      <w:r w:rsidRPr="005F7560">
        <w:rPr>
          <w:rStyle w:val="Hyperlink"/>
          <w:sz w:val="24"/>
          <w:lang w:val="en-GB"/>
        </w:rPr>
        <w:t>)</w:t>
      </w:r>
      <w:r w:rsidRPr="005F7560">
        <w:rPr>
          <w:sz w:val="24"/>
          <w:lang w:val="en-GB"/>
        </w:rPr>
        <w:t>.</w:t>
      </w:r>
    </w:p>
  </w:footnote>
  <w:footnote w:id="22">
    <w:p w14:paraId="482B01CE" w14:textId="4568DF97" w:rsidR="000940B8" w:rsidRPr="00273F73" w:rsidRDefault="000940B8" w:rsidP="00273F73">
      <w:pPr>
        <w:pStyle w:val="FootnoteText"/>
        <w:ind w:left="567" w:hanging="567"/>
        <w:rPr>
          <w:sz w:val="24"/>
          <w:lang w:val="en-GB"/>
        </w:rPr>
      </w:pPr>
      <w:r w:rsidRPr="005F7560">
        <w:rPr>
          <w:rStyle w:val="FootnoteReference"/>
        </w:rPr>
        <w:footnoteRef/>
      </w:r>
      <w:r w:rsidRPr="005F7560">
        <w:rPr>
          <w:sz w:val="24"/>
          <w:vertAlign w:val="superscript"/>
          <w:lang w:val="en-GB"/>
        </w:rPr>
        <w:t xml:space="preserve"> </w:t>
      </w:r>
      <w:r w:rsidRPr="005F7560">
        <w:rPr>
          <w:sz w:val="24"/>
          <w:vertAlign w:val="superscript"/>
          <w:lang w:val="en-GB"/>
        </w:rPr>
        <w:tab/>
      </w:r>
      <w:r w:rsidRPr="005F7560">
        <w:rPr>
          <w:sz w:val="24"/>
          <w:lang w:val="en-GB"/>
        </w:rPr>
        <w:t xml:space="preserve">Directive (EU) 2019/882 of the European Parliament and of the Council of 17 April 2019 on the accessibility requirements for products and services (OJ L 151, 7.6.2019, p. 70, ELI: </w:t>
      </w:r>
      <w:hyperlink r:id="rId18" w:tgtFrame="http://data.europa.eu/eli/dir/2019/882/oj" w:history="1">
        <w:r w:rsidRPr="005F7560">
          <w:rPr>
            <w:rStyle w:val="Hyperlink"/>
            <w:sz w:val="24"/>
            <w:lang w:val="en-GB"/>
          </w:rPr>
          <w:t>http://data.europa.eu/eli/dir/2019/882/oj</w:t>
        </w:r>
      </w:hyperlink>
      <w:r w:rsidRPr="005F7560">
        <w:rPr>
          <w:rStyle w:val="Hyperlink"/>
          <w:sz w:val="24"/>
          <w:lang w:val="en-GB"/>
        </w:rPr>
        <w:t>)</w:t>
      </w:r>
      <w:r w:rsidRPr="005F756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3F1F" w14:textId="77777777" w:rsidR="00064002" w:rsidRPr="00273F7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3B47" w14:textId="77777777" w:rsidR="00064002" w:rsidRPr="00273F7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0A9B" w14:textId="77777777" w:rsidR="00064002" w:rsidRPr="00273F7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08149215">
    <w:abstractNumId w:val="9"/>
  </w:num>
  <w:num w:numId="2" w16cid:durableId="1744063949">
    <w:abstractNumId w:val="9"/>
  </w:num>
  <w:num w:numId="3" w16cid:durableId="246232483">
    <w:abstractNumId w:val="7"/>
  </w:num>
  <w:num w:numId="4" w16cid:durableId="1029380612">
    <w:abstractNumId w:val="7"/>
  </w:num>
  <w:num w:numId="5" w16cid:durableId="741176096">
    <w:abstractNumId w:val="6"/>
  </w:num>
  <w:num w:numId="6" w16cid:durableId="797454264">
    <w:abstractNumId w:val="6"/>
  </w:num>
  <w:num w:numId="7" w16cid:durableId="873273943">
    <w:abstractNumId w:val="5"/>
  </w:num>
  <w:num w:numId="8" w16cid:durableId="527572149">
    <w:abstractNumId w:val="5"/>
  </w:num>
  <w:num w:numId="9" w16cid:durableId="1964192375">
    <w:abstractNumId w:val="4"/>
  </w:num>
  <w:num w:numId="10" w16cid:durableId="1604877632">
    <w:abstractNumId w:val="4"/>
  </w:num>
  <w:num w:numId="11" w16cid:durableId="1300069150">
    <w:abstractNumId w:val="8"/>
  </w:num>
  <w:num w:numId="12" w16cid:durableId="660811796">
    <w:abstractNumId w:val="8"/>
  </w:num>
  <w:num w:numId="13" w16cid:durableId="246157258">
    <w:abstractNumId w:val="3"/>
  </w:num>
  <w:num w:numId="14" w16cid:durableId="1821382854">
    <w:abstractNumId w:val="3"/>
  </w:num>
  <w:num w:numId="15" w16cid:durableId="313142433">
    <w:abstractNumId w:val="2"/>
  </w:num>
  <w:num w:numId="16" w16cid:durableId="1064445897">
    <w:abstractNumId w:val="2"/>
  </w:num>
  <w:num w:numId="17" w16cid:durableId="1518959981">
    <w:abstractNumId w:val="1"/>
  </w:num>
  <w:num w:numId="18" w16cid:durableId="1052390272">
    <w:abstractNumId w:val="1"/>
  </w:num>
  <w:num w:numId="19" w16cid:durableId="733772647">
    <w:abstractNumId w:val="0"/>
  </w:num>
  <w:num w:numId="20" w16cid:durableId="368723434">
    <w:abstractNumId w:val="0"/>
  </w:num>
  <w:num w:numId="21" w16cid:durableId="1818721899">
    <w:abstractNumId w:val="9"/>
  </w:num>
  <w:num w:numId="22" w16cid:durableId="372734772">
    <w:abstractNumId w:val="7"/>
  </w:num>
  <w:num w:numId="23" w16cid:durableId="1467163869">
    <w:abstractNumId w:val="6"/>
  </w:num>
  <w:num w:numId="24" w16cid:durableId="958026504">
    <w:abstractNumId w:val="5"/>
  </w:num>
  <w:num w:numId="25" w16cid:durableId="1873954176">
    <w:abstractNumId w:val="4"/>
  </w:num>
  <w:num w:numId="26" w16cid:durableId="360325515">
    <w:abstractNumId w:val="8"/>
  </w:num>
  <w:num w:numId="27" w16cid:durableId="1464302669">
    <w:abstractNumId w:val="3"/>
  </w:num>
  <w:num w:numId="28" w16cid:durableId="339509225">
    <w:abstractNumId w:val="2"/>
  </w:num>
  <w:num w:numId="29" w16cid:durableId="1170829517">
    <w:abstractNumId w:val="1"/>
  </w:num>
  <w:num w:numId="30" w16cid:durableId="1158502812">
    <w:abstractNumId w:val="0"/>
  </w:num>
  <w:num w:numId="31" w16cid:durableId="1660763312">
    <w:abstractNumId w:val="9"/>
  </w:num>
  <w:num w:numId="32" w16cid:durableId="526525942">
    <w:abstractNumId w:val="7"/>
  </w:num>
  <w:num w:numId="33" w16cid:durableId="1949309817">
    <w:abstractNumId w:val="6"/>
  </w:num>
  <w:num w:numId="34" w16cid:durableId="1080172410">
    <w:abstractNumId w:val="5"/>
  </w:num>
  <w:num w:numId="35" w16cid:durableId="1439253290">
    <w:abstractNumId w:val="4"/>
  </w:num>
  <w:num w:numId="36" w16cid:durableId="32076310">
    <w:abstractNumId w:val="8"/>
  </w:num>
  <w:num w:numId="37" w16cid:durableId="102381820">
    <w:abstractNumId w:val="3"/>
  </w:num>
  <w:num w:numId="38" w16cid:durableId="1836334341">
    <w:abstractNumId w:val="2"/>
  </w:num>
  <w:num w:numId="39" w16cid:durableId="1549755353">
    <w:abstractNumId w:val="1"/>
  </w:num>
  <w:num w:numId="40" w16cid:durableId="1861778969">
    <w:abstractNumId w:val="0"/>
  </w:num>
  <w:num w:numId="41" w16cid:durableId="1182814827">
    <w:abstractNumId w:val="10"/>
  </w:num>
  <w:num w:numId="42" w16cid:durableId="185339256">
    <w:abstractNumId w:val="10"/>
  </w:num>
  <w:num w:numId="43" w16cid:durableId="525949901">
    <w:abstractNumId w:val="10"/>
  </w:num>
  <w:num w:numId="44" w16cid:durableId="1927225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7/2026"/>
    <w:docVar w:name="dvlangue" w:val="EN"/>
    <w:docVar w:name="dvnumam" w:val="14"/>
    <w:docVar w:name="dvpe" w:val="778.115"/>
    <w:docVar w:name="dvrapporteur" w:val="Rapporteur: "/>
    <w:docVar w:name="dvtitre" w:val="European Parliament resolution of xx Xxxx 2026 on monitoring the application of European Union law in 2023, 2024 and 2025(2025/2016(INI))"/>
  </w:docVars>
  <w:rsids>
    <w:rsidRoot w:val="00525084"/>
    <w:rsid w:val="00002272"/>
    <w:rsid w:val="00064002"/>
    <w:rsid w:val="000677B9"/>
    <w:rsid w:val="000831BA"/>
    <w:rsid w:val="000940B8"/>
    <w:rsid w:val="000A42CC"/>
    <w:rsid w:val="000E7DD9"/>
    <w:rsid w:val="0010095E"/>
    <w:rsid w:val="00125B37"/>
    <w:rsid w:val="00187494"/>
    <w:rsid w:val="001F32AE"/>
    <w:rsid w:val="00273F73"/>
    <w:rsid w:val="002767FF"/>
    <w:rsid w:val="002B18FE"/>
    <w:rsid w:val="002B5493"/>
    <w:rsid w:val="00312F61"/>
    <w:rsid w:val="00343214"/>
    <w:rsid w:val="00361C00"/>
    <w:rsid w:val="00395FA1"/>
    <w:rsid w:val="003E15D4"/>
    <w:rsid w:val="00411CCE"/>
    <w:rsid w:val="0041666E"/>
    <w:rsid w:val="00421060"/>
    <w:rsid w:val="004445D6"/>
    <w:rsid w:val="00471C19"/>
    <w:rsid w:val="004867E3"/>
    <w:rsid w:val="00494A28"/>
    <w:rsid w:val="004C0004"/>
    <w:rsid w:val="004C5D52"/>
    <w:rsid w:val="0050519A"/>
    <w:rsid w:val="005072A1"/>
    <w:rsid w:val="00514517"/>
    <w:rsid w:val="00525084"/>
    <w:rsid w:val="00545827"/>
    <w:rsid w:val="00560270"/>
    <w:rsid w:val="005C2568"/>
    <w:rsid w:val="005F1B17"/>
    <w:rsid w:val="005F7560"/>
    <w:rsid w:val="006037C0"/>
    <w:rsid w:val="006631B6"/>
    <w:rsid w:val="00680577"/>
    <w:rsid w:val="006F74FA"/>
    <w:rsid w:val="00731099"/>
    <w:rsid w:val="00731ADD"/>
    <w:rsid w:val="00734777"/>
    <w:rsid w:val="00747932"/>
    <w:rsid w:val="00751A4A"/>
    <w:rsid w:val="00756632"/>
    <w:rsid w:val="00762C74"/>
    <w:rsid w:val="00786EC0"/>
    <w:rsid w:val="007D1690"/>
    <w:rsid w:val="007E22AD"/>
    <w:rsid w:val="00817416"/>
    <w:rsid w:val="00842779"/>
    <w:rsid w:val="00865F67"/>
    <w:rsid w:val="008707E0"/>
    <w:rsid w:val="00881A7B"/>
    <w:rsid w:val="008840E5"/>
    <w:rsid w:val="00887B3E"/>
    <w:rsid w:val="008C2AC6"/>
    <w:rsid w:val="00911A81"/>
    <w:rsid w:val="00930C23"/>
    <w:rsid w:val="0093193B"/>
    <w:rsid w:val="009509D8"/>
    <w:rsid w:val="00950B64"/>
    <w:rsid w:val="00981893"/>
    <w:rsid w:val="00A1687D"/>
    <w:rsid w:val="00A43E52"/>
    <w:rsid w:val="00A4678D"/>
    <w:rsid w:val="00A778C7"/>
    <w:rsid w:val="00AB441E"/>
    <w:rsid w:val="00AB6293"/>
    <w:rsid w:val="00AD189F"/>
    <w:rsid w:val="00AE0928"/>
    <w:rsid w:val="00AF040F"/>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192E7"/>
  <w15:chartTrackingRefBased/>
  <w15:docId w15:val="{EF7AB796-2563-4650-AB8C-F682EDF5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AD189F"/>
    <w:pPr>
      <w:widowControl/>
      <w:spacing w:after="240"/>
    </w:pPr>
    <w:rPr>
      <w:szCs w:val="24"/>
      <w:lang w:eastAsia="en-US"/>
    </w:rPr>
  </w:style>
  <w:style w:type="paragraph" w:customStyle="1" w:styleId="NormalHanging12a">
    <w:name w:val="NormalHanging12a"/>
    <w:basedOn w:val="Normal"/>
    <w:rsid w:val="00AD189F"/>
    <w:pPr>
      <w:widowControl/>
      <w:spacing w:after="240"/>
      <w:ind w:left="566" w:hanging="566"/>
    </w:pPr>
    <w:rPr>
      <w:szCs w:val="24"/>
      <w:lang w:eastAsia="en-US"/>
    </w:rPr>
  </w:style>
  <w:style w:type="paragraph" w:customStyle="1" w:styleId="Normal12">
    <w:name w:val="Normal12"/>
    <w:basedOn w:val="Normal"/>
    <w:rsid w:val="00AD189F"/>
    <w:pPr>
      <w:widowControl/>
      <w:spacing w:after="240"/>
    </w:pPr>
    <w:rPr>
      <w:szCs w:val="24"/>
      <w:lang w:eastAsia="en-US"/>
    </w:rPr>
  </w:style>
  <w:style w:type="paragraph" w:customStyle="1" w:styleId="NormalHanging">
    <w:name w:val="NormalHanging"/>
    <w:basedOn w:val="Normal"/>
    <w:rsid w:val="00AD189F"/>
    <w:pPr>
      <w:widowControl/>
      <w:spacing w:after="240"/>
      <w:ind w:left="566" w:hanging="566"/>
    </w:pPr>
    <w:rPr>
      <w:szCs w:val="24"/>
      <w:lang w:eastAsia="en-US"/>
    </w:rPr>
  </w:style>
  <w:style w:type="paragraph" w:customStyle="1" w:styleId="NormalCenter12a">
    <w:name w:val="NormalCenter12a"/>
    <w:basedOn w:val="Normal"/>
    <w:rsid w:val="00AD189F"/>
    <w:pPr>
      <w:widowControl/>
      <w:spacing w:after="240"/>
      <w:jc w:val="center"/>
    </w:pPr>
    <w:rPr>
      <w:szCs w:val="24"/>
      <w:lang w:eastAsia="en-US"/>
    </w:rPr>
  </w:style>
  <w:style w:type="character" w:styleId="Hyperlink">
    <w:name w:val="Hyperlink"/>
    <w:basedOn w:val="DefaultParagraphFont"/>
    <w:rsid w:val="00AD189F"/>
    <w:rPr>
      <w:color w:val="0000FF"/>
      <w:u w:val="single"/>
    </w:rPr>
  </w:style>
  <w:style w:type="paragraph" w:styleId="Revision">
    <w:name w:val="Revision"/>
    <w:hidden/>
    <w:uiPriority w:val="99"/>
    <w:semiHidden/>
    <w:rsid w:val="000940B8"/>
    <w:rPr>
      <w:sz w:val="24"/>
    </w:rPr>
  </w:style>
  <w:style w:type="character" w:styleId="CommentReference">
    <w:name w:val="annotation reference"/>
    <w:basedOn w:val="DefaultParagraphFont"/>
    <w:rsid w:val="000940B8"/>
    <w:rPr>
      <w:sz w:val="16"/>
      <w:szCs w:val="16"/>
    </w:rPr>
  </w:style>
  <w:style w:type="paragraph" w:styleId="CommentText">
    <w:name w:val="annotation text"/>
    <w:basedOn w:val="Normal"/>
    <w:link w:val="CommentTextChar"/>
    <w:rsid w:val="000940B8"/>
    <w:rPr>
      <w:sz w:val="20"/>
    </w:rPr>
  </w:style>
  <w:style w:type="character" w:customStyle="1" w:styleId="CommentTextChar">
    <w:name w:val="Comment Text Char"/>
    <w:basedOn w:val="DefaultParagraphFont"/>
    <w:link w:val="CommentText"/>
    <w:rsid w:val="000940B8"/>
  </w:style>
  <w:style w:type="paragraph" w:styleId="CommentSubject">
    <w:name w:val="annotation subject"/>
    <w:basedOn w:val="CommentText"/>
    <w:next w:val="CommentText"/>
    <w:link w:val="CommentSubjectChar"/>
    <w:rsid w:val="000940B8"/>
    <w:rPr>
      <w:b/>
      <w:bCs/>
    </w:rPr>
  </w:style>
  <w:style w:type="character" w:customStyle="1" w:styleId="CommentSubjectChar">
    <w:name w:val="Comment Subject Char"/>
    <w:basedOn w:val="CommentTextChar"/>
    <w:link w:val="CommentSubject"/>
    <w:rsid w:val="000940B8"/>
    <w:rPr>
      <w:b/>
      <w:bCs/>
    </w:rPr>
  </w:style>
  <w:style w:type="character" w:styleId="FollowedHyperlink">
    <w:name w:val="FollowedHyperlink"/>
    <w:basedOn w:val="DefaultParagraphFont"/>
    <w:rsid w:val="004445D6"/>
    <w:rPr>
      <w:color w:val="954F72" w:themeColor="followedHyperlink"/>
      <w:u w:val="single"/>
    </w:rPr>
  </w:style>
  <w:style w:type="character" w:styleId="UnresolvedMention">
    <w:name w:val="Unresolved Mention"/>
    <w:basedOn w:val="DefaultParagraphFont"/>
    <w:uiPriority w:val="99"/>
    <w:semiHidden/>
    <w:unhideWhenUsed/>
    <w:rsid w:val="00312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22/2041/oj" TargetMode="External"/><Relationship Id="rId13" Type="http://schemas.openxmlformats.org/officeDocument/2006/relationships/hyperlink" Target="http://data.europa.eu/eli/reg/2018/1999/oj" TargetMode="External"/><Relationship Id="rId18" Type="http://schemas.openxmlformats.org/officeDocument/2006/relationships/hyperlink" Target="http://data.europa.eu/eli/dir/2019/882/oj" TargetMode="External"/><Relationship Id="rId3" Type="http://schemas.openxmlformats.org/officeDocument/2006/relationships/hyperlink" Target="http://data.europa.eu/eli/agree_interinstit/2016/512/oj" TargetMode="External"/><Relationship Id="rId7" Type="http://schemas.openxmlformats.org/officeDocument/2006/relationships/hyperlink" Target="http://data.europa.eu/eli/dir/2011/93/oj" TargetMode="External"/><Relationship Id="rId12" Type="http://schemas.openxmlformats.org/officeDocument/2006/relationships/hyperlink" Target="http://data.europa.eu/eli/reg/2022/869/oj" TargetMode="External"/><Relationship Id="rId17" Type="http://schemas.openxmlformats.org/officeDocument/2006/relationships/hyperlink" Target="http://data.europa.eu/eli/dir/2018/1808/oj" TargetMode="External"/><Relationship Id="rId2" Type="http://schemas.openxmlformats.org/officeDocument/2006/relationships/hyperlink" Target="http://data.europa.eu/eli/C/2024/4215/oj" TargetMode="External"/><Relationship Id="rId16" Type="http://schemas.openxmlformats.org/officeDocument/2006/relationships/hyperlink" Target="http://data.europa.eu/eli/reg/2021/818/oj" TargetMode="External"/><Relationship Id="rId1" Type="http://schemas.openxmlformats.org/officeDocument/2006/relationships/hyperlink" Target="http://data.europa.eu/eli/C/2024/4229/oj" TargetMode="External"/><Relationship Id="rId6" Type="http://schemas.openxmlformats.org/officeDocument/2006/relationships/hyperlink" Target="http://data.europa.eu/eli/reg/2022/2065/oj" TargetMode="External"/><Relationship Id="rId11" Type="http://schemas.openxmlformats.org/officeDocument/2006/relationships/hyperlink" Target="http://data.europa.eu/eli/dir/2024/1275/oj" TargetMode="External"/><Relationship Id="rId5" Type="http://schemas.openxmlformats.org/officeDocument/2006/relationships/hyperlink" Target="http://data.europa.eu/eli/dec_framw/2008/913/oj" TargetMode="External"/><Relationship Id="rId15" Type="http://schemas.openxmlformats.org/officeDocument/2006/relationships/hyperlink" Target="http://data.europa.eu/eli/reg/2024/1083/oj" TargetMode="External"/><Relationship Id="rId10" Type="http://schemas.openxmlformats.org/officeDocument/2006/relationships/hyperlink" Target="http://data.europa.eu/eli/dir/2023/2413/oj" TargetMode="External"/><Relationship Id="rId4" Type="http://schemas.openxmlformats.org/officeDocument/2006/relationships/hyperlink" Target="http://data.europa.eu/eli/C/2025/4414/oj" TargetMode="External"/><Relationship Id="rId9" Type="http://schemas.openxmlformats.org/officeDocument/2006/relationships/hyperlink" Target="http://data.europa.eu/eli/dir/2023/1791/oj" TargetMode="External"/><Relationship Id="rId14"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7360</Words>
  <Characters>43216</Characters>
  <Application>Microsoft Office Word</Application>
  <DocSecurity>0</DocSecurity>
  <Lines>645</Lines>
  <Paragraphs>120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2026-04-29T13:36:00Z</dcterms:created>
  <dcterms:modified xsi:type="dcterms:W3CDTF">2026-04-29T13:36:00Z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A10-0037/2026</vt:lpwstr>
  </property>
  <property fmtid="{D5CDD505-2E9C-101B-9397-08002B2CF9AE}" pid="4" name="&lt;Type&gt;">
    <vt:lpwstr>RR</vt:lpwstr>
  </property>
</Properties>
</file>