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6F5B" w14:paraId="6B02B24D" w14:textId="77777777" w:rsidTr="0010095E">
        <w:trPr>
          <w:trHeight w:hRule="exact" w:val="1418"/>
        </w:trPr>
        <w:tc>
          <w:tcPr>
            <w:tcW w:w="6804" w:type="dxa"/>
            <w:shd w:val="clear" w:color="auto" w:fill="auto"/>
            <w:vAlign w:val="center"/>
          </w:tcPr>
          <w:p w14:paraId="43009617" w14:textId="44CE9FAC" w:rsidR="00751A4A" w:rsidRPr="002B6F5B" w:rsidRDefault="0075087D" w:rsidP="0010095E">
            <w:pPr>
              <w:pStyle w:val="EPName"/>
            </w:pPr>
            <w:r w:rsidRPr="002B6F5B">
              <w:t>Европейски</w:t>
            </w:r>
            <w:r w:rsidR="00825C65" w:rsidRPr="002B6F5B">
              <w:t xml:space="preserve"> парламент</w:t>
            </w:r>
          </w:p>
          <w:p w14:paraId="088ACCD2" w14:textId="76910838" w:rsidR="00751A4A" w:rsidRPr="002B6F5B" w:rsidRDefault="005F1B17" w:rsidP="005F1B17">
            <w:pPr>
              <w:pStyle w:val="EPTerm"/>
              <w:rPr>
                <w:rStyle w:val="HideTWBExt"/>
                <w:noProof w:val="0"/>
                <w:vanish w:val="0"/>
                <w:color w:val="auto"/>
              </w:rPr>
            </w:pPr>
            <w:r w:rsidRPr="002B6F5B">
              <w:t>2024</w:t>
            </w:r>
            <w:r w:rsidR="0075087D">
              <w:t> – </w:t>
            </w:r>
            <w:r w:rsidR="00817416" w:rsidRPr="002B6F5B">
              <w:t>202</w:t>
            </w:r>
            <w:r w:rsidRPr="002B6F5B">
              <w:t>9</w:t>
            </w:r>
          </w:p>
        </w:tc>
        <w:tc>
          <w:tcPr>
            <w:tcW w:w="2268" w:type="dxa"/>
            <w:shd w:val="clear" w:color="auto" w:fill="auto"/>
          </w:tcPr>
          <w:p w14:paraId="4FE04D4F" w14:textId="77777777" w:rsidR="00751A4A" w:rsidRPr="002B6F5B" w:rsidRDefault="00187494" w:rsidP="0010095E">
            <w:pPr>
              <w:pStyle w:val="EPLogo"/>
            </w:pPr>
            <w:r w:rsidRPr="002B6F5B">
              <w:rPr>
                <w:noProof/>
                <w:lang w:eastAsia="ja-JP"/>
              </w:rPr>
              <w:drawing>
                <wp:inline distT="0" distB="0" distL="0" distR="0" wp14:anchorId="010A66EC" wp14:editId="071B27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7F35AC" w14:textId="77777777" w:rsidR="00D058B8" w:rsidRPr="002B6F5B" w:rsidRDefault="00D058B8" w:rsidP="004C5D52">
      <w:pPr>
        <w:pStyle w:val="LineTop"/>
      </w:pPr>
    </w:p>
    <w:p w14:paraId="683AF181" w14:textId="77777777" w:rsidR="00680577" w:rsidRPr="002B6F5B" w:rsidRDefault="00825C65" w:rsidP="00680577">
      <w:pPr>
        <w:pStyle w:val="EPBodyTA1"/>
      </w:pPr>
      <w:r w:rsidRPr="002B6F5B">
        <w:t>ПРИЕТИ ТЕКСТОВЕ</w:t>
      </w:r>
    </w:p>
    <w:p w14:paraId="384FE2E4" w14:textId="77777777" w:rsidR="00D058B8" w:rsidRPr="002B6F5B" w:rsidRDefault="00D058B8" w:rsidP="00D058B8">
      <w:pPr>
        <w:pStyle w:val="LineBottom"/>
      </w:pPr>
    </w:p>
    <w:p w14:paraId="6BC0166C" w14:textId="2B991356" w:rsidR="00825C65" w:rsidRPr="002B6F5B" w:rsidRDefault="00825C65" w:rsidP="00825C65">
      <w:pPr>
        <w:pStyle w:val="ATHeading1"/>
      </w:pPr>
      <w:bookmarkStart w:id="0" w:name="TANumber"/>
      <w:r w:rsidRPr="002B6F5B">
        <w:t>P10_TA(2026)0</w:t>
      </w:r>
      <w:r w:rsidR="00011985">
        <w:t>149</w:t>
      </w:r>
      <w:bookmarkEnd w:id="0"/>
    </w:p>
    <w:p w14:paraId="43292605" w14:textId="77777777" w:rsidR="00825C65" w:rsidRPr="002B6F5B" w:rsidRDefault="00825C65" w:rsidP="00825C65">
      <w:pPr>
        <w:pStyle w:val="ATHeading2"/>
      </w:pPr>
      <w:bookmarkStart w:id="1" w:name="title"/>
      <w:r w:rsidRPr="002B6F5B">
        <w:t>Защита на предприятията, работните места и продуктите от ЕС от нелоялна конкуренция от страна на трети държави</w:t>
      </w:r>
      <w:bookmarkEnd w:id="1"/>
    </w:p>
    <w:p w14:paraId="1CA4602A" w14:textId="77777777" w:rsidR="00825C65" w:rsidRPr="002B6F5B" w:rsidRDefault="00825C65" w:rsidP="00825C65">
      <w:pPr>
        <w:rPr>
          <w:i/>
          <w:vanish/>
        </w:rPr>
      </w:pPr>
      <w:r w:rsidRPr="002B6F5B">
        <w:rPr>
          <w:i/>
        </w:rPr>
        <w:fldChar w:fldCharType="begin"/>
      </w:r>
      <w:r w:rsidRPr="002B6F5B">
        <w:rPr>
          <w:i/>
        </w:rPr>
        <w:instrText xml:space="preserve"> TC"(</w:instrText>
      </w:r>
      <w:bookmarkStart w:id="2" w:name="DocNumber"/>
      <w:r w:rsidRPr="002B6F5B">
        <w:rPr>
          <w:i/>
        </w:rPr>
        <w:instrText>B10-0185/2026</w:instrText>
      </w:r>
      <w:bookmarkEnd w:id="2"/>
      <w:r w:rsidRPr="002B6F5B">
        <w:rPr>
          <w:i/>
        </w:rPr>
        <w:instrText xml:space="preserve">)"\l3 \n&gt; \* MERGEFORMAT </w:instrText>
      </w:r>
      <w:r w:rsidRPr="002B6F5B">
        <w:rPr>
          <w:i/>
        </w:rPr>
        <w:fldChar w:fldCharType="end"/>
      </w:r>
    </w:p>
    <w:p w14:paraId="6909F6A2" w14:textId="77777777" w:rsidR="00825C65" w:rsidRPr="002B6F5B" w:rsidRDefault="00825C65" w:rsidP="00825C65">
      <w:pPr>
        <w:rPr>
          <w:vanish/>
        </w:rPr>
      </w:pPr>
      <w:bookmarkStart w:id="3" w:name="PE"/>
      <w:r w:rsidRPr="002B6F5B">
        <w:rPr>
          <w:vanish/>
        </w:rPr>
        <w:t>PE779.388</w:t>
      </w:r>
      <w:bookmarkEnd w:id="3"/>
    </w:p>
    <w:p w14:paraId="5C072D9A" w14:textId="245BE2E6" w:rsidR="00825C65" w:rsidRPr="002B6F5B" w:rsidRDefault="00825C65" w:rsidP="0075087D">
      <w:pPr>
        <w:pStyle w:val="ATHeading3"/>
      </w:pPr>
      <w:bookmarkStart w:id="4" w:name="Sujet"/>
      <w:r w:rsidRPr="002B6F5B">
        <w:t xml:space="preserve">Резолюция на Европейския парламент от </w:t>
      </w:r>
      <w:r w:rsidR="00063F2C">
        <w:t>29 април</w:t>
      </w:r>
      <w:r w:rsidR="00063F2C" w:rsidRPr="002B6F5B">
        <w:t xml:space="preserve"> </w:t>
      </w:r>
      <w:r w:rsidRPr="002B6F5B">
        <w:t>2026 г. относно защитата на дружествата, работните места и продуктите от ЕС срещу нелоялна конкуренция от държави извън ЕС</w:t>
      </w:r>
      <w:bookmarkEnd w:id="4"/>
      <w:r w:rsidRPr="002B6F5B">
        <w:t xml:space="preserve"> </w:t>
      </w:r>
      <w:bookmarkStart w:id="5" w:name="References"/>
      <w:r w:rsidRPr="002B6F5B">
        <w:t>(2025/2955(RSP))</w:t>
      </w:r>
      <w:bookmarkEnd w:id="5"/>
    </w:p>
    <w:p w14:paraId="16471E07" w14:textId="77777777" w:rsidR="00283229" w:rsidRPr="002B6F5B" w:rsidRDefault="00283229" w:rsidP="00283229">
      <w:pPr>
        <w:pStyle w:val="EPComma"/>
      </w:pPr>
      <w:bookmarkStart w:id="6" w:name="TextBodyBegin"/>
      <w:bookmarkEnd w:id="6"/>
      <w:r w:rsidRPr="002B6F5B">
        <w:rPr>
          <w:i/>
        </w:rPr>
        <w:t>Европейският парламент</w:t>
      </w:r>
      <w:r w:rsidRPr="002B6F5B">
        <w:t>,</w:t>
      </w:r>
    </w:p>
    <w:p w14:paraId="41579DA1" w14:textId="76F5673C" w:rsidR="00283229" w:rsidRPr="002B6F5B" w:rsidRDefault="00283229" w:rsidP="00283229">
      <w:pPr>
        <w:pStyle w:val="NormalHanging12a"/>
        <w:rPr>
          <w:rFonts w:eastAsiaTheme="minorHAnsi"/>
        </w:rPr>
      </w:pPr>
      <w:r w:rsidRPr="002B6F5B">
        <w:t>–</w:t>
      </w:r>
      <w:r w:rsidRPr="002B6F5B">
        <w:tab/>
        <w:t>като взе предвид петиции № 0072/2025 и 0956/2025,</w:t>
      </w:r>
    </w:p>
    <w:p w14:paraId="5946EDF9" w14:textId="77777777" w:rsidR="00283229" w:rsidRPr="002B6F5B" w:rsidRDefault="00283229" w:rsidP="00283229">
      <w:pPr>
        <w:pStyle w:val="NormalHanging12a"/>
      </w:pPr>
      <w:r w:rsidRPr="002B6F5B">
        <w:t>–</w:t>
      </w:r>
      <w:r w:rsidRPr="002B6F5B">
        <w:tab/>
        <w:t>като взе предвид Регламент (ЕС) № 952/2013 на Европейския парламент и на Съвета от 9 октомври 2013 г. за създаване на Митнически кодекс на Съюза</w:t>
      </w:r>
      <w:r w:rsidRPr="002B6F5B">
        <w:rPr>
          <w:rStyle w:val="FootnoteReference"/>
          <w:color w:val="000000"/>
        </w:rPr>
        <w:footnoteReference w:id="1"/>
      </w:r>
      <w:r w:rsidRPr="002B6F5B">
        <w:t xml:space="preserve"> и Регламент за изпълнение (ЕС) 2025/512 на Комисията от 13 март 2025 г. относно техническите разпоредби за разработването, поддръжката и използването на електронните системи за обмен и съхранение на информация съгласно Регламент (ЕС) № 952/2013 на Европейския парламент и на Съвета</w:t>
      </w:r>
      <w:r w:rsidRPr="002B6F5B">
        <w:rPr>
          <w:rStyle w:val="FootnoteReference"/>
          <w:color w:val="000000"/>
        </w:rPr>
        <w:footnoteReference w:id="2"/>
      </w:r>
      <w:r w:rsidRPr="002B6F5B">
        <w:t>,</w:t>
      </w:r>
    </w:p>
    <w:p w14:paraId="1124440C" w14:textId="77777777" w:rsidR="00283229" w:rsidRPr="002B6F5B" w:rsidRDefault="00283229" w:rsidP="00283229">
      <w:pPr>
        <w:pStyle w:val="NormalHanging12a"/>
      </w:pPr>
      <w:r w:rsidRPr="002B6F5B">
        <w:t>–</w:t>
      </w:r>
      <w:r w:rsidRPr="002B6F5B">
        <w:tab/>
        <w:t>като взе предвид 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w:t>
      </w:r>
      <w:r w:rsidRPr="002B6F5B">
        <w:rPr>
          <w:rStyle w:val="FootnoteReference"/>
          <w:color w:val="000000"/>
        </w:rPr>
        <w:footnoteReference w:id="3"/>
      </w:r>
      <w:r w:rsidRPr="002B6F5B">
        <w:t>,</w:t>
      </w:r>
    </w:p>
    <w:p w14:paraId="37534AFD" w14:textId="77777777" w:rsidR="00283229" w:rsidRPr="002B6F5B" w:rsidRDefault="00283229" w:rsidP="00283229">
      <w:pPr>
        <w:pStyle w:val="NormalHanging12a"/>
      </w:pPr>
      <w:r w:rsidRPr="002B6F5B">
        <w:t>–</w:t>
      </w:r>
      <w:r w:rsidRPr="002B6F5B">
        <w:tab/>
        <w:t>като взе предвид Регламент (ЕС) 2023/988 на Европейския парламент и на Съвета от 10 май 2023 г. относно общата безопасност на продуктите, за изменение на Регламент (ЕС) № 1025/2012 на Европейския парламент и на Съвета и на Директива (ЕС) 2020/1828 на Европейския парламент и на Съвета, и за отмяна на Директива 2001/95/ЕО на Европейския парламент и на Съвета и на Директива 87/357/ЕИО на Съвета</w:t>
      </w:r>
      <w:r w:rsidRPr="002B6F5B">
        <w:rPr>
          <w:rStyle w:val="FootnoteReference"/>
          <w:color w:val="000000"/>
        </w:rPr>
        <w:footnoteReference w:id="4"/>
      </w:r>
      <w:r w:rsidRPr="002B6F5B">
        <w:t>,</w:t>
      </w:r>
    </w:p>
    <w:p w14:paraId="1170A275" w14:textId="77777777" w:rsidR="00283229" w:rsidRPr="002B6F5B" w:rsidRDefault="00283229" w:rsidP="00283229">
      <w:pPr>
        <w:pStyle w:val="NormalHanging12a"/>
      </w:pPr>
      <w:r w:rsidRPr="002B6F5B">
        <w:t>–</w:t>
      </w:r>
      <w:r w:rsidRPr="002B6F5B">
        <w:tab/>
        <w:t>като взе предвид Регламент (ЕС) 2019/1020 на Европейския парламент и на Съвета от 20 юни 2019 г. относно надзора на пазара и съответствието на продуктите и за изменение на Директива 2004/42/ЕО и регламенти (ЕО) № 765/2008 и (ЕС) № 305/2011</w:t>
      </w:r>
      <w:r w:rsidRPr="002B6F5B">
        <w:rPr>
          <w:rStyle w:val="FootnoteReference"/>
          <w:color w:val="000000"/>
        </w:rPr>
        <w:footnoteReference w:id="5"/>
      </w:r>
      <w:r w:rsidRPr="002B6F5B">
        <w:t>,</w:t>
      </w:r>
    </w:p>
    <w:p w14:paraId="29150E1D" w14:textId="77777777" w:rsidR="00283229" w:rsidRPr="002B6F5B" w:rsidRDefault="00283229" w:rsidP="00283229">
      <w:pPr>
        <w:pStyle w:val="NormalHanging12a"/>
      </w:pPr>
      <w:r w:rsidRPr="002B6F5B">
        <w:lastRenderedPageBreak/>
        <w:t>–</w:t>
      </w:r>
      <w:r w:rsidRPr="002B6F5B">
        <w:tab/>
        <w:t>като взе предвид Регламент (ЕО) № 765/2008 на Европейския парламент и на Съвета от 9 юли 2008 година за определяне на изискванията за акредитация и надзор на пазара във връзка с предлагането на пазара на продукти и за отмяна на Регламент (ЕИО) № 339/93</w:t>
      </w:r>
      <w:r w:rsidRPr="002B6F5B">
        <w:rPr>
          <w:rStyle w:val="FootnoteReference"/>
          <w:color w:val="000000"/>
        </w:rPr>
        <w:footnoteReference w:id="6"/>
      </w:r>
      <w:r w:rsidRPr="002B6F5B">
        <w:t>,</w:t>
      </w:r>
    </w:p>
    <w:p w14:paraId="27CB3D70" w14:textId="77777777" w:rsidR="00283229" w:rsidRPr="002B6F5B" w:rsidRDefault="00283229" w:rsidP="00283229">
      <w:pPr>
        <w:pStyle w:val="NormalHanging12a"/>
      </w:pPr>
      <w:r w:rsidRPr="002B6F5B">
        <w:t>–</w:t>
      </w:r>
      <w:r w:rsidRPr="002B6F5B">
        <w:tab/>
        <w:t>като взе предвид Регламент (ЕС) 2024/3015 на Европейския парламент и на Съвета от 27 ноември 2024 г. за забрана на пазара на Съюза на продукти, произведени с принудителен труд, и за изменение на Директива (ЕС) 2019/1937</w:t>
      </w:r>
      <w:r w:rsidRPr="002B6F5B">
        <w:rPr>
          <w:rStyle w:val="FootnoteReference"/>
          <w:color w:val="000000"/>
        </w:rPr>
        <w:footnoteReference w:id="7"/>
      </w:r>
      <w:r w:rsidRPr="002B6F5B">
        <w:t>,</w:t>
      </w:r>
    </w:p>
    <w:p w14:paraId="3B00AF6E" w14:textId="77777777" w:rsidR="00283229" w:rsidRPr="002B6F5B" w:rsidRDefault="00283229" w:rsidP="00283229">
      <w:pPr>
        <w:pStyle w:val="NormalHanging12a"/>
      </w:pPr>
      <w:r w:rsidRPr="002B6F5B">
        <w:t>–</w:t>
      </w:r>
      <w:r w:rsidRPr="002B6F5B">
        <w:tab/>
        <w:t>като взе предвид съобщението на Комисията от 5 февруари 2025 г., озаглавено „Всеобхватен инструментариум на ЕС за безопасна и устойчива електронна търговия“ (COM(2025)0037),</w:t>
      </w:r>
    </w:p>
    <w:p w14:paraId="2456DC37" w14:textId="77777777" w:rsidR="00283229" w:rsidRPr="002B6F5B" w:rsidRDefault="00283229" w:rsidP="00283229">
      <w:pPr>
        <w:pStyle w:val="NormalHanging12a"/>
      </w:pPr>
      <w:r w:rsidRPr="002B6F5B">
        <w:t>–</w:t>
      </w:r>
      <w:r w:rsidRPr="002B6F5B">
        <w:tab/>
        <w:t>като взе предвид своята резолюция от 9 юли 2025 г. относно безопасността на продуктите и спазването на регулаторните изисквания при електронната търговия и вноса от държави извън ЕС</w:t>
      </w:r>
      <w:r w:rsidRPr="002B6F5B">
        <w:rPr>
          <w:rStyle w:val="FootnoteReference"/>
          <w:color w:val="000000"/>
        </w:rPr>
        <w:footnoteReference w:id="8"/>
      </w:r>
      <w:r w:rsidRPr="002B6F5B">
        <w:t>,</w:t>
      </w:r>
    </w:p>
    <w:p w14:paraId="334AE7DF" w14:textId="77777777" w:rsidR="00283229" w:rsidRPr="002B6F5B" w:rsidRDefault="00283229" w:rsidP="00283229">
      <w:pPr>
        <w:pStyle w:val="NormalHanging12a"/>
      </w:pPr>
      <w:r w:rsidRPr="002B6F5B">
        <w:t>–</w:t>
      </w:r>
      <w:r w:rsidRPr="002B6F5B">
        <w:tab/>
        <w:t>като взе предвид член 233, параграф 2 от своя Правилник за дейността,</w:t>
      </w:r>
    </w:p>
    <w:p w14:paraId="5BAE3133" w14:textId="77777777" w:rsidR="00283229" w:rsidRPr="002B6F5B" w:rsidRDefault="00283229" w:rsidP="00283229">
      <w:pPr>
        <w:pStyle w:val="NormalHanging12a"/>
      </w:pPr>
      <w:r w:rsidRPr="002B6F5B">
        <w:t>А.</w:t>
      </w:r>
      <w:r w:rsidRPr="002B6F5B">
        <w:rPr>
          <w:i/>
        </w:rPr>
        <w:tab/>
      </w:r>
      <w:r w:rsidRPr="002B6F5B">
        <w:t>като има предвид, че нелоялната конкуренция от страна на вноса, пуснат на пазара на ЕС, може да възникне, когато продуктите се продават на изкуствено ниски цени в резултат на дъмпинг, нарушаващи търговията субсидии, структурен свръхкапацитет, регулаторни асиметрии, включително по-ниски стандарти в областта на околната среда, устойчивостта и труда, подвеждащи търговски практики или заобикаляне на приложимите стандарти за здраве и безопасност; като има предвид, че подобни практики противоречат на ангажимента на ЕС за справедлива и устойчива световна търговска система, подкопават позицията на производителите от ЕС, които извършват дейност съгласно високи регулаторни изисквания и изисквания за устойчивост, и могат да причинят значителни икономически вреди на стратегическите промишлени екосистеми на вътрешния пазар, като същевременно оказват отрицателно въздействие върху потребителите;</w:t>
      </w:r>
    </w:p>
    <w:p w14:paraId="44A24D8A" w14:textId="77777777" w:rsidR="00283229" w:rsidRPr="002B6F5B" w:rsidRDefault="00283229" w:rsidP="00283229">
      <w:pPr>
        <w:pStyle w:val="NormalHanging12a"/>
      </w:pPr>
      <w:r w:rsidRPr="002B6F5B">
        <w:t>Б.</w:t>
      </w:r>
      <w:r w:rsidRPr="002B6F5B">
        <w:tab/>
        <w:t>като има предвид, че неотдавнашните смущения в световната търговска система рискуват да отклонят излишното производство към пазара на ЕС и да нарушат условията на конкуренция;</w:t>
      </w:r>
    </w:p>
    <w:p w14:paraId="21858312" w14:textId="77777777" w:rsidR="00283229" w:rsidRPr="002B6F5B" w:rsidRDefault="00283229" w:rsidP="00283229">
      <w:pPr>
        <w:pStyle w:val="NormalHanging12a"/>
      </w:pPr>
      <w:r w:rsidRPr="002B6F5B">
        <w:t>В.</w:t>
      </w:r>
      <w:r w:rsidRPr="002B6F5B">
        <w:tab/>
        <w:t>като има предвид, че държавните субсидии и промишленият свръхкапацитет в Китай в сектори като стоманодобива, електрониката и слънчевите панели рискуват да подкопаят предприятията от ЕС, което прави все по-трудно за производителите от ЕС да се конкурират по отношение на цените; като има предвид, че както е посочено в доклада на Драги</w:t>
      </w:r>
      <w:r w:rsidRPr="002B6F5B">
        <w:rPr>
          <w:rStyle w:val="FootnoteReference"/>
          <w:color w:val="000000"/>
        </w:rPr>
        <w:footnoteReference w:id="9"/>
      </w:r>
      <w:r w:rsidRPr="002B6F5B">
        <w:t xml:space="preserve">, Китай вече доминира в световния износ на чисти технологии и се очаква в бъдеще да поддържа значителен свръхкапацитет в областта на слънчевите фотоволтаични уредби, акумулаторните клетки и електрическите превозни средства, отчасти благодарение на държавни субсидии, които са четири пъти по-високи, отколкото </w:t>
      </w:r>
      <w:r w:rsidRPr="002B6F5B">
        <w:lastRenderedPageBreak/>
        <w:t>в други големи икономики, съчетани с ниски производствени разходи;</w:t>
      </w:r>
    </w:p>
    <w:p w14:paraId="1A021E83" w14:textId="77777777" w:rsidR="00283229" w:rsidRPr="002B6F5B" w:rsidRDefault="00283229" w:rsidP="00283229">
      <w:pPr>
        <w:pStyle w:val="NormalHanging12a"/>
      </w:pPr>
      <w:r w:rsidRPr="002B6F5B">
        <w:t>Г.</w:t>
      </w:r>
      <w:r w:rsidRPr="002B6F5B">
        <w:tab/>
        <w:t>като има предвид, че Комисията вече разполага с набор от инструменти за търговска защита, включително предпазни мерки, които ѝ позволяват да защитава работните места и дружествата в ЕС в случаи на нелоялна конкуренция, нарушаване на пазара или дъмпинг; като има предвид, че ЕС по-специално приложи тези мерки по отношение на китайските електрически превозни средства след констатации за несправедливо държавно субсидиране;</w:t>
      </w:r>
    </w:p>
    <w:p w14:paraId="5E593A51" w14:textId="77777777" w:rsidR="00283229" w:rsidRPr="002B6F5B" w:rsidRDefault="00283229" w:rsidP="00283229">
      <w:pPr>
        <w:pStyle w:val="NormalHanging12a"/>
      </w:pPr>
      <w:r w:rsidRPr="002B6F5B">
        <w:t>Д.</w:t>
      </w:r>
      <w:r w:rsidRPr="002B6F5B">
        <w:tab/>
        <w:t>като има предвид, че някои онлайн платформи извън ЕС се разрастват бързо на пазара на ЕС, като в някои случаи се ползват от държавна подкрепа, предлагат стоки на много ниски цени, които подбиват цените на предприятията от ЕС, по-специално на малките и средните предприятия (МСП), като същевременно пускат на пазара значителни количества продукти, които не отговарят на стандартите на ЕС в областта на безопасността, опазването на околната среда и химикалите, създават рискове за потребителите и причиняват икономически вреди;</w:t>
      </w:r>
    </w:p>
    <w:p w14:paraId="201F0E25" w14:textId="77777777" w:rsidR="00283229" w:rsidRPr="0075087D" w:rsidRDefault="00283229" w:rsidP="00283229">
      <w:pPr>
        <w:pStyle w:val="NormalHanging12a"/>
      </w:pPr>
      <w:r w:rsidRPr="0075087D">
        <w:rPr>
          <w:rStyle w:val="Strong"/>
          <w:b w:val="0"/>
          <w:bCs w:val="0"/>
          <w:color w:val="000000"/>
        </w:rPr>
        <w:t>Е.</w:t>
      </w:r>
      <w:r w:rsidRPr="0075087D">
        <w:rPr>
          <w:rStyle w:val="Strong"/>
          <w:b w:val="0"/>
          <w:bCs w:val="0"/>
          <w:color w:val="000000"/>
        </w:rPr>
        <w:tab/>
        <w:t>като има предвид, че тази нелоялна конкуренция често е свързана с по-ниски трудови стандарти, слаба защита на околната среда и нарушения на правата на работниците, което противоречи на ангажимента на ЕС за справедлива и устойчива търговия и подкопава конкурентоспособността и устойчивостта на иновативните микро-, малки и средни предприятия (ММСП) в ЕС, които спазват правилата на ЕС</w:t>
      </w:r>
      <w:r w:rsidRPr="0075087D">
        <w:t>;</w:t>
      </w:r>
    </w:p>
    <w:p w14:paraId="626E5750" w14:textId="77777777" w:rsidR="00283229" w:rsidRPr="002B6F5B" w:rsidRDefault="00283229" w:rsidP="00283229">
      <w:pPr>
        <w:pStyle w:val="NormalHanging12a"/>
      </w:pPr>
      <w:r w:rsidRPr="002B6F5B">
        <w:t>Ж.</w:t>
      </w:r>
      <w:r w:rsidRPr="002B6F5B">
        <w:tab/>
        <w:t>като има предвид, че рязкото нарастване на вноса чрез електронна търговия с ниска стойност, улеснено по-специално от освобождаването от мита за пратки на стойност под 150 EUR, идващи до голяма степен от Китай, оказва значителен натиск върху митническите органи и органите за надзор на пазара, като по този начин ограничава капацитета им за ефективно прилагане на правилата на ЕС относно онлайн продажбите;</w:t>
      </w:r>
    </w:p>
    <w:p w14:paraId="3E1888E8" w14:textId="77777777" w:rsidR="00283229" w:rsidRPr="002B6F5B" w:rsidRDefault="00283229" w:rsidP="00283229">
      <w:pPr>
        <w:pStyle w:val="NormalHanging12a"/>
      </w:pPr>
      <w:r w:rsidRPr="0075087D">
        <w:rPr>
          <w:rStyle w:val="Strong"/>
          <w:b w:val="0"/>
          <w:bCs w:val="0"/>
          <w:color w:val="000000"/>
        </w:rPr>
        <w:t>З.</w:t>
      </w:r>
      <w:r w:rsidRPr="0075087D">
        <w:rPr>
          <w:rStyle w:val="Strong"/>
          <w:b w:val="0"/>
          <w:bCs w:val="0"/>
          <w:color w:val="000000"/>
        </w:rPr>
        <w:tab/>
        <w:t>като има предвид</w:t>
      </w:r>
      <w:r w:rsidRPr="002B6F5B">
        <w:t xml:space="preserve">, че нарастващ брой стоки, </w:t>
      </w:r>
      <w:r w:rsidRPr="0075087D">
        <w:rPr>
          <w:rStyle w:val="Strong"/>
          <w:b w:val="0"/>
          <w:bCs w:val="0"/>
          <w:color w:val="000000"/>
        </w:rPr>
        <w:t>внасяни в ЕС чрез канали за електронна търговия, не отговарят на стандартите на ЕС за безопасност, екологични или трудови стандарти</w:t>
      </w:r>
      <w:r w:rsidRPr="002B6F5B">
        <w:t xml:space="preserve">, като по този начин излагат потребителите, особено уязвимите ползватели и малолетните и непълнолетните лица, на опасни или фалшифицирани продукти, причиняват икономически вреди, нарушават </w:t>
      </w:r>
      <w:r w:rsidRPr="0075087D">
        <w:rPr>
          <w:rStyle w:val="Strong"/>
          <w:b w:val="0"/>
          <w:bCs w:val="0"/>
          <w:color w:val="000000"/>
        </w:rPr>
        <w:t>лоялната конкуренция</w:t>
      </w:r>
      <w:r w:rsidRPr="002B6F5B">
        <w:t xml:space="preserve"> и подкопават доверието в единния пазар, по-специално в ущърб на спазващите изискванията предприятия от ЕС, по-специално МСП, които инвестират в качество, безопасност и устойчивост;</w:t>
      </w:r>
    </w:p>
    <w:p w14:paraId="4E48F4E3" w14:textId="77777777" w:rsidR="00283229" w:rsidRPr="002B6F5B" w:rsidRDefault="00283229" w:rsidP="00283229">
      <w:pPr>
        <w:pStyle w:val="NormalHanging12a"/>
        <w:rPr>
          <w:rStyle w:val="Strong"/>
          <w:b w:val="0"/>
          <w:bCs w:val="0"/>
          <w:color w:val="000000"/>
        </w:rPr>
      </w:pPr>
      <w:r w:rsidRPr="0075087D">
        <w:rPr>
          <w:rStyle w:val="Strong"/>
          <w:b w:val="0"/>
          <w:bCs w:val="0"/>
          <w:color w:val="000000"/>
        </w:rPr>
        <w:t>И.</w:t>
      </w:r>
      <w:r w:rsidRPr="0075087D">
        <w:rPr>
          <w:rStyle w:val="Strong"/>
          <w:b w:val="0"/>
          <w:bCs w:val="0"/>
          <w:color w:val="000000"/>
        </w:rPr>
        <w:tab/>
        <w:t>като има предвид, че някои продавачи извън ЕС</w:t>
      </w:r>
      <w:r w:rsidRPr="002B6F5B">
        <w:t xml:space="preserve"> заобикалят регулаторните и административните изисквания, </w:t>
      </w:r>
      <w:r w:rsidRPr="0075087D">
        <w:rPr>
          <w:rStyle w:val="Strong"/>
          <w:b w:val="0"/>
          <w:bCs w:val="0"/>
          <w:color w:val="000000"/>
        </w:rPr>
        <w:t xml:space="preserve">когато продават на потребители в ЕС, като създават </w:t>
      </w:r>
      <w:proofErr w:type="spellStart"/>
      <w:r w:rsidRPr="0075087D">
        <w:rPr>
          <w:rStyle w:val="Strong"/>
          <w:b w:val="0"/>
          <w:bCs w:val="0"/>
          <w:color w:val="000000"/>
        </w:rPr>
        <w:t>неравнопоставени</w:t>
      </w:r>
      <w:proofErr w:type="spellEnd"/>
      <w:r w:rsidRPr="0075087D">
        <w:rPr>
          <w:rStyle w:val="Strong"/>
          <w:b w:val="0"/>
          <w:bCs w:val="0"/>
          <w:color w:val="000000"/>
        </w:rPr>
        <w:t xml:space="preserve"> условия на конкуренция, които</w:t>
      </w:r>
      <w:r w:rsidRPr="002B6F5B">
        <w:t xml:space="preserve"> оказват отрицателно въздействие върху </w:t>
      </w:r>
      <w:r w:rsidRPr="0075087D">
        <w:rPr>
          <w:rStyle w:val="Strong"/>
          <w:b w:val="0"/>
          <w:bCs w:val="0"/>
          <w:color w:val="000000"/>
        </w:rPr>
        <w:t>предприятията от ЕС</w:t>
      </w:r>
      <w:r w:rsidRPr="002B6F5B">
        <w:t xml:space="preserve">, по-специално МСП и </w:t>
      </w:r>
      <w:r w:rsidRPr="0075087D">
        <w:rPr>
          <w:rStyle w:val="Strong"/>
          <w:b w:val="0"/>
          <w:bCs w:val="0"/>
          <w:color w:val="000000"/>
        </w:rPr>
        <w:t>дружествата със средна пазарна капитализация, като оказват въздействие върху тяхната конкурентоспособност и капацитет за растеж, особено когато същите тези задължения не се прилагат ефективно върху вносните продукти</w:t>
      </w:r>
      <w:r w:rsidRPr="002B6F5B">
        <w:t>;</w:t>
      </w:r>
    </w:p>
    <w:p w14:paraId="5FE782AD" w14:textId="77777777" w:rsidR="00283229" w:rsidRPr="002B6F5B" w:rsidRDefault="00283229" w:rsidP="00283229">
      <w:pPr>
        <w:pStyle w:val="NormalHanging12a"/>
      </w:pPr>
      <w:r w:rsidRPr="0075087D">
        <w:rPr>
          <w:rStyle w:val="Strong"/>
          <w:b w:val="0"/>
          <w:bCs w:val="0"/>
          <w:color w:val="000000"/>
        </w:rPr>
        <w:t>Й.</w:t>
      </w:r>
      <w:r w:rsidRPr="002B6F5B">
        <w:rPr>
          <w:rStyle w:val="Strong"/>
          <w:color w:val="000000"/>
        </w:rPr>
        <w:tab/>
      </w:r>
      <w:r w:rsidRPr="002B6F5B">
        <w:t xml:space="preserve">като има предвид, че в доклада на Драги се подчертава, че в сравнение със своите конкуренти в Китай и Съединените щати дружествата от ЕС са изправени пред ненужна регулаторна сложност, и се описва бюрокрацията на ЕС като тежка и </w:t>
      </w:r>
      <w:r w:rsidRPr="002B6F5B">
        <w:lastRenderedPageBreak/>
        <w:t>нарастваща; като има предвид, че над 60 % от дружествата в ЕС считат задълженията за докладване за пречка пред инвестициите, а 55 % от МСП считат, че регулаторните пречки и административната тежест са най-голямото предизвикателство пред тях; като има предвид, че ЕС не разполага с количествена рамка за анализ на разходите и ползите от новото законодателство;</w:t>
      </w:r>
    </w:p>
    <w:p w14:paraId="4F8D1B5C" w14:textId="77777777" w:rsidR="00283229" w:rsidRPr="0075087D" w:rsidRDefault="00283229" w:rsidP="00283229">
      <w:pPr>
        <w:pStyle w:val="NormalHanging12a"/>
      </w:pPr>
      <w:r w:rsidRPr="0075087D">
        <w:rPr>
          <w:rStyle w:val="Strong"/>
          <w:b w:val="0"/>
          <w:bCs w:val="0"/>
          <w:color w:val="000000"/>
        </w:rPr>
        <w:t>К.</w:t>
      </w:r>
      <w:r w:rsidRPr="0075087D">
        <w:rPr>
          <w:rStyle w:val="Strong"/>
          <w:b w:val="0"/>
          <w:bCs w:val="0"/>
          <w:color w:val="000000"/>
        </w:rPr>
        <w:tab/>
        <w:t>като има предвид, че недостатъчната прозрачност по отношение на произхода на продуктите, въвеждани на вътрешния пазар, подкопава информирания избор на потребителите и лоялната конкуренция, и като има предвид, че понастоящем не съществува задължително етикетиране на произхода за нехранителните продукти, внасяни в ЕС</w:t>
      </w:r>
      <w:r w:rsidRPr="0075087D">
        <w:t>;</w:t>
      </w:r>
    </w:p>
    <w:p w14:paraId="735F8391" w14:textId="77777777" w:rsidR="00283229" w:rsidRPr="002B6F5B" w:rsidRDefault="00283229" w:rsidP="00283229">
      <w:pPr>
        <w:pStyle w:val="NormalHanging12a"/>
      </w:pPr>
      <w:r w:rsidRPr="0075087D">
        <w:rPr>
          <w:rStyle w:val="Strong"/>
          <w:b w:val="0"/>
          <w:bCs w:val="0"/>
          <w:color w:val="000000"/>
        </w:rPr>
        <w:t>Л.</w:t>
      </w:r>
      <w:r w:rsidRPr="0075087D">
        <w:rPr>
          <w:rStyle w:val="Strong"/>
          <w:b w:val="0"/>
          <w:bCs w:val="0"/>
          <w:color w:val="000000"/>
        </w:rPr>
        <w:tab/>
        <w:t>като има предвид, че потребителите, особено уязвимите или онлайн купувачите за първи път</w:t>
      </w:r>
      <w:r w:rsidRPr="002B6F5B">
        <w:t xml:space="preserve">, на които не се предоставя </w:t>
      </w:r>
      <w:r w:rsidRPr="0075087D">
        <w:rPr>
          <w:rStyle w:val="Strong"/>
          <w:b w:val="0"/>
          <w:bCs w:val="0"/>
          <w:color w:val="000000"/>
        </w:rPr>
        <w:t>ясна и надеждна информация относно произхода на продукта, съответствието и отговорния икономически оператор</w:t>
      </w:r>
      <w:r w:rsidRPr="002B6F5B">
        <w:t>, са изложени на риск да бъдат изложени на подвеждащи практики от страна на продавачи извън ЕС;</w:t>
      </w:r>
    </w:p>
    <w:p w14:paraId="32474823" w14:textId="77777777" w:rsidR="00283229" w:rsidRPr="002B6F5B" w:rsidRDefault="00283229" w:rsidP="00283229">
      <w:pPr>
        <w:pStyle w:val="NormalHanging12a"/>
      </w:pPr>
      <w:r w:rsidRPr="002B6F5B">
        <w:t>М.</w:t>
      </w:r>
      <w:r w:rsidRPr="002B6F5B">
        <w:tab/>
        <w:t>като има предвид, че земеделските стопани в ЕС често са изложени на конкуренция от вноса на селскостопански продукти от държави извън ЕС, в които няма еквивалентни екологични, фитосанитарни или трудови стандарти или достатъчна проследимост; като има предвид, че това създава потенциални рискове за общественото здраве и за здравето на растенията и животните, включително от разпространението на вредители и болести; като има предвид, че подобни практики подкопават лоялната конкуренция и пряко застрашават заетостта в селското стопанство, продоволствената сигурност и жизнеспособността на икономиките в селските райони в рамките на ЕС;</w:t>
      </w:r>
    </w:p>
    <w:p w14:paraId="73A7474B" w14:textId="77777777" w:rsidR="00283229" w:rsidRPr="0075087D" w:rsidRDefault="00283229" w:rsidP="00283229">
      <w:pPr>
        <w:pStyle w:val="NormalHanging12a"/>
        <w:rPr>
          <w:b/>
          <w:bCs/>
        </w:rPr>
      </w:pPr>
      <w:r w:rsidRPr="0075087D">
        <w:rPr>
          <w:rStyle w:val="Strong"/>
          <w:b w:val="0"/>
          <w:bCs w:val="0"/>
          <w:color w:val="000000"/>
        </w:rPr>
        <w:t>Н.</w:t>
      </w:r>
      <w:r w:rsidRPr="0075087D">
        <w:rPr>
          <w:rStyle w:val="Strong"/>
          <w:b w:val="0"/>
          <w:bCs w:val="0"/>
          <w:color w:val="000000"/>
        </w:rPr>
        <w:tab/>
        <w:t>като има предвид, че ЕС започна да се справя с нелоялната конкуренция и регулаторните пропуски в електронната търговия чрез законодателство относно цифровите платформи, безопасността на продуктите, надзора на пазара и реформата на митниците</w:t>
      </w:r>
      <w:r w:rsidRPr="0075087D">
        <w:rPr>
          <w:b/>
          <w:bCs/>
        </w:rPr>
        <w:t xml:space="preserve">; </w:t>
      </w:r>
      <w:r w:rsidRPr="0075087D">
        <w:rPr>
          <w:rStyle w:val="Strong"/>
          <w:b w:val="0"/>
          <w:bCs w:val="0"/>
          <w:color w:val="000000"/>
        </w:rPr>
        <w:t>като има предвид, че ефективното прилагане на тези мерки е от съществено значение за запазване на конкурентоспособността и работните места в ЕС;</w:t>
      </w:r>
    </w:p>
    <w:p w14:paraId="73670D9E" w14:textId="77777777" w:rsidR="00283229" w:rsidRPr="002B6F5B" w:rsidRDefault="00283229" w:rsidP="00283229">
      <w:pPr>
        <w:pStyle w:val="NormalHanging12a"/>
        <w:rPr>
          <w:bCs/>
        </w:rPr>
      </w:pPr>
      <w:r w:rsidRPr="002B6F5B">
        <w:t>О.</w:t>
      </w:r>
      <w:r w:rsidRPr="002B6F5B">
        <w:tab/>
        <w:t>като има предвид, че Директива (ЕС) 2024/825 относно предоставянето на повече права на потребителите в контекста на зеления преход</w:t>
      </w:r>
      <w:r w:rsidRPr="002B6F5B">
        <w:rPr>
          <w:rStyle w:val="FootnoteReference"/>
          <w:rFonts w:eastAsiaTheme="minorHAnsi"/>
          <w:color w:val="000000"/>
          <w:szCs w:val="24"/>
          <w:lang w:eastAsia="en-US"/>
        </w:rPr>
        <w:footnoteReference w:id="10"/>
      </w:r>
      <w:r w:rsidRPr="002B6F5B">
        <w:t xml:space="preserve"> укрепва защитата срещу нелоялни търговски практики и подобрява информацията относно аспектите на устойчивостта, като например въздействието върху околната среда, потреблението на енергия и </w:t>
      </w:r>
      <w:proofErr w:type="spellStart"/>
      <w:r w:rsidRPr="002B6F5B">
        <w:t>ремонтопригодността</w:t>
      </w:r>
      <w:proofErr w:type="spellEnd"/>
      <w:r w:rsidRPr="002B6F5B">
        <w:t xml:space="preserve"> и трайността на продуктите, включително продаваните чрез онлайн места за търговия, и че нейното бързо и последователно прилагане е от съществено значение, за да се гарантира информиран избор на потребителите и лоялна конкуренция;</w:t>
      </w:r>
    </w:p>
    <w:p w14:paraId="53824C86" w14:textId="77777777" w:rsidR="00283229" w:rsidRPr="002B6F5B" w:rsidRDefault="00283229" w:rsidP="00283229">
      <w:pPr>
        <w:pStyle w:val="NormalHanging12a"/>
      </w:pPr>
      <w:r w:rsidRPr="002B6F5B">
        <w:lastRenderedPageBreak/>
        <w:t>1.</w:t>
      </w:r>
      <w:r w:rsidRPr="002B6F5B">
        <w:tab/>
        <w:t>изразява съжаление относно факта, че нелоялната конкуренция от страна на предприятия от държави извън ЕС, включително в някои случаи тези, които се ползват от големи държавни субсидии, води до загуба на работни места в ЕС и представлява значителна заплаха за европейските дружества, които често са МСП и семейни предприятия, които насърчават предаването на умения, знания и капитал между поколенията; припомня, че Комисията често получава заявления за подкрепа от Европейския фонд за приспособяване към глобализацията за съкратени работници, което предполага уволнение на работници и закриване на дружества от ЕС поради това, че не се конкурират с вноса от държави извън ЕС, които не спазват стандартите на ЕС за безопасност, екологичните или трудовите стандарти;</w:t>
      </w:r>
    </w:p>
    <w:p w14:paraId="48BEA0B3" w14:textId="77777777" w:rsidR="00283229" w:rsidRPr="002B6F5B" w:rsidRDefault="00283229" w:rsidP="00283229">
      <w:pPr>
        <w:pStyle w:val="NormalHanging12a"/>
      </w:pPr>
      <w:r w:rsidRPr="002B6F5B">
        <w:t>2.</w:t>
      </w:r>
      <w:r w:rsidRPr="002B6F5B">
        <w:tab/>
        <w:t>изразява сериозна загриженост относно нелоялната конкуренция от страна на платформите за електронна търговия извън ЕС, които се възползват от регулаторните пропуски, застрашават безопасността на потребителите и нарушават единния пазар; призовава за по-ясни правила относно произхода на продуктите, проследимостта и идентифицирането на отговорните икономически оператори, включително по-строго прилагане на маркировката „СЕ“ и определения за „производител“ и „вносител“, за да се подкрепя лоялната конкуренция за предприятията от ЕС, особено за МСП;</w:t>
      </w:r>
    </w:p>
    <w:p w14:paraId="5427BBB5" w14:textId="77777777" w:rsidR="00283229" w:rsidRPr="002B6F5B" w:rsidRDefault="00283229" w:rsidP="00283229">
      <w:pPr>
        <w:pStyle w:val="NormalHanging12a"/>
      </w:pPr>
      <w:r w:rsidRPr="002B6F5B">
        <w:t>3.</w:t>
      </w:r>
      <w:r w:rsidRPr="002B6F5B">
        <w:tab/>
        <w:t>посочва, че рязкото увеличаване на покупките, извършвани чрез онлайн платформи извън ЕС, е придружено от значителни предизвикателства, свързани със спазването на изискванията за безопасност на продуктите и съответствието с правилата на вътрешния пазар; подчертава, че тези практики дават несправедливо предимство на платформите извън ЕС, като оказват натиск върху предприятията от ЕС, особено МСП и микропредприятията; посочва, че производителите от ЕС се сблъскват с по-строги изисквания за надзор на пазара в сравнение с операторите в областта на електронна търговия извън ЕС; подчертава, че евтиният, неотговарящ на изискванията внос намалява пазарния дял на ЕС и води до загуба на работни места;</w:t>
      </w:r>
    </w:p>
    <w:p w14:paraId="1358EFF0" w14:textId="77777777" w:rsidR="00283229" w:rsidRPr="002B6F5B" w:rsidRDefault="00283229" w:rsidP="00283229">
      <w:pPr>
        <w:pStyle w:val="NormalHanging12a"/>
      </w:pPr>
      <w:r w:rsidRPr="002B6F5B">
        <w:t>4.</w:t>
      </w:r>
      <w:r w:rsidRPr="002B6F5B">
        <w:tab/>
        <w:t>припомня правото на потребителите на надеждна информация относно произхода на продуктите и счита, че повечето потребители на вътрешния пазар биха счели за полезно задължителното етикетиране на държавата на произход, за да могат бързо да вземат информирани решения относно своите покупки;</w:t>
      </w:r>
    </w:p>
    <w:p w14:paraId="55F99437" w14:textId="77777777" w:rsidR="00283229" w:rsidRPr="002B6F5B" w:rsidRDefault="00283229" w:rsidP="00283229">
      <w:pPr>
        <w:pStyle w:val="NormalHanging12a"/>
      </w:pPr>
      <w:r w:rsidRPr="002B6F5B">
        <w:t>5.</w:t>
      </w:r>
      <w:r w:rsidRPr="002B6F5B">
        <w:tab/>
        <w:t>счита, че последователното и навременно прилагане на регулаторните достижения на правото на ЕС, приложими както за офлайн, така и за онлайн предприятията, е от ключово значение за справяне със сериозното вредно въздействие на несъответстващите на изискванията, опасни и фалшифицирани продукти, предлагани на потребителите от дружества извън ЕС; подчертава значението на инструментите за правоприлагане, включително подходящите санкции и по-бързото прилагане на временни мерки, особено в случаите на повтарящи се, сериозни и системни нарушения на правото на ЕС;</w:t>
      </w:r>
    </w:p>
    <w:p w14:paraId="62B7ED80" w14:textId="77777777" w:rsidR="00283229" w:rsidRPr="002B6F5B" w:rsidRDefault="00283229" w:rsidP="00283229">
      <w:pPr>
        <w:pStyle w:val="NormalHanging12a"/>
      </w:pPr>
      <w:r w:rsidRPr="002B6F5B">
        <w:t>6.</w:t>
      </w:r>
      <w:r w:rsidRPr="002B6F5B">
        <w:tab/>
        <w:t xml:space="preserve">подчертава, че реформата на митниците и надзора на пазара трябва да се справят с нелоялните търговски практики чрез преодоляване на регулаторните пропуски в настоящата законодателна рамка и изрична подкрепа за МСП чрез намаляване на ненужната административна тежест, ускоряване на процедурите за митническо оформяне за спазващите изискванията оператори от ЕС и съсредоточаване на </w:t>
      </w:r>
      <w:r w:rsidRPr="002B6F5B">
        <w:lastRenderedPageBreak/>
        <w:t>ресурсите върху високорискови пратки от платформи или продавачи, които са извършили повтарящи се нарушения; подчертава, че МСП не следва да се поставят в неблагоприятно положение в сравнение с големите платформи или износителите извън ЕС;</w:t>
      </w:r>
    </w:p>
    <w:p w14:paraId="451F3A71" w14:textId="77777777" w:rsidR="00283229" w:rsidRPr="002B6F5B" w:rsidRDefault="00283229" w:rsidP="00283229">
      <w:pPr>
        <w:pStyle w:val="NormalHanging12a"/>
      </w:pPr>
      <w:r w:rsidRPr="002B6F5B">
        <w:t>7.</w:t>
      </w:r>
      <w:r w:rsidRPr="002B6F5B">
        <w:tab/>
        <w:t>признава неотдавнашните усилия на Комисията за намаляване на съществуващата административна тежест за дружествата от ЕС; призовава Комисията да повиши усилията си за подобряване на регулаторната рамка, за да се избегне всяко отрицателно въздействие върху икономическата конкурентоспособност на ЕС, и призовава за продължаване на усилията в подкрепа на промишлеността, технологичния суверенитет и заетостта в ЕС;</w:t>
      </w:r>
    </w:p>
    <w:p w14:paraId="5A11CCF4" w14:textId="77777777" w:rsidR="00283229" w:rsidRPr="002B6F5B" w:rsidRDefault="00283229" w:rsidP="00283229">
      <w:pPr>
        <w:pStyle w:val="NormalHanging12a"/>
      </w:pPr>
      <w:r w:rsidRPr="002B6F5B">
        <w:t>8.</w:t>
      </w:r>
      <w:r w:rsidRPr="002B6F5B">
        <w:tab/>
        <w:t>препоръчва укрепване, по-добра координация и увеличаване на ресурсите за митническите органи и органите за надзор на пазара, включително целенасочен контрол за високорисковите категории продукти, инвестиции в нови инструменти (напр. изкуствен интелект, блокова верига), засилено изпитване и необходимото обучение на персонала;</w:t>
      </w:r>
    </w:p>
    <w:p w14:paraId="77F0868D" w14:textId="77777777" w:rsidR="00283229" w:rsidRPr="002B6F5B" w:rsidRDefault="00283229" w:rsidP="00283229">
      <w:pPr>
        <w:pStyle w:val="NormalHanging12a"/>
      </w:pPr>
      <w:r w:rsidRPr="002B6F5B">
        <w:t>9.</w:t>
      </w:r>
      <w:r w:rsidRPr="002B6F5B">
        <w:tab/>
        <w:t>приветства премахването на наскоро договореното в Съвета освобождаване от данък върху добавената стойност и мита за пратки с ниска стойност по отношение на колетните пратки на стойност под 150 EUR, които се изпращат от държава извън ЕС до потребител в ЕС; подчертава важната роля на Европейската прокуратура, с подкрепата на митническите органи, за справяне с митническите престъпления при трансгранични разследвания, включително тези срещу измамни декларации за електронна търговия и занижаване на стойността, както и избягването на проверки и търсенето на най-благоприятната правна система;</w:t>
      </w:r>
    </w:p>
    <w:p w14:paraId="6166CE39" w14:textId="77777777" w:rsidR="00283229" w:rsidRPr="002B6F5B" w:rsidRDefault="00283229" w:rsidP="00283229">
      <w:pPr>
        <w:pStyle w:val="NormalHanging12a"/>
      </w:pPr>
      <w:r w:rsidRPr="002B6F5B">
        <w:t>10.</w:t>
      </w:r>
      <w:r w:rsidRPr="002B6F5B">
        <w:tab/>
        <w:t>подчертава, че бързото прилагане на цифровия продуктов паспорт, особено по отношение на редица критични продукта, продавани онлайн, е от съществено значение за засилване на прилагането на съществуващото законодателство; настоятелно призовава Комисията да приеме незабавно необходимото вторично законодателство относно цифровия продуктов паспорт, като отдаде приоритет на текстилните изделия, обувките, включително произведените с използване на екологична кожа, продуктите за деца, козметиката, електрониката и други продукти с високи равнища на несъответствие и свързани рискове;</w:t>
      </w:r>
    </w:p>
    <w:p w14:paraId="40025C6A" w14:textId="77777777" w:rsidR="00283229" w:rsidRPr="002B6F5B" w:rsidRDefault="00283229" w:rsidP="00283229">
      <w:pPr>
        <w:pStyle w:val="NormalHanging12a"/>
      </w:pPr>
      <w:r w:rsidRPr="002B6F5B">
        <w:t>11.</w:t>
      </w:r>
      <w:r w:rsidRPr="002B6F5B">
        <w:tab/>
        <w:t>призовава Комисията да защитава дружествата от ЕС от нелоялна конкуренция от страна на производители от държави извън ЕС, за да се запазят работните места в рамките на ЕС и да се повиши стратегическата независимост, така че да може да се реагира на всяка криза, като например пандемията от COVID-19; изразява съжаление относно загубата на работни места в резултат на нелоялната конкуренция от страна на дружества извън ЕС, които осъществяват дейност в нарушение на стандартите за безопасност, екологичните и трудовите стандарти на ЕС, често улеснявана от онлайн платформи, които позволяват по-лесното навлизане на пазара на ЕС на несъответстващи на изискванията продукти; подчертава, че безопасността на продуктите, особено на продуктите за деца, трябва да продължи да бъде от първостепенно значение;</w:t>
      </w:r>
    </w:p>
    <w:p w14:paraId="35A02414" w14:textId="77777777" w:rsidR="00283229" w:rsidRPr="002B6F5B" w:rsidRDefault="00283229" w:rsidP="00283229">
      <w:pPr>
        <w:pStyle w:val="NormalHanging12a"/>
      </w:pPr>
      <w:r w:rsidRPr="002B6F5B">
        <w:t>12.</w:t>
      </w:r>
      <w:r w:rsidRPr="002B6F5B">
        <w:tab/>
        <w:t xml:space="preserve">изразява тревога във връзка с факта, че продавачите, които не спазват изискванията, често избягват налагането на значими санкции; призовава Комисията и държавите членки да засилят координираното прилагане на </w:t>
      </w:r>
      <w:r w:rsidRPr="002B6F5B">
        <w:lastRenderedPageBreak/>
        <w:t>действащото право на ЕС, включително глобите и забраните, по всички канали за продажба, за да се гарантира, че опасните или несъответстващите на изискванията стоки се отстраняват бързо, а нарушителите се санкционират; подчертава, че по-строгото прилагане е от съществено значение, за да не се позволи на продавачите извън ЕС систематично да подбиват цените на спазващите правилата дружества, особено на МСП, инвестиращи в съответствие със задължителните правила на ЕС за безопасност, устойчивост и качество, които могат да бъдат заобиколени от продавачите извън ЕС;</w:t>
      </w:r>
    </w:p>
    <w:p w14:paraId="5B94D760" w14:textId="77777777" w:rsidR="00283229" w:rsidRPr="002B6F5B" w:rsidRDefault="00283229" w:rsidP="00283229">
      <w:pPr>
        <w:pStyle w:val="NormalHanging12a"/>
      </w:pPr>
      <w:r w:rsidRPr="002B6F5B">
        <w:t>13.</w:t>
      </w:r>
      <w:r w:rsidRPr="002B6F5B">
        <w:tab/>
        <w:t>изразява съжаление относно бизнес модела на някои големи онлайн платформи извън ЕС, основан на бързото и широкомащабно производство и разпространение на стоки, които не отговарят на стандартите на ЕС за безопасност и опазване на околната среда; изтъква, че подобни практики представляват социален и екологичен дъмпинг; призовава Комисията да гарантира стриктно спазване на социалното и екологичното законодателство на ЕС и да повиши осведомеността относно екологичното, здравното и социалното въздействие на нелоялните търговски практики;</w:t>
      </w:r>
    </w:p>
    <w:p w14:paraId="78175BFB" w14:textId="77777777" w:rsidR="00283229" w:rsidRPr="002B6F5B" w:rsidRDefault="00283229" w:rsidP="00283229">
      <w:pPr>
        <w:pStyle w:val="NormalHanging12a"/>
      </w:pPr>
      <w:r w:rsidRPr="002B6F5B">
        <w:t>14.</w:t>
      </w:r>
      <w:r w:rsidRPr="002B6F5B">
        <w:tab/>
        <w:t>подчертава, че онлайн местата за търговия трябва да гарантират прозрачност и отчетност по цялата верига за доставки при вноса чрез електронна търговия, включително за продавачи трети страни, насочени към потребителите в ЕС, и да гарантират спазването на правилата на ЕС за безопасност и за продуктите; изразява подкрепа за понятието „считано за вносител лице“, чието използване би гарантирало, че влизащите в ЕС продукти са в съответствие с правилата на ЕС дори ако първоначалният износител е извън ЕС;</w:t>
      </w:r>
    </w:p>
    <w:p w14:paraId="3330B1C8" w14:textId="77777777" w:rsidR="00283229" w:rsidRPr="002B6F5B" w:rsidRDefault="00283229" w:rsidP="00283229">
      <w:pPr>
        <w:pStyle w:val="NormalHanging12a"/>
      </w:pPr>
      <w:r w:rsidRPr="002B6F5B">
        <w:t>15.</w:t>
      </w:r>
      <w:r w:rsidRPr="002B6F5B">
        <w:tab/>
        <w:t>подчертава значението на проверката на самоличността на продавача и предоставянето на изискваната информация за съответствие, включително маркировката „СЕ“ и идентифицирането на отговорен икономически оператор, установен в ЕС, както и на незабавното премахване на несъответстващите на изискванията или погрешно етикетираните продукти; изисква платформите да гарантират пълно сътрудничество с компетентните органи, включително чрез предоставяне на съответните данни за продавачите извън ЕС и улесняване на проверките, изземванията и правната защита на потребителите; отбелязва, че изпълнението чрез базирани в ЕС центрове може да допринесе за по-ефективен контрол;</w:t>
      </w:r>
    </w:p>
    <w:p w14:paraId="6E211A66" w14:textId="77777777" w:rsidR="00283229" w:rsidRPr="002B6F5B" w:rsidRDefault="00283229" w:rsidP="00283229">
      <w:pPr>
        <w:pStyle w:val="NormalHanging12a"/>
      </w:pPr>
      <w:r w:rsidRPr="002B6F5B">
        <w:t>16.</w:t>
      </w:r>
      <w:r w:rsidRPr="002B6F5B">
        <w:tab/>
        <w:t xml:space="preserve">призовава Комисията да предприеме проактивни стъпки и бързо да използва целенасочени инструменти за търговска защита, включително антидъмпингови и </w:t>
      </w:r>
      <w:proofErr w:type="spellStart"/>
      <w:r w:rsidRPr="002B6F5B">
        <w:t>антисубсидийни</w:t>
      </w:r>
      <w:proofErr w:type="spellEnd"/>
      <w:r w:rsidRPr="002B6F5B">
        <w:t xml:space="preserve"> разследвания, за да противодейства на неблагоприятните последици от нелоялната конкуренция за търговците на дребно, МСП и промишлеността в ЕС, тъй като те не могат да се конкурират с изкуствено ниски цени, произтичащи от подкрепяни от държавата дъмпингови практики в държави извън ЕС; призовава Комисията да гарантира пълна подкрепа за жалбоподателите, когато се представят доказателства за дъмпинг и субсидиране, и да гарантира опростени процедури за малките производители;</w:t>
      </w:r>
    </w:p>
    <w:p w14:paraId="06FEA59B" w14:textId="77777777" w:rsidR="00283229" w:rsidRPr="002B6F5B" w:rsidRDefault="00283229" w:rsidP="00283229">
      <w:pPr>
        <w:pStyle w:val="NormalHanging12a"/>
      </w:pPr>
      <w:r w:rsidRPr="002B6F5B">
        <w:t>17.</w:t>
      </w:r>
      <w:r w:rsidRPr="002B6F5B">
        <w:tab/>
        <w:t xml:space="preserve">настоятелно призовава Комисията да ускори реформата на митниците, включително чрез премахване на освобождаванията за внос с ниска стойност и въвеждане на такси за обработка или митническо оформяне, съвместими с правилата на Световната търговска организация; подчертава, че тези такси следва </w:t>
      </w:r>
      <w:r w:rsidRPr="002B6F5B">
        <w:lastRenderedPageBreak/>
        <w:t>да допринасят за покриването на увеличените разходи за надзор на митническите органи; подчертава значението на подход на равнището на ЕС, за да се избегне разпокъсаността и търсенето на граници с по-изгодни правила, и за да се гарантира лоялна конкуренция; подчертава, че засилената реформа на митниците, включително подобрените инструменти за мониторинг и целенасоченият контрол, е от съществено значение за справяне с нелоялния внос, като същевременно се защитават правата на потребителите и финансовата достъпност; призовава Комисията да засили целенасочените мерки на ЕС за подкрепа на секторите, които са силно засегнати от нелоялен внос, като например достъп до средства на ЕС, подкрепа за иновациите, развитие на умения и програми за диверсификация на износа;</w:t>
      </w:r>
    </w:p>
    <w:p w14:paraId="7223EA2C" w14:textId="77777777" w:rsidR="00283229" w:rsidRPr="002B6F5B" w:rsidRDefault="00283229" w:rsidP="00283229">
      <w:pPr>
        <w:pStyle w:val="NormalHanging12a"/>
      </w:pPr>
      <w:r w:rsidRPr="002B6F5B">
        <w:t>18.</w:t>
      </w:r>
      <w:r w:rsidRPr="002B6F5B">
        <w:tab/>
        <w:t>призовава за засилени механизми за правна защита на потребителите, които да позволяват на потребителите в ЕС да получават възстановяване на средства, замяна или средства за правна защита за опасни или несъответстващи на изискванията стоки, закупени от продавачи извън ЕС; подкрепя създаването на лесен за ползване онлайн интерфейс на ЕС за жалби на потребители, достъпен на всички езици на ЕС, за да се гарантира, че гражданите могат да действат бързо при нарушаване на правата им; насърчава разработването на кампания за повишаване на осведомеността в целия ЕС, с която да се популяризират отговорното потребление и произведените в ЕС продукти, за да се подчертаят техните социални и екологични предимства и предимства по отношение на безопасността, като същевременно насърчава Комисията да засили подкрепата си за островните региони, за да им предостави възможност да получат достъп до продукти от ЕС;</w:t>
      </w:r>
    </w:p>
    <w:p w14:paraId="66DB8308" w14:textId="125A0448" w:rsidR="002B6F5B" w:rsidRPr="002B6F5B" w:rsidRDefault="00283229" w:rsidP="002B6F5B">
      <w:pPr>
        <w:pStyle w:val="NormalHanging12a"/>
      </w:pPr>
      <w:r w:rsidRPr="002B6F5B">
        <w:t>19.</w:t>
      </w:r>
      <w:r w:rsidRPr="002B6F5B">
        <w:tab/>
        <w:t>възлага на своя председател да предаде настоящата резолюция на Комисията, на Съвета, както и на националните правителства и парламенти на държавите членки.</w:t>
      </w:r>
    </w:p>
    <w:p w14:paraId="71ED28E4" w14:textId="78901ED4" w:rsidR="00E365E1" w:rsidRPr="002B6F5B" w:rsidRDefault="00E365E1" w:rsidP="00825C65"/>
    <w:sectPr w:rsidR="00E365E1" w:rsidRPr="002B6F5B" w:rsidSect="002B6F5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CA181" w14:textId="77777777" w:rsidR="00825C65" w:rsidRPr="002B6F5B" w:rsidRDefault="00825C65">
      <w:r w:rsidRPr="002B6F5B">
        <w:separator/>
      </w:r>
    </w:p>
  </w:endnote>
  <w:endnote w:type="continuationSeparator" w:id="0">
    <w:p w14:paraId="7AB46230" w14:textId="77777777" w:rsidR="00825C65" w:rsidRPr="002B6F5B" w:rsidRDefault="00825C65">
      <w:r w:rsidRPr="002B6F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0CE1F" w14:textId="77777777" w:rsidR="00064002" w:rsidRPr="002B6F5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7684C" w14:textId="77777777" w:rsidR="00064002" w:rsidRPr="002B6F5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235FA" w14:textId="77777777" w:rsidR="00064002" w:rsidRPr="002B6F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35CFC" w14:textId="77777777" w:rsidR="00825C65" w:rsidRPr="002B6F5B" w:rsidRDefault="00825C65">
      <w:r w:rsidRPr="002B6F5B">
        <w:separator/>
      </w:r>
    </w:p>
  </w:footnote>
  <w:footnote w:type="continuationSeparator" w:id="0">
    <w:p w14:paraId="0F81003E" w14:textId="77777777" w:rsidR="00825C65" w:rsidRPr="002B6F5B" w:rsidRDefault="00825C65">
      <w:r w:rsidRPr="002B6F5B">
        <w:continuationSeparator/>
      </w:r>
    </w:p>
  </w:footnote>
  <w:footnote w:id="1">
    <w:p w14:paraId="17EDFC17" w14:textId="0BE2F12F" w:rsidR="00283229" w:rsidRPr="002B6F5B" w:rsidRDefault="00283229" w:rsidP="002B6F5B">
      <w:pPr>
        <w:pStyle w:val="FootnoteText"/>
        <w:ind w:left="567" w:hanging="567"/>
        <w:rPr>
          <w:sz w:val="24"/>
          <w:lang w:val="bg-BG"/>
        </w:rPr>
      </w:pPr>
      <w:r w:rsidRPr="002B6F5B">
        <w:rPr>
          <w:rStyle w:val="FootnoteReference"/>
          <w:sz w:val="24"/>
          <w:lang w:val="bg-BG"/>
        </w:rPr>
        <w:footnoteRef/>
      </w:r>
      <w:r w:rsidR="002B6F5B" w:rsidRPr="002B6F5B">
        <w:rPr>
          <w:sz w:val="24"/>
          <w:lang w:val="bg-BG"/>
        </w:rPr>
        <w:t xml:space="preserve"> </w:t>
      </w:r>
      <w:r w:rsidR="002B6F5B" w:rsidRPr="002B6F5B">
        <w:rPr>
          <w:sz w:val="24"/>
          <w:lang w:val="bg-BG"/>
        </w:rPr>
        <w:tab/>
      </w:r>
      <w:r w:rsidRPr="002B6F5B">
        <w:rPr>
          <w:sz w:val="24"/>
          <w:lang w:val="bg-BG"/>
        </w:rPr>
        <w:t>ОВ L 269, 10.10.2013 г., стр. 1, ELI: </w:t>
      </w:r>
      <w:hyperlink r:id="rId1" w:history="1">
        <w:r w:rsidRPr="002B6F5B">
          <w:rPr>
            <w:rStyle w:val="Hyperlink"/>
            <w:sz w:val="24"/>
            <w:lang w:val="bg-BG"/>
          </w:rPr>
          <w:t>http://data.europa.eu/eli/reg/2013/952/oj</w:t>
        </w:r>
      </w:hyperlink>
      <w:r w:rsidRPr="002B6F5B">
        <w:rPr>
          <w:sz w:val="24"/>
          <w:lang w:val="bg-BG"/>
        </w:rPr>
        <w:t>.</w:t>
      </w:r>
    </w:p>
  </w:footnote>
  <w:footnote w:id="2">
    <w:p w14:paraId="1FECC3AB" w14:textId="102B0B90" w:rsidR="00283229" w:rsidRPr="002B6F5B" w:rsidRDefault="00283229" w:rsidP="002B6F5B">
      <w:pPr>
        <w:pStyle w:val="FootnoteText"/>
        <w:ind w:left="567" w:hanging="567"/>
        <w:rPr>
          <w:sz w:val="24"/>
          <w:lang w:val="bg-BG"/>
        </w:rPr>
      </w:pPr>
      <w:r w:rsidRPr="002B6F5B">
        <w:rPr>
          <w:rStyle w:val="FootnoteReference"/>
          <w:sz w:val="24"/>
          <w:lang w:val="bg-BG"/>
        </w:rPr>
        <w:footnoteRef/>
      </w:r>
      <w:r w:rsidR="002B6F5B" w:rsidRPr="002B6F5B">
        <w:rPr>
          <w:sz w:val="24"/>
          <w:lang w:val="bg-BG"/>
        </w:rPr>
        <w:t xml:space="preserve"> </w:t>
      </w:r>
      <w:r w:rsidR="002B6F5B" w:rsidRPr="002B6F5B">
        <w:rPr>
          <w:sz w:val="24"/>
          <w:lang w:val="bg-BG"/>
        </w:rPr>
        <w:tab/>
      </w:r>
      <w:r w:rsidRPr="002B6F5B">
        <w:rPr>
          <w:sz w:val="24"/>
          <w:lang w:val="bg-BG"/>
        </w:rPr>
        <w:t>OВ L, 2025/512, 20.3.2025 г., ELI: </w:t>
      </w:r>
      <w:hyperlink r:id="rId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B6F5B">
          <w:rPr>
            <w:rStyle w:val="Hyperlink"/>
            <w:sz w:val="24"/>
            <w:lang w:val="bg-BG"/>
          </w:rPr>
          <w:t>http://data.europa.eu/eli/reg_impl/2025/512/oj</w:t>
        </w:r>
      </w:hyperlink>
      <w:r w:rsidRPr="002B6F5B">
        <w:rPr>
          <w:sz w:val="24"/>
          <w:lang w:val="bg-BG"/>
        </w:rPr>
        <w:t xml:space="preserve">. </w:t>
      </w:r>
    </w:p>
  </w:footnote>
  <w:footnote w:id="3">
    <w:p w14:paraId="591B2B45" w14:textId="397E374A" w:rsidR="00283229" w:rsidRPr="002B6F5B" w:rsidRDefault="00283229" w:rsidP="002B6F5B">
      <w:pPr>
        <w:pStyle w:val="FootnoteText"/>
        <w:ind w:left="567" w:hanging="567"/>
        <w:rPr>
          <w:sz w:val="24"/>
          <w:lang w:val="bg-BG"/>
        </w:rPr>
      </w:pPr>
      <w:r w:rsidRPr="002B6F5B">
        <w:rPr>
          <w:rStyle w:val="FootnoteReference"/>
          <w:sz w:val="24"/>
          <w:lang w:val="bg-BG"/>
        </w:rPr>
        <w:footnoteRef/>
      </w:r>
      <w:r w:rsidR="002B6F5B" w:rsidRPr="002B6F5B">
        <w:rPr>
          <w:sz w:val="24"/>
          <w:lang w:val="bg-BG"/>
        </w:rPr>
        <w:t xml:space="preserve"> </w:t>
      </w:r>
      <w:r w:rsidR="002B6F5B" w:rsidRPr="002B6F5B">
        <w:rPr>
          <w:sz w:val="24"/>
          <w:lang w:val="bg-BG"/>
        </w:rPr>
        <w:tab/>
      </w:r>
      <w:r w:rsidRPr="002B6F5B">
        <w:rPr>
          <w:sz w:val="24"/>
          <w:lang w:val="bg-BG"/>
        </w:rPr>
        <w:t>ОВ L 277, 27.10.2022 г., стр. </w:t>
      </w:r>
      <w:r w:rsidRPr="002B6F5B">
        <w:rPr>
          <w:sz w:val="24"/>
          <w:lang w:val="bg-BG"/>
        </w:rPr>
        <w:t>1, ELI: </w:t>
      </w:r>
      <w:hyperlink r:id="rId3"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B6F5B">
          <w:rPr>
            <w:rStyle w:val="Hyperlink"/>
            <w:sz w:val="24"/>
            <w:lang w:val="bg-BG"/>
          </w:rPr>
          <w:t>http://data.europa.eu/eli/reg/2022/2065/oj</w:t>
        </w:r>
      </w:hyperlink>
      <w:r w:rsidRPr="002B6F5B">
        <w:rPr>
          <w:sz w:val="24"/>
          <w:lang w:val="bg-BG"/>
        </w:rPr>
        <w:t xml:space="preserve">. </w:t>
      </w:r>
    </w:p>
  </w:footnote>
  <w:footnote w:id="4">
    <w:p w14:paraId="0257E018" w14:textId="5CF540F4" w:rsidR="00283229" w:rsidRPr="002B6F5B" w:rsidRDefault="00283229" w:rsidP="002B6F5B">
      <w:pPr>
        <w:pStyle w:val="FootnoteText"/>
        <w:ind w:left="567" w:hanging="567"/>
        <w:rPr>
          <w:sz w:val="24"/>
          <w:lang w:val="bg-BG"/>
        </w:rPr>
      </w:pPr>
      <w:r w:rsidRPr="002B6F5B">
        <w:rPr>
          <w:rStyle w:val="FootnoteReference"/>
          <w:sz w:val="24"/>
          <w:lang w:val="bg-BG"/>
        </w:rPr>
        <w:footnoteRef/>
      </w:r>
      <w:r w:rsidR="002B6F5B" w:rsidRPr="002B6F5B">
        <w:rPr>
          <w:sz w:val="24"/>
          <w:lang w:val="bg-BG"/>
        </w:rPr>
        <w:t xml:space="preserve"> </w:t>
      </w:r>
      <w:r w:rsidR="002B6F5B" w:rsidRPr="002B6F5B">
        <w:rPr>
          <w:sz w:val="24"/>
          <w:lang w:val="bg-BG"/>
        </w:rPr>
        <w:tab/>
      </w:r>
      <w:r w:rsidRPr="002B6F5B">
        <w:rPr>
          <w:sz w:val="24"/>
          <w:lang w:val="bg-BG"/>
        </w:rPr>
        <w:t>ОВ L 135, 23.5.2023 г., стр. </w:t>
      </w:r>
      <w:r w:rsidRPr="002B6F5B">
        <w:rPr>
          <w:sz w:val="24"/>
          <w:lang w:val="bg-BG"/>
        </w:rPr>
        <w:t>1, ELI: </w:t>
      </w:r>
      <w:hyperlink r:id="rId4"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2B6F5B">
          <w:rPr>
            <w:rStyle w:val="Hyperlink"/>
            <w:sz w:val="24"/>
            <w:lang w:val="bg-BG"/>
          </w:rPr>
          <w:t>http://data.europa.eu/eli/reg/2023/988/oj</w:t>
        </w:r>
      </w:hyperlink>
      <w:r w:rsidRPr="002B6F5B">
        <w:rPr>
          <w:sz w:val="24"/>
          <w:lang w:val="bg-BG"/>
        </w:rPr>
        <w:t xml:space="preserve">. </w:t>
      </w:r>
    </w:p>
  </w:footnote>
  <w:footnote w:id="5">
    <w:p w14:paraId="003CAD06" w14:textId="21EDFC35" w:rsidR="00283229" w:rsidRPr="002B6F5B" w:rsidRDefault="00283229" w:rsidP="002B6F5B">
      <w:pPr>
        <w:pStyle w:val="FootnoteText"/>
        <w:ind w:left="567" w:hanging="567"/>
        <w:rPr>
          <w:sz w:val="24"/>
          <w:lang w:val="bg-BG"/>
        </w:rPr>
      </w:pPr>
      <w:r w:rsidRPr="002B6F5B">
        <w:rPr>
          <w:rStyle w:val="FootnoteReference"/>
          <w:sz w:val="24"/>
          <w:lang w:val="bg-BG"/>
        </w:rPr>
        <w:footnoteRef/>
      </w:r>
      <w:r w:rsidR="002B6F5B" w:rsidRPr="002B6F5B">
        <w:rPr>
          <w:sz w:val="24"/>
          <w:lang w:val="bg-BG"/>
        </w:rPr>
        <w:t xml:space="preserve"> </w:t>
      </w:r>
      <w:r w:rsidR="002B6F5B" w:rsidRPr="002B6F5B">
        <w:rPr>
          <w:sz w:val="24"/>
          <w:lang w:val="bg-BG"/>
        </w:rPr>
        <w:tab/>
      </w:r>
      <w:r w:rsidRPr="002B6F5B">
        <w:rPr>
          <w:sz w:val="24"/>
          <w:lang w:val="bg-BG"/>
        </w:rPr>
        <w:t>ОВ L 169, 25.6.2019 г., стр. 1, ELI: </w:t>
      </w:r>
      <w:r>
        <w:fldChar w:fldCharType="begin"/>
      </w:r>
      <w:r>
        <w:instrText>HYPERLINK</w:instrText>
      </w:r>
      <w:r w:rsidRPr="002F7AF5">
        <w:rPr>
          <w:lang w:val="ru-RU"/>
        </w:rPr>
        <w:instrText xml:space="preserve"> "</w:instrText>
      </w:r>
      <w:r>
        <w:instrText>http</w:instrText>
      </w:r>
      <w:r w:rsidRPr="002F7AF5">
        <w:rPr>
          <w:lang w:val="ru-RU"/>
        </w:rPr>
        <w:instrText>://</w:instrText>
      </w:r>
      <w:r>
        <w:instrText>data</w:instrText>
      </w:r>
      <w:r w:rsidRPr="002F7AF5">
        <w:rPr>
          <w:lang w:val="ru-RU"/>
        </w:rPr>
        <w:instrText>.</w:instrText>
      </w:r>
      <w:r>
        <w:instrText>europa</w:instrText>
      </w:r>
      <w:r w:rsidRPr="002F7AF5">
        <w:rPr>
          <w:lang w:val="ru-RU"/>
        </w:rPr>
        <w:instrText>.</w:instrText>
      </w:r>
      <w:r>
        <w:instrText>eu</w:instrText>
      </w:r>
      <w:r w:rsidRPr="002F7AF5">
        <w:rPr>
          <w:lang w:val="ru-RU"/>
        </w:rPr>
        <w:instrText>/</w:instrText>
      </w:r>
      <w:r>
        <w:instrText>eli</w:instrText>
      </w:r>
      <w:r w:rsidRPr="002F7AF5">
        <w:rPr>
          <w:lang w:val="ru-RU"/>
        </w:rPr>
        <w:instrText>/</w:instrText>
      </w:r>
      <w:r>
        <w:instrText>reg</w:instrText>
      </w:r>
      <w:r w:rsidRPr="002F7AF5">
        <w:rPr>
          <w:lang w:val="ru-RU"/>
        </w:rPr>
        <w:instrText>/2019/1020/</w:instrText>
      </w:r>
      <w:r>
        <w:instrText>oj</w:instrText>
      </w:r>
      <w:r w:rsidRPr="002F7AF5">
        <w:rPr>
          <w:lang w:val="ru-RU"/>
        </w:rPr>
        <w:instrText>" \</w:instrText>
      </w:r>
      <w:r>
        <w:instrText>o</w:instrText>
      </w:r>
      <w:r w:rsidRPr="002F7AF5">
        <w:rPr>
          <w:lang w:val="ru-RU"/>
        </w:rPr>
        <w:instrText xml:space="preserve"> "Предоставя достъп до този документ чрез неговия унифициран идентификатор на ресурс (</w:instrText>
      </w:r>
      <w:r>
        <w:instrText>URI</w:instrText>
      </w:r>
      <w:r w:rsidRPr="002F7AF5">
        <w:rPr>
          <w:lang w:val="ru-RU"/>
        </w:rPr>
        <w:instrText>) на европейския идентификатор на законодателството (</w:instrText>
      </w:r>
      <w:r>
        <w:instrText>ELI</w:instrText>
      </w:r>
      <w:r w:rsidRPr="002F7AF5">
        <w:rPr>
          <w:lang w:val="ru-RU"/>
        </w:rPr>
        <w:instrText>)."</w:instrText>
      </w:r>
      <w:r>
        <w:fldChar w:fldCharType="separate"/>
      </w:r>
      <w:r w:rsidRPr="002B6F5B">
        <w:rPr>
          <w:rStyle w:val="Hyperlink"/>
          <w:sz w:val="24"/>
          <w:lang w:val="bg-BG"/>
        </w:rPr>
        <w:t>http://data.europa.eu/eli/reg/2019/1020/oj</w:t>
      </w:r>
      <w:r>
        <w:fldChar w:fldCharType="end"/>
      </w:r>
      <w:r w:rsidRPr="002B6F5B">
        <w:rPr>
          <w:sz w:val="24"/>
          <w:lang w:val="bg-BG"/>
        </w:rPr>
        <w:t>.</w:t>
      </w:r>
    </w:p>
  </w:footnote>
  <w:footnote w:id="6">
    <w:p w14:paraId="32C66A6B" w14:textId="5E9F13D1" w:rsidR="00283229" w:rsidRPr="002B6F5B" w:rsidRDefault="00283229" w:rsidP="002B6F5B">
      <w:pPr>
        <w:pStyle w:val="FootnoteText"/>
        <w:ind w:left="567" w:hanging="567"/>
        <w:rPr>
          <w:sz w:val="24"/>
          <w:lang w:val="bg-BG"/>
        </w:rPr>
      </w:pPr>
      <w:r w:rsidRPr="002B6F5B">
        <w:rPr>
          <w:rStyle w:val="FootnoteReference"/>
          <w:sz w:val="24"/>
          <w:lang w:val="bg-BG"/>
        </w:rPr>
        <w:footnoteRef/>
      </w:r>
      <w:r w:rsidR="002B6F5B" w:rsidRPr="002B6F5B">
        <w:rPr>
          <w:sz w:val="24"/>
          <w:lang w:val="bg-BG"/>
        </w:rPr>
        <w:t xml:space="preserve"> </w:t>
      </w:r>
      <w:r w:rsidR="002B6F5B" w:rsidRPr="002B6F5B">
        <w:rPr>
          <w:sz w:val="24"/>
          <w:lang w:val="bg-BG"/>
        </w:rPr>
        <w:tab/>
      </w:r>
      <w:r w:rsidRPr="002B6F5B">
        <w:rPr>
          <w:sz w:val="24"/>
          <w:lang w:val="bg-BG"/>
        </w:rPr>
        <w:t>ОВ L 218, 13.8.2008 г., стр. 30, ELI: </w:t>
      </w:r>
      <w:r>
        <w:fldChar w:fldCharType="begin"/>
      </w:r>
      <w:r>
        <w:instrText>HYPERLINK</w:instrText>
      </w:r>
      <w:r w:rsidRPr="002F7AF5">
        <w:rPr>
          <w:lang w:val="ru-RU"/>
        </w:rPr>
        <w:instrText xml:space="preserve"> "</w:instrText>
      </w:r>
      <w:r>
        <w:instrText>http</w:instrText>
      </w:r>
      <w:r w:rsidRPr="002F7AF5">
        <w:rPr>
          <w:lang w:val="ru-RU"/>
        </w:rPr>
        <w:instrText>://</w:instrText>
      </w:r>
      <w:r>
        <w:instrText>data</w:instrText>
      </w:r>
      <w:r w:rsidRPr="002F7AF5">
        <w:rPr>
          <w:lang w:val="ru-RU"/>
        </w:rPr>
        <w:instrText>.</w:instrText>
      </w:r>
      <w:r>
        <w:instrText>europa</w:instrText>
      </w:r>
      <w:r w:rsidRPr="002F7AF5">
        <w:rPr>
          <w:lang w:val="ru-RU"/>
        </w:rPr>
        <w:instrText>.</w:instrText>
      </w:r>
      <w:r>
        <w:instrText>eu</w:instrText>
      </w:r>
      <w:r w:rsidRPr="002F7AF5">
        <w:rPr>
          <w:lang w:val="ru-RU"/>
        </w:rPr>
        <w:instrText>/</w:instrText>
      </w:r>
      <w:r>
        <w:instrText>eli</w:instrText>
      </w:r>
      <w:r w:rsidRPr="002F7AF5">
        <w:rPr>
          <w:lang w:val="ru-RU"/>
        </w:rPr>
        <w:instrText>/</w:instrText>
      </w:r>
      <w:r>
        <w:instrText>reg</w:instrText>
      </w:r>
      <w:r w:rsidRPr="002F7AF5">
        <w:rPr>
          <w:lang w:val="ru-RU"/>
        </w:rPr>
        <w:instrText>/2008/765/</w:instrText>
      </w:r>
      <w:r>
        <w:instrText>oj</w:instrText>
      </w:r>
      <w:r w:rsidRPr="002F7AF5">
        <w:rPr>
          <w:lang w:val="ru-RU"/>
        </w:rPr>
        <w:instrText>" \</w:instrText>
      </w:r>
      <w:r>
        <w:instrText>o</w:instrText>
      </w:r>
      <w:r w:rsidRPr="002F7AF5">
        <w:rPr>
          <w:lang w:val="ru-RU"/>
        </w:rPr>
        <w:instrText xml:space="preserve"> "Предоставя достъп до този документ чрез неговия унифициран идентификатор на ресурс (</w:instrText>
      </w:r>
      <w:r>
        <w:instrText>URI</w:instrText>
      </w:r>
      <w:r w:rsidRPr="002F7AF5">
        <w:rPr>
          <w:lang w:val="ru-RU"/>
        </w:rPr>
        <w:instrText>) на европейския идентификатор на законодателството (</w:instrText>
      </w:r>
      <w:r>
        <w:instrText>ELI</w:instrText>
      </w:r>
      <w:r w:rsidRPr="002F7AF5">
        <w:rPr>
          <w:lang w:val="ru-RU"/>
        </w:rPr>
        <w:instrText>)."</w:instrText>
      </w:r>
      <w:r>
        <w:fldChar w:fldCharType="separate"/>
      </w:r>
      <w:r w:rsidRPr="002B6F5B">
        <w:rPr>
          <w:rStyle w:val="Hyperlink"/>
          <w:sz w:val="24"/>
          <w:lang w:val="bg-BG"/>
        </w:rPr>
        <w:t>http://data.europa.eu/eli/reg/2008/765/oj</w:t>
      </w:r>
      <w:r>
        <w:fldChar w:fldCharType="end"/>
      </w:r>
      <w:r w:rsidRPr="002B6F5B">
        <w:rPr>
          <w:sz w:val="24"/>
          <w:lang w:val="bg-BG"/>
        </w:rPr>
        <w:t xml:space="preserve">. </w:t>
      </w:r>
    </w:p>
  </w:footnote>
  <w:footnote w:id="7">
    <w:p w14:paraId="00ED4DEE" w14:textId="3F86713E" w:rsidR="00283229" w:rsidRPr="002B6F5B" w:rsidRDefault="00283229" w:rsidP="002B6F5B">
      <w:pPr>
        <w:pStyle w:val="FootnoteText"/>
        <w:ind w:left="567" w:hanging="567"/>
        <w:rPr>
          <w:sz w:val="24"/>
          <w:lang w:val="bg-BG"/>
        </w:rPr>
      </w:pPr>
      <w:r w:rsidRPr="002B6F5B">
        <w:rPr>
          <w:rStyle w:val="FootnoteReference"/>
          <w:sz w:val="24"/>
          <w:lang w:val="bg-BG"/>
        </w:rPr>
        <w:footnoteRef/>
      </w:r>
      <w:r w:rsidR="002B6F5B" w:rsidRPr="002B6F5B">
        <w:rPr>
          <w:sz w:val="24"/>
          <w:lang w:val="bg-BG"/>
        </w:rPr>
        <w:t xml:space="preserve"> </w:t>
      </w:r>
      <w:r w:rsidR="002B6F5B" w:rsidRPr="002B6F5B">
        <w:rPr>
          <w:sz w:val="24"/>
          <w:lang w:val="bg-BG"/>
        </w:rPr>
        <w:tab/>
      </w:r>
      <w:r w:rsidRPr="002B6F5B">
        <w:rPr>
          <w:sz w:val="24"/>
          <w:lang w:val="bg-BG"/>
        </w:rPr>
        <w:t>ОВ L</w:t>
      </w:r>
      <w:r w:rsidR="002F7AF5">
        <w:rPr>
          <w:sz w:val="24"/>
          <w:lang w:val="bg-BG"/>
        </w:rPr>
        <w:t>,</w:t>
      </w:r>
      <w:r w:rsidRPr="002B6F5B">
        <w:rPr>
          <w:sz w:val="24"/>
          <w:lang w:val="bg-BG"/>
        </w:rPr>
        <w:t xml:space="preserve"> 2024/3015, 12.12.2024 г., ELI: </w:t>
      </w:r>
      <w:hyperlink r:id="rId5" w:history="1">
        <w:r w:rsidRPr="002B6F5B">
          <w:rPr>
            <w:rStyle w:val="Hyperlink"/>
            <w:sz w:val="24"/>
            <w:lang w:val="bg-BG"/>
          </w:rPr>
          <w:t>http://data.europa.eu/eli/reg/2024/3015/oj</w:t>
        </w:r>
      </w:hyperlink>
      <w:r w:rsidRPr="002B6F5B">
        <w:rPr>
          <w:rStyle w:val="Hyperlink"/>
          <w:sz w:val="24"/>
          <w:lang w:val="bg-BG"/>
        </w:rPr>
        <w:t>.</w:t>
      </w:r>
    </w:p>
  </w:footnote>
  <w:footnote w:id="8">
    <w:p w14:paraId="2AD35C7C" w14:textId="68A762CF" w:rsidR="00283229" w:rsidRPr="002B6F5B" w:rsidRDefault="00283229" w:rsidP="002B6F5B">
      <w:pPr>
        <w:pStyle w:val="FootnoteText"/>
        <w:ind w:left="567" w:hanging="567"/>
        <w:rPr>
          <w:sz w:val="24"/>
          <w:lang w:val="bg-BG"/>
        </w:rPr>
      </w:pPr>
      <w:r w:rsidRPr="002B6F5B">
        <w:rPr>
          <w:rStyle w:val="FootnoteReference"/>
          <w:sz w:val="24"/>
          <w:lang w:val="bg-BG"/>
        </w:rPr>
        <w:footnoteRef/>
      </w:r>
      <w:r w:rsidR="002B6F5B" w:rsidRPr="002B6F5B">
        <w:rPr>
          <w:sz w:val="24"/>
          <w:lang w:val="bg-BG"/>
        </w:rPr>
        <w:t xml:space="preserve"> </w:t>
      </w:r>
      <w:r w:rsidR="002B6F5B" w:rsidRPr="002B6F5B">
        <w:rPr>
          <w:sz w:val="24"/>
          <w:lang w:val="bg-BG"/>
        </w:rPr>
        <w:tab/>
      </w:r>
      <w:r w:rsidRPr="002B6F5B">
        <w:rPr>
          <w:sz w:val="24"/>
          <w:lang w:val="bg-BG"/>
        </w:rPr>
        <w:t xml:space="preserve">Приети текстове, P10_TA(2025)0154. </w:t>
      </w:r>
    </w:p>
  </w:footnote>
  <w:footnote w:id="9">
    <w:p w14:paraId="098FBD4B" w14:textId="2B265DB8" w:rsidR="00283229" w:rsidRPr="002B6F5B" w:rsidRDefault="00283229" w:rsidP="002B6F5B">
      <w:pPr>
        <w:pStyle w:val="FootnoteText"/>
        <w:ind w:left="567" w:hanging="567"/>
        <w:rPr>
          <w:sz w:val="24"/>
          <w:lang w:val="bg-BG"/>
        </w:rPr>
      </w:pPr>
      <w:r w:rsidRPr="002B6F5B">
        <w:rPr>
          <w:rStyle w:val="FootnoteReference"/>
          <w:sz w:val="24"/>
          <w:lang w:val="bg-BG"/>
        </w:rPr>
        <w:footnoteRef/>
      </w:r>
      <w:r w:rsidR="002B6F5B" w:rsidRPr="002B6F5B">
        <w:rPr>
          <w:sz w:val="24"/>
          <w:lang w:val="bg-BG"/>
        </w:rPr>
        <w:t xml:space="preserve"> </w:t>
      </w:r>
      <w:r w:rsidR="002B6F5B" w:rsidRPr="002B6F5B">
        <w:rPr>
          <w:sz w:val="24"/>
          <w:lang w:val="bg-BG"/>
        </w:rPr>
        <w:tab/>
      </w:r>
      <w:r w:rsidRPr="002B6F5B">
        <w:rPr>
          <w:sz w:val="24"/>
          <w:lang w:val="bg-BG"/>
        </w:rPr>
        <w:t xml:space="preserve">Драги, M., </w:t>
      </w:r>
      <w:proofErr w:type="spellStart"/>
      <w:r w:rsidRPr="002B6F5B">
        <w:rPr>
          <w:i/>
          <w:iCs/>
          <w:sz w:val="24"/>
          <w:lang w:val="bg-BG"/>
        </w:rPr>
        <w:t>The</w:t>
      </w:r>
      <w:proofErr w:type="spellEnd"/>
      <w:r w:rsidRPr="002B6F5B">
        <w:rPr>
          <w:i/>
          <w:iCs/>
          <w:sz w:val="24"/>
          <w:lang w:val="bg-BG"/>
        </w:rPr>
        <w:t xml:space="preserve"> </w:t>
      </w:r>
      <w:proofErr w:type="spellStart"/>
      <w:r w:rsidRPr="002B6F5B">
        <w:rPr>
          <w:i/>
          <w:iCs/>
          <w:sz w:val="24"/>
          <w:lang w:val="bg-BG"/>
        </w:rPr>
        <w:t>future</w:t>
      </w:r>
      <w:proofErr w:type="spellEnd"/>
      <w:r w:rsidRPr="002B6F5B">
        <w:rPr>
          <w:i/>
          <w:iCs/>
          <w:sz w:val="24"/>
          <w:lang w:val="bg-BG"/>
        </w:rPr>
        <w:t xml:space="preserve"> </w:t>
      </w:r>
      <w:proofErr w:type="spellStart"/>
      <w:r w:rsidRPr="002B6F5B">
        <w:rPr>
          <w:i/>
          <w:iCs/>
          <w:sz w:val="24"/>
          <w:lang w:val="bg-BG"/>
        </w:rPr>
        <w:t>of</w:t>
      </w:r>
      <w:proofErr w:type="spellEnd"/>
      <w:r w:rsidRPr="002B6F5B">
        <w:rPr>
          <w:i/>
          <w:iCs/>
          <w:sz w:val="24"/>
          <w:lang w:val="bg-BG"/>
        </w:rPr>
        <w:t xml:space="preserve"> </w:t>
      </w:r>
      <w:proofErr w:type="spellStart"/>
      <w:r w:rsidRPr="002B6F5B">
        <w:rPr>
          <w:i/>
          <w:iCs/>
          <w:sz w:val="24"/>
          <w:lang w:val="bg-BG"/>
        </w:rPr>
        <w:t>European</w:t>
      </w:r>
      <w:proofErr w:type="spellEnd"/>
      <w:r w:rsidRPr="002B6F5B">
        <w:rPr>
          <w:i/>
          <w:iCs/>
          <w:sz w:val="24"/>
          <w:lang w:val="bg-BG"/>
        </w:rPr>
        <w:t xml:space="preserve"> </w:t>
      </w:r>
      <w:proofErr w:type="spellStart"/>
      <w:r w:rsidRPr="002B6F5B">
        <w:rPr>
          <w:i/>
          <w:iCs/>
          <w:sz w:val="24"/>
          <w:lang w:val="bg-BG"/>
        </w:rPr>
        <w:t>competitiveness</w:t>
      </w:r>
      <w:proofErr w:type="spellEnd"/>
      <w:r w:rsidRPr="002B6F5B">
        <w:rPr>
          <w:sz w:val="24"/>
          <w:lang w:val="bg-BG"/>
        </w:rPr>
        <w:t xml:space="preserve"> (Бъдещето на европейската конкурентоспособност), </w:t>
      </w:r>
      <w:r w:rsidR="002F7AF5">
        <w:rPr>
          <w:sz w:val="24"/>
          <w:lang w:val="bg-BG"/>
        </w:rPr>
        <w:t xml:space="preserve">9 </w:t>
      </w:r>
      <w:r w:rsidRPr="002B6F5B">
        <w:rPr>
          <w:sz w:val="24"/>
          <w:lang w:val="bg-BG"/>
        </w:rPr>
        <w:t>септември 2024 г.</w:t>
      </w:r>
    </w:p>
  </w:footnote>
  <w:footnote w:id="10">
    <w:p w14:paraId="6A5DA6B8" w14:textId="741C4EB1" w:rsidR="00283229" w:rsidRPr="002B6F5B" w:rsidRDefault="00283229" w:rsidP="002B6F5B">
      <w:pPr>
        <w:pStyle w:val="FootnoteText"/>
        <w:ind w:left="567" w:hanging="567"/>
        <w:rPr>
          <w:sz w:val="24"/>
          <w:lang w:val="bg-BG"/>
        </w:rPr>
      </w:pPr>
      <w:r w:rsidRPr="002B6F5B">
        <w:rPr>
          <w:rStyle w:val="FootnoteReference"/>
          <w:sz w:val="24"/>
          <w:lang w:val="bg-BG"/>
        </w:rPr>
        <w:footnoteRef/>
      </w:r>
      <w:r w:rsidR="002B6F5B" w:rsidRPr="002B6F5B">
        <w:rPr>
          <w:sz w:val="24"/>
          <w:lang w:val="bg-BG"/>
        </w:rPr>
        <w:t xml:space="preserve"> </w:t>
      </w:r>
      <w:r w:rsidR="002B6F5B" w:rsidRPr="002B6F5B">
        <w:rPr>
          <w:sz w:val="24"/>
          <w:lang w:val="bg-BG"/>
        </w:rPr>
        <w:tab/>
      </w:r>
      <w:r w:rsidRPr="002B6F5B">
        <w:rPr>
          <w:sz w:val="24"/>
          <w:lang w:val="bg-BG"/>
        </w:rPr>
        <w:t xml:space="preserve">Директива (ЕС) 2024/825 на Европейския парламент и на Съвета от 28 февруари 2024 г. </w:t>
      </w:r>
      <w:r w:rsidRPr="002B6F5B">
        <w:rPr>
          <w:sz w:val="24"/>
          <w:lang w:val="bg-BG"/>
        </w:rPr>
        <w:t>за изменение на директиви 2005/29/ЕО и 2011/83/ЕС по отношение на предоставянето на повече права на потребителите в контекста на екологичния преход чрез по-добра защита срещу нелоялни практики и чрез по-добро информиране (OВ L, 2024/825, 6.3.2024 г., ELI: </w:t>
      </w:r>
      <w:r w:rsidR="00011985" w:rsidRPr="00815AA0">
        <w:rPr>
          <w:sz w:val="24"/>
          <w:szCs w:val="24"/>
        </w:rPr>
        <w:t>http</w:t>
      </w:r>
      <w:r w:rsidR="00011985" w:rsidRPr="002F7AF5">
        <w:rPr>
          <w:sz w:val="24"/>
          <w:szCs w:val="24"/>
          <w:lang w:val="ru-RU"/>
        </w:rPr>
        <w:t>://</w:t>
      </w:r>
      <w:r w:rsidR="00011985" w:rsidRPr="00815AA0">
        <w:rPr>
          <w:sz w:val="24"/>
          <w:szCs w:val="24"/>
        </w:rPr>
        <w:t>data</w:t>
      </w:r>
      <w:r w:rsidR="00011985" w:rsidRPr="002F7AF5">
        <w:rPr>
          <w:sz w:val="24"/>
          <w:szCs w:val="24"/>
          <w:lang w:val="ru-RU"/>
        </w:rPr>
        <w:t>.</w:t>
      </w:r>
      <w:proofErr w:type="spellStart"/>
      <w:r w:rsidR="00011985" w:rsidRPr="00815AA0">
        <w:rPr>
          <w:sz w:val="24"/>
          <w:szCs w:val="24"/>
        </w:rPr>
        <w:t>europa</w:t>
      </w:r>
      <w:proofErr w:type="spellEnd"/>
      <w:r w:rsidR="00011985" w:rsidRPr="002F7AF5">
        <w:rPr>
          <w:sz w:val="24"/>
          <w:szCs w:val="24"/>
          <w:lang w:val="ru-RU"/>
        </w:rPr>
        <w:t>.</w:t>
      </w:r>
      <w:r w:rsidR="00011985" w:rsidRPr="00815AA0">
        <w:rPr>
          <w:sz w:val="24"/>
          <w:szCs w:val="24"/>
        </w:rPr>
        <w:t>eu</w:t>
      </w:r>
      <w:r w:rsidR="00011985" w:rsidRPr="002F7AF5">
        <w:rPr>
          <w:sz w:val="24"/>
          <w:szCs w:val="24"/>
          <w:lang w:val="ru-RU"/>
        </w:rPr>
        <w:t>/</w:t>
      </w:r>
      <w:proofErr w:type="spellStart"/>
      <w:r w:rsidR="00011985" w:rsidRPr="00815AA0">
        <w:rPr>
          <w:sz w:val="24"/>
          <w:szCs w:val="24"/>
        </w:rPr>
        <w:t>eli</w:t>
      </w:r>
      <w:proofErr w:type="spellEnd"/>
      <w:r w:rsidR="00011985" w:rsidRPr="002F7AF5">
        <w:rPr>
          <w:sz w:val="24"/>
          <w:szCs w:val="24"/>
          <w:lang w:val="ru-RU"/>
        </w:rPr>
        <w:t>/</w:t>
      </w:r>
      <w:proofErr w:type="spellStart"/>
      <w:r w:rsidR="00011985" w:rsidRPr="00815AA0">
        <w:rPr>
          <w:sz w:val="24"/>
          <w:szCs w:val="24"/>
        </w:rPr>
        <w:t>dir</w:t>
      </w:r>
      <w:proofErr w:type="spellEnd"/>
      <w:r w:rsidR="00011985" w:rsidRPr="002F7AF5">
        <w:rPr>
          <w:sz w:val="24"/>
          <w:szCs w:val="24"/>
          <w:lang w:val="ru-RU"/>
        </w:rPr>
        <w:t>/2024/825/</w:t>
      </w:r>
      <w:proofErr w:type="spellStart"/>
      <w:r w:rsidR="00011985" w:rsidRPr="00815AA0">
        <w:rPr>
          <w:sz w:val="24"/>
          <w:szCs w:val="24"/>
        </w:rPr>
        <w:t>oj</w:t>
      </w:r>
      <w:proofErr w:type="spellEnd"/>
      <w:r w:rsidRPr="002B6F5B">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D3E31" w14:textId="77777777" w:rsidR="00064002" w:rsidRPr="002B6F5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2F704" w14:textId="77777777" w:rsidR="00064002" w:rsidRPr="002B6F5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6F777" w14:textId="77777777" w:rsidR="00064002" w:rsidRPr="002B6F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1815894">
    <w:abstractNumId w:val="9"/>
  </w:num>
  <w:num w:numId="2" w16cid:durableId="1728257576">
    <w:abstractNumId w:val="9"/>
  </w:num>
  <w:num w:numId="3" w16cid:durableId="1030684706">
    <w:abstractNumId w:val="7"/>
  </w:num>
  <w:num w:numId="4" w16cid:durableId="960527538">
    <w:abstractNumId w:val="7"/>
  </w:num>
  <w:num w:numId="5" w16cid:durableId="1504978911">
    <w:abstractNumId w:val="6"/>
  </w:num>
  <w:num w:numId="6" w16cid:durableId="720330649">
    <w:abstractNumId w:val="6"/>
  </w:num>
  <w:num w:numId="7" w16cid:durableId="1726634810">
    <w:abstractNumId w:val="5"/>
  </w:num>
  <w:num w:numId="8" w16cid:durableId="2013100389">
    <w:abstractNumId w:val="5"/>
  </w:num>
  <w:num w:numId="9" w16cid:durableId="2053915993">
    <w:abstractNumId w:val="4"/>
  </w:num>
  <w:num w:numId="10" w16cid:durableId="1089499288">
    <w:abstractNumId w:val="4"/>
  </w:num>
  <w:num w:numId="11" w16cid:durableId="1638292979">
    <w:abstractNumId w:val="8"/>
  </w:num>
  <w:num w:numId="12" w16cid:durableId="1829787976">
    <w:abstractNumId w:val="8"/>
  </w:num>
  <w:num w:numId="13" w16cid:durableId="508297906">
    <w:abstractNumId w:val="3"/>
  </w:num>
  <w:num w:numId="14" w16cid:durableId="774324698">
    <w:abstractNumId w:val="3"/>
  </w:num>
  <w:num w:numId="15" w16cid:durableId="1766341165">
    <w:abstractNumId w:val="2"/>
  </w:num>
  <w:num w:numId="16" w16cid:durableId="1658067189">
    <w:abstractNumId w:val="2"/>
  </w:num>
  <w:num w:numId="17" w16cid:durableId="1035815867">
    <w:abstractNumId w:val="1"/>
  </w:num>
  <w:num w:numId="18" w16cid:durableId="72776526">
    <w:abstractNumId w:val="1"/>
  </w:num>
  <w:num w:numId="19" w16cid:durableId="1848786460">
    <w:abstractNumId w:val="0"/>
  </w:num>
  <w:num w:numId="20" w16cid:durableId="2053186066">
    <w:abstractNumId w:val="0"/>
  </w:num>
  <w:num w:numId="21" w16cid:durableId="534001056">
    <w:abstractNumId w:val="9"/>
  </w:num>
  <w:num w:numId="22" w16cid:durableId="260071738">
    <w:abstractNumId w:val="7"/>
  </w:num>
  <w:num w:numId="23" w16cid:durableId="363942830">
    <w:abstractNumId w:val="6"/>
  </w:num>
  <w:num w:numId="24" w16cid:durableId="46531378">
    <w:abstractNumId w:val="5"/>
  </w:num>
  <w:num w:numId="25" w16cid:durableId="52893586">
    <w:abstractNumId w:val="4"/>
  </w:num>
  <w:num w:numId="26" w16cid:durableId="372972329">
    <w:abstractNumId w:val="8"/>
  </w:num>
  <w:num w:numId="27" w16cid:durableId="1882591802">
    <w:abstractNumId w:val="3"/>
  </w:num>
  <w:num w:numId="28" w16cid:durableId="712652757">
    <w:abstractNumId w:val="2"/>
  </w:num>
  <w:num w:numId="29" w16cid:durableId="515340998">
    <w:abstractNumId w:val="1"/>
  </w:num>
  <w:num w:numId="30" w16cid:durableId="658656624">
    <w:abstractNumId w:val="0"/>
  </w:num>
  <w:num w:numId="31" w16cid:durableId="1325236213">
    <w:abstractNumId w:val="9"/>
  </w:num>
  <w:num w:numId="32" w16cid:durableId="1022588481">
    <w:abstractNumId w:val="7"/>
  </w:num>
  <w:num w:numId="33" w16cid:durableId="1326856652">
    <w:abstractNumId w:val="6"/>
  </w:num>
  <w:num w:numId="34" w16cid:durableId="478576418">
    <w:abstractNumId w:val="5"/>
  </w:num>
  <w:num w:numId="35" w16cid:durableId="1697004548">
    <w:abstractNumId w:val="4"/>
  </w:num>
  <w:num w:numId="36" w16cid:durableId="1407413442">
    <w:abstractNumId w:val="8"/>
  </w:num>
  <w:num w:numId="37" w16cid:durableId="2117215555">
    <w:abstractNumId w:val="3"/>
  </w:num>
  <w:num w:numId="38" w16cid:durableId="749083472">
    <w:abstractNumId w:val="2"/>
  </w:num>
  <w:num w:numId="39" w16cid:durableId="613756024">
    <w:abstractNumId w:val="1"/>
  </w:num>
  <w:num w:numId="40" w16cid:durableId="1363094510">
    <w:abstractNumId w:val="0"/>
  </w:num>
  <w:num w:numId="41" w16cid:durableId="996691901">
    <w:abstractNumId w:val="10"/>
  </w:num>
  <w:num w:numId="42" w16cid:durableId="1383870225">
    <w:abstractNumId w:val="10"/>
  </w:num>
  <w:num w:numId="43" w16cid:durableId="1820147732">
    <w:abstractNumId w:val="10"/>
  </w:num>
  <w:num w:numId="44" w16cid:durableId="10275626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5/2026"/>
    <w:docVar w:name="dvlangue" w:val="BG"/>
    <w:docVar w:name="dvnumam" w:val="0"/>
    <w:docVar w:name="dvpe" w:val="779.388"/>
    <w:docVar w:name="dvtitre" w:val="Резолюция на Европейския парламент от ... 2026 г. относно защитата на дружествата, работните места и продуктите от ЕС срещу нелоялна конкуренция от държави извън ЕС(2025/2955(RSP))"/>
  </w:docVars>
  <w:rsids>
    <w:rsidRoot w:val="00825C65"/>
    <w:rsid w:val="00002272"/>
    <w:rsid w:val="00011985"/>
    <w:rsid w:val="00063F2C"/>
    <w:rsid w:val="00064002"/>
    <w:rsid w:val="000677B9"/>
    <w:rsid w:val="000831BA"/>
    <w:rsid w:val="000A42CC"/>
    <w:rsid w:val="000E7DD9"/>
    <w:rsid w:val="0010095E"/>
    <w:rsid w:val="00125B37"/>
    <w:rsid w:val="00153A04"/>
    <w:rsid w:val="00187494"/>
    <w:rsid w:val="001F32AE"/>
    <w:rsid w:val="002767FF"/>
    <w:rsid w:val="00283229"/>
    <w:rsid w:val="002B18FE"/>
    <w:rsid w:val="002B5493"/>
    <w:rsid w:val="002B6F5B"/>
    <w:rsid w:val="002F7AF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087D"/>
    <w:rsid w:val="00751A4A"/>
    <w:rsid w:val="00756632"/>
    <w:rsid w:val="00762C74"/>
    <w:rsid w:val="00786EC0"/>
    <w:rsid w:val="007D1690"/>
    <w:rsid w:val="007E22AD"/>
    <w:rsid w:val="00815AA0"/>
    <w:rsid w:val="00817416"/>
    <w:rsid w:val="00825C65"/>
    <w:rsid w:val="00842779"/>
    <w:rsid w:val="00865F67"/>
    <w:rsid w:val="00881A7B"/>
    <w:rsid w:val="008840E5"/>
    <w:rsid w:val="00887B3E"/>
    <w:rsid w:val="008C2AC6"/>
    <w:rsid w:val="00930C23"/>
    <w:rsid w:val="0093193B"/>
    <w:rsid w:val="009509D8"/>
    <w:rsid w:val="00950B64"/>
    <w:rsid w:val="00981893"/>
    <w:rsid w:val="0098537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63F0"/>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73D17F"/>
  <w15:chartTrackingRefBased/>
  <w15:docId w15:val="{13D8DEF5-A197-4575-BBEA-E7B2703F3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83229"/>
    <w:pPr>
      <w:spacing w:before="480" w:after="240"/>
    </w:pPr>
  </w:style>
  <w:style w:type="paragraph" w:customStyle="1" w:styleId="NormalHanging12a">
    <w:name w:val="NormalHanging12a"/>
    <w:basedOn w:val="Normal"/>
    <w:rsid w:val="00283229"/>
    <w:pPr>
      <w:spacing w:after="240"/>
      <w:ind w:left="567" w:hanging="567"/>
    </w:pPr>
  </w:style>
  <w:style w:type="character" w:styleId="Hyperlink">
    <w:name w:val="Hyperlink"/>
    <w:basedOn w:val="DefaultParagraphFont"/>
    <w:uiPriority w:val="99"/>
    <w:rsid w:val="00283229"/>
    <w:rPr>
      <w:color w:val="0563C1" w:themeColor="hyperlink"/>
      <w:u w:val="single"/>
    </w:rPr>
  </w:style>
  <w:style w:type="character" w:styleId="Strong">
    <w:name w:val="Strong"/>
    <w:basedOn w:val="DefaultParagraphFont"/>
    <w:uiPriority w:val="22"/>
    <w:qFormat/>
    <w:rsid w:val="00283229"/>
    <w:rPr>
      <w:b/>
      <w:bCs/>
    </w:rPr>
  </w:style>
  <w:style w:type="paragraph" w:styleId="Revision">
    <w:name w:val="Revision"/>
    <w:hidden/>
    <w:uiPriority w:val="99"/>
    <w:semiHidden/>
    <w:rsid w:val="00063F2C"/>
    <w:rPr>
      <w:sz w:val="24"/>
      <w:lang w:val="bg-BG"/>
    </w:rPr>
  </w:style>
  <w:style w:type="character" w:styleId="FollowedHyperlink">
    <w:name w:val="FollowedHyperlink"/>
    <w:basedOn w:val="DefaultParagraphFont"/>
    <w:rsid w:val="0001198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_impl/2025/512/oj" TargetMode="External"/><Relationship Id="rId1" Type="http://schemas.openxmlformats.org/officeDocument/2006/relationships/hyperlink" Target="http://data.europa.eu/eli/reg/2013/952/oj" TargetMode="External"/><Relationship Id="rId5" Type="http://schemas.openxmlformats.org/officeDocument/2006/relationships/hyperlink" Target="http://data.europa.eu/eli/reg/2024/3015/oj" TargetMode="External"/><Relationship Id="rId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3068</Words>
  <Characters>18578</Characters>
  <Application>Microsoft Office Word</Application>
  <DocSecurity>0</DocSecurity>
  <Lines>688</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DIMITROV Cvetan</cp:lastModifiedBy>
  <cp:revision>2</cp:revision>
  <cp:lastPrinted>2004-11-19T15:42:00Z</cp:lastPrinted>
  <dcterms:created xsi:type="dcterms:W3CDTF">2026-05-29T09:41:00Z</dcterms:created>
  <dcterms:modified xsi:type="dcterms:W3CDTF">2026-05-29T09:41:00Z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B10-0185/2026</vt:lpwstr>
  </property>
  <property fmtid="{D5CDD505-2E9C-101B-9397-08002B2CF9AE}" pid="4" name="&lt;Type&gt;">
    <vt:lpwstr>RR</vt:lpwstr>
  </property>
</Properties>
</file>