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DE3" w14:paraId="137CDA1D" w14:textId="77777777" w:rsidTr="0010095E">
        <w:trPr>
          <w:trHeight w:hRule="exact" w:val="1418"/>
        </w:trPr>
        <w:tc>
          <w:tcPr>
            <w:tcW w:w="6804" w:type="dxa"/>
            <w:shd w:val="clear" w:color="auto" w:fill="auto"/>
            <w:vAlign w:val="center"/>
          </w:tcPr>
          <w:p w14:paraId="5CCFCB66" w14:textId="77777777" w:rsidR="00751A4A" w:rsidRPr="00E64DE3" w:rsidRDefault="007A34EE" w:rsidP="0010095E">
            <w:pPr>
              <w:pStyle w:val="EPName"/>
            </w:pPr>
            <w:r w:rsidRPr="00E64DE3">
              <w:t>Europa-Parlamentet</w:t>
            </w:r>
          </w:p>
          <w:p w14:paraId="2ABADCCD" w14:textId="77777777" w:rsidR="00751A4A" w:rsidRPr="00E64DE3" w:rsidRDefault="005F1B17" w:rsidP="005F1B17">
            <w:pPr>
              <w:pStyle w:val="EPTerm"/>
              <w:rPr>
                <w:rStyle w:val="HideTWBExt"/>
                <w:noProof w:val="0"/>
                <w:vanish w:val="0"/>
                <w:color w:val="auto"/>
              </w:rPr>
            </w:pPr>
            <w:r w:rsidRPr="00E64DE3">
              <w:t>2024</w:t>
            </w:r>
            <w:r w:rsidR="00817416" w:rsidRPr="00E64DE3">
              <w:t>-202</w:t>
            </w:r>
            <w:r w:rsidRPr="00E64DE3">
              <w:t>9</w:t>
            </w:r>
          </w:p>
        </w:tc>
        <w:tc>
          <w:tcPr>
            <w:tcW w:w="2268" w:type="dxa"/>
            <w:shd w:val="clear" w:color="auto" w:fill="auto"/>
          </w:tcPr>
          <w:p w14:paraId="5DB568A8" w14:textId="77777777" w:rsidR="00751A4A" w:rsidRPr="00E64DE3" w:rsidRDefault="00187494" w:rsidP="0010095E">
            <w:pPr>
              <w:pStyle w:val="EPLogo"/>
            </w:pPr>
            <w:r w:rsidRPr="00E64DE3">
              <w:rPr>
                <w:noProof/>
                <w:lang w:eastAsia="ja-JP"/>
              </w:rPr>
              <w:drawing>
                <wp:inline distT="0" distB="0" distL="0" distR="0" wp14:anchorId="168B4883" wp14:editId="786978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C83F49" w14:textId="77777777" w:rsidR="00D058B8" w:rsidRPr="00E64DE3" w:rsidRDefault="00D058B8" w:rsidP="004C5D52">
      <w:pPr>
        <w:pStyle w:val="LineTop"/>
      </w:pPr>
    </w:p>
    <w:p w14:paraId="1830A891" w14:textId="77777777" w:rsidR="00680577" w:rsidRPr="00E64DE3" w:rsidRDefault="007A34EE" w:rsidP="00680577">
      <w:pPr>
        <w:pStyle w:val="EPBodyTA1"/>
      </w:pPr>
      <w:r w:rsidRPr="00E64DE3">
        <w:t>VEDTAGNE TEKSTER</w:t>
      </w:r>
    </w:p>
    <w:p w14:paraId="1DBF7C5F" w14:textId="77777777" w:rsidR="00D058B8" w:rsidRPr="00E64DE3" w:rsidRDefault="00D058B8" w:rsidP="00D058B8">
      <w:pPr>
        <w:pStyle w:val="LineBottom"/>
      </w:pPr>
    </w:p>
    <w:p w14:paraId="56131D1B" w14:textId="5920FC19" w:rsidR="007A34EE" w:rsidRPr="00E64DE3" w:rsidRDefault="007A34EE" w:rsidP="007A34EE">
      <w:pPr>
        <w:pStyle w:val="ATHeading1"/>
      </w:pPr>
      <w:bookmarkStart w:id="0" w:name="TANumber"/>
      <w:r w:rsidRPr="00E64DE3">
        <w:t>P10_TA(2026)0</w:t>
      </w:r>
      <w:r w:rsidR="00221135">
        <w:t>149</w:t>
      </w:r>
      <w:bookmarkEnd w:id="0"/>
    </w:p>
    <w:p w14:paraId="3650716C" w14:textId="77777777" w:rsidR="007A34EE" w:rsidRPr="00E64DE3" w:rsidRDefault="007A34EE" w:rsidP="007A34EE">
      <w:pPr>
        <w:pStyle w:val="ATHeading2"/>
      </w:pPr>
      <w:bookmarkStart w:id="1" w:name="title"/>
      <w:r w:rsidRPr="00E64DE3">
        <w:t>Beskyttelse af EU-virksomheder, -arbejdspladser og -produkter mod illoyal konkurrence fra tredjelande</w:t>
      </w:r>
      <w:bookmarkEnd w:id="1"/>
    </w:p>
    <w:p w14:paraId="471C0331" w14:textId="77777777" w:rsidR="007A34EE" w:rsidRPr="00E64DE3" w:rsidRDefault="007A34EE" w:rsidP="007A34EE">
      <w:pPr>
        <w:rPr>
          <w:i/>
          <w:vanish/>
        </w:rPr>
      </w:pPr>
      <w:r w:rsidRPr="00E64DE3">
        <w:rPr>
          <w:i/>
        </w:rPr>
        <w:fldChar w:fldCharType="begin"/>
      </w:r>
      <w:r w:rsidRPr="00E64DE3">
        <w:rPr>
          <w:i/>
        </w:rPr>
        <w:instrText xml:space="preserve"> TC"(</w:instrText>
      </w:r>
      <w:bookmarkStart w:id="2" w:name="DocNumber"/>
      <w:r w:rsidRPr="00E64DE3">
        <w:rPr>
          <w:i/>
        </w:rPr>
        <w:instrText>B10-0185/2026</w:instrText>
      </w:r>
      <w:bookmarkEnd w:id="2"/>
      <w:r w:rsidRPr="00E64DE3">
        <w:rPr>
          <w:i/>
        </w:rPr>
        <w:instrText xml:space="preserve">)"\l3 \n&gt; \* MERGEFORMAT </w:instrText>
      </w:r>
      <w:r w:rsidRPr="00E64DE3">
        <w:rPr>
          <w:i/>
        </w:rPr>
        <w:fldChar w:fldCharType="end"/>
      </w:r>
    </w:p>
    <w:p w14:paraId="18B3492B" w14:textId="77777777" w:rsidR="007A34EE" w:rsidRPr="00E64DE3" w:rsidRDefault="007A34EE" w:rsidP="007A34EE">
      <w:pPr>
        <w:rPr>
          <w:vanish/>
        </w:rPr>
      </w:pPr>
      <w:bookmarkStart w:id="3" w:name="PE"/>
      <w:r w:rsidRPr="00E64DE3">
        <w:rPr>
          <w:vanish/>
        </w:rPr>
        <w:t>PE779.388</w:t>
      </w:r>
      <w:bookmarkEnd w:id="3"/>
    </w:p>
    <w:p w14:paraId="310AAC59" w14:textId="77777777" w:rsidR="007A34EE" w:rsidRPr="00E64DE3" w:rsidRDefault="007A34EE" w:rsidP="007A34EE">
      <w:pPr>
        <w:pStyle w:val="ATHeading3"/>
      </w:pPr>
      <w:bookmarkStart w:id="4" w:name="Sujet"/>
      <w:r w:rsidRPr="00E64DE3">
        <w:t>Europa-Parlamentets beslutning af 29. april 2026 om beskyttelse af EU-virksomheder, -arbejdspladser og -produkter mod unfair konkurrence fra lande uden for EU</w:t>
      </w:r>
      <w:bookmarkEnd w:id="4"/>
      <w:r w:rsidRPr="00E64DE3">
        <w:t xml:space="preserve"> </w:t>
      </w:r>
      <w:bookmarkStart w:id="5" w:name="References"/>
      <w:r w:rsidRPr="00E64DE3">
        <w:t>(2025/2955(RSP))</w:t>
      </w:r>
      <w:bookmarkEnd w:id="5"/>
    </w:p>
    <w:p w14:paraId="44F0ADB5" w14:textId="77777777" w:rsidR="000A2C77" w:rsidRPr="00E64DE3" w:rsidRDefault="000A2C77" w:rsidP="000A2C77">
      <w:pPr>
        <w:pStyle w:val="EPComma"/>
      </w:pPr>
      <w:bookmarkStart w:id="6" w:name="TextBodyBegin"/>
      <w:bookmarkEnd w:id="6"/>
      <w:r w:rsidRPr="00E64DE3">
        <w:rPr>
          <w:i/>
          <w:iCs/>
        </w:rPr>
        <w:t>Europa-Parlamentet,</w:t>
      </w:r>
    </w:p>
    <w:p w14:paraId="6044D8A9" w14:textId="77777777" w:rsidR="000A2C77" w:rsidRPr="00E64DE3" w:rsidRDefault="000A2C77" w:rsidP="000A2C77">
      <w:pPr>
        <w:pStyle w:val="NormalHanging12a"/>
        <w:rPr>
          <w:rFonts w:eastAsiaTheme="minorHAnsi"/>
        </w:rPr>
      </w:pPr>
      <w:r w:rsidRPr="00E64DE3">
        <w:t>–</w:t>
      </w:r>
      <w:r w:rsidRPr="00E64DE3">
        <w:tab/>
        <w:t>der henviser til andragende nr. 0072/2025 og 0956/2025,</w:t>
      </w:r>
    </w:p>
    <w:p w14:paraId="4C38B86A" w14:textId="77777777" w:rsidR="000A2C77" w:rsidRPr="00E64DE3" w:rsidRDefault="000A2C77" w:rsidP="000A2C77">
      <w:pPr>
        <w:pStyle w:val="NormalHanging12a"/>
      </w:pPr>
      <w:r w:rsidRPr="00E64DE3">
        <w:t>–</w:t>
      </w:r>
      <w:r w:rsidRPr="00E64DE3">
        <w:tab/>
        <w:t>der henviser til Europa-Parlamentets og Rådets forordning (EU) nr. 952/2013 af 9. oktober 2013 om EU-toldkodeksen</w:t>
      </w:r>
      <w:r w:rsidRPr="00E64DE3">
        <w:rPr>
          <w:rStyle w:val="FootnoteReference"/>
          <w:color w:val="000000"/>
        </w:rPr>
        <w:footnoteReference w:id="1"/>
      </w:r>
      <w:r w:rsidRPr="00E64DE3">
        <w:t xml:space="preserve"> og Kommissionens gennemførelsesforordning (EU) 2025/512 af 13. marts 2025 om den tekniske tilrettelæggelse af udvikling, vedligeholdelse og benyttelse af elektroniske systemer til udveksling og lagring af oplysninger i henhold til Europa-Parlamentets og Rådets forordning (EU) nr. 952/2013</w:t>
      </w:r>
      <w:r w:rsidRPr="00E64DE3">
        <w:rPr>
          <w:rStyle w:val="FootnoteReference"/>
          <w:color w:val="000000"/>
        </w:rPr>
        <w:footnoteReference w:id="2"/>
      </w:r>
      <w:r w:rsidRPr="00E64DE3">
        <w:t>,</w:t>
      </w:r>
    </w:p>
    <w:p w14:paraId="37079F5D" w14:textId="77777777" w:rsidR="000A2C77" w:rsidRPr="00E64DE3" w:rsidRDefault="000A2C77" w:rsidP="000A2C77">
      <w:pPr>
        <w:pStyle w:val="NormalHanging12a"/>
      </w:pPr>
      <w:r w:rsidRPr="00E64DE3">
        <w:t>–</w:t>
      </w:r>
      <w:r w:rsidRPr="00E64DE3">
        <w:tab/>
        <w:t>der henviser til Europa-Parlamentets og Rådets forordning (EU) 2022/2065 af 19. oktober 2022 om et indre marked for digitale tjenester og om ændring af direktiv 2000/31/EF (forordning om digitale tjenester)</w:t>
      </w:r>
      <w:r w:rsidRPr="00E64DE3">
        <w:rPr>
          <w:rStyle w:val="FootnoteReference"/>
          <w:color w:val="000000"/>
        </w:rPr>
        <w:footnoteReference w:id="3"/>
      </w:r>
      <w:r w:rsidRPr="00E64DE3">
        <w:t>,</w:t>
      </w:r>
    </w:p>
    <w:p w14:paraId="3A7978FE" w14:textId="77777777" w:rsidR="000A2C77" w:rsidRPr="00E64DE3" w:rsidRDefault="000A2C77" w:rsidP="000A2C77">
      <w:pPr>
        <w:pStyle w:val="NormalHanging12a"/>
      </w:pPr>
      <w:r w:rsidRPr="00E64DE3">
        <w:t>–</w:t>
      </w:r>
      <w:r w:rsidRPr="00E64DE3">
        <w:tab/>
        <w:t>der henviser til Europa-Parlamentets og Rådets forordning (EU) 2023/988 af 10. maj 2023 om produktsikkerhed i almindelighed, om ændring af Europa-Parlamentets og Rådets forordning (EU) nr. 1025/2012 og Europa-Parlamentets og Rådets direktiv (EU) 2020/1828 og om ophævelse af Europa-Parlamentets og Rådets direktiv 2001/95/EF og Rådets direktiv 87/357/EØF</w:t>
      </w:r>
      <w:r w:rsidRPr="00E64DE3">
        <w:rPr>
          <w:rStyle w:val="FootnoteReference"/>
          <w:color w:val="000000"/>
        </w:rPr>
        <w:footnoteReference w:id="4"/>
      </w:r>
      <w:r w:rsidRPr="00E64DE3">
        <w:t>,</w:t>
      </w:r>
    </w:p>
    <w:p w14:paraId="612389AE" w14:textId="77777777" w:rsidR="000A2C77" w:rsidRPr="00E64DE3" w:rsidRDefault="000A2C77" w:rsidP="000A2C77">
      <w:pPr>
        <w:pStyle w:val="NormalHanging12a"/>
      </w:pPr>
      <w:r w:rsidRPr="00E64DE3">
        <w:t>–</w:t>
      </w:r>
      <w:r w:rsidRPr="00E64DE3">
        <w:tab/>
        <w:t>der henviser til Europa-Parlamentets og Rådets forordning (EU) 2019/1020 af 20. juni 2019 om markedsovervågning og produktoverensstemmelse og om ændring af direktiv 2004/42/EF og forordning (EF) nr. 765/2008 og (EU) nr. 305/2011</w:t>
      </w:r>
      <w:r w:rsidRPr="00E64DE3">
        <w:rPr>
          <w:rStyle w:val="FootnoteReference"/>
          <w:color w:val="000000"/>
        </w:rPr>
        <w:footnoteReference w:id="5"/>
      </w:r>
      <w:r w:rsidRPr="00E64DE3">
        <w:t>,</w:t>
      </w:r>
    </w:p>
    <w:p w14:paraId="2B65B726" w14:textId="77777777" w:rsidR="000A2C77" w:rsidRPr="00E64DE3" w:rsidRDefault="000A2C77" w:rsidP="000A2C77">
      <w:pPr>
        <w:pStyle w:val="NormalHanging12a"/>
      </w:pPr>
      <w:r w:rsidRPr="00E64DE3">
        <w:lastRenderedPageBreak/>
        <w:t>–</w:t>
      </w:r>
      <w:r w:rsidRPr="00E64DE3">
        <w:tab/>
        <w:t>der henviser til Europa-Parlamentets og Rådets forordning (EF) nr. 765/2008 af 9. juli 2008 om kravene til akkreditering og markedsovervågning i forbindelse med markedsføring af produkter og om ophævelse af Rådets forordning (EØF) nr. 339/93</w:t>
      </w:r>
      <w:r w:rsidRPr="00E64DE3">
        <w:rPr>
          <w:rStyle w:val="FootnoteReference"/>
          <w:color w:val="000000"/>
        </w:rPr>
        <w:footnoteReference w:id="6"/>
      </w:r>
      <w:r w:rsidRPr="00E64DE3">
        <w:t>,</w:t>
      </w:r>
    </w:p>
    <w:p w14:paraId="782FE599" w14:textId="77777777" w:rsidR="000A2C77" w:rsidRPr="00E64DE3" w:rsidRDefault="000A2C77" w:rsidP="000A2C77">
      <w:pPr>
        <w:pStyle w:val="NormalHanging12a"/>
      </w:pPr>
      <w:r w:rsidRPr="00E64DE3">
        <w:t>–</w:t>
      </w:r>
      <w:r w:rsidRPr="00E64DE3">
        <w:tab/>
        <w:t>der henviser til Europa-Parlamentets og Rådets forordning (EU) 2024/3015 af 27. november 2024 om forbud mod produkter fremstillet ved tvangsarbejde på EU-markedet og om ændring af direktiv (EU) 2019/1937</w:t>
      </w:r>
      <w:r w:rsidRPr="00E64DE3">
        <w:rPr>
          <w:rStyle w:val="FootnoteReference"/>
          <w:color w:val="000000"/>
        </w:rPr>
        <w:footnoteReference w:id="7"/>
      </w:r>
      <w:r w:rsidRPr="00E64DE3">
        <w:t>,</w:t>
      </w:r>
    </w:p>
    <w:p w14:paraId="608812A5" w14:textId="77777777" w:rsidR="000A2C77" w:rsidRPr="00E64DE3" w:rsidRDefault="000A2C77" w:rsidP="000A2C77">
      <w:pPr>
        <w:pStyle w:val="NormalHanging12a"/>
      </w:pPr>
      <w:r w:rsidRPr="00E64DE3">
        <w:t>–</w:t>
      </w:r>
      <w:r w:rsidRPr="00E64DE3">
        <w:tab/>
        <w:t>der henviser til Kommissionens meddelelse af 5. februar 2025 med titlen "En omfattende EU-værktøjskasse til sikker og bæredygtig e-handel" (</w:t>
      </w:r>
      <w:proofErr w:type="gramStart"/>
      <w:r w:rsidRPr="00E64DE3">
        <w:t>COM(</w:t>
      </w:r>
      <w:proofErr w:type="gramEnd"/>
      <w:r w:rsidRPr="00E64DE3">
        <w:t>2025)0037),</w:t>
      </w:r>
    </w:p>
    <w:p w14:paraId="5F402BB7" w14:textId="77777777" w:rsidR="000A2C77" w:rsidRPr="00E64DE3" w:rsidRDefault="000A2C77" w:rsidP="000A2C77">
      <w:pPr>
        <w:pStyle w:val="NormalHanging12a"/>
      </w:pPr>
      <w:r w:rsidRPr="00E64DE3">
        <w:t>–</w:t>
      </w:r>
      <w:r w:rsidRPr="00E64DE3">
        <w:tab/>
        <w:t>der henviser til sin beslutning af 9. juli 2025 om produktsikkerhed og overholdelse af regler i forbindelse med e-handel og import fra lande uden for EU</w:t>
      </w:r>
      <w:r w:rsidRPr="00E64DE3">
        <w:rPr>
          <w:rStyle w:val="FootnoteReference"/>
          <w:color w:val="000000"/>
        </w:rPr>
        <w:footnoteReference w:id="8"/>
      </w:r>
      <w:r w:rsidRPr="00E64DE3">
        <w:t>,</w:t>
      </w:r>
    </w:p>
    <w:p w14:paraId="3BD9FB46" w14:textId="77777777" w:rsidR="000A2C77" w:rsidRPr="00E64DE3" w:rsidRDefault="000A2C77" w:rsidP="000A2C77">
      <w:pPr>
        <w:pStyle w:val="NormalHanging12a"/>
      </w:pPr>
      <w:r w:rsidRPr="00E64DE3">
        <w:t>–</w:t>
      </w:r>
      <w:r w:rsidRPr="00E64DE3">
        <w:tab/>
        <w:t>der henviser til forretningsordenens artikel 233, stk. 2,</w:t>
      </w:r>
    </w:p>
    <w:p w14:paraId="34898692" w14:textId="77777777" w:rsidR="000A2C77" w:rsidRPr="00E64DE3" w:rsidRDefault="000A2C77" w:rsidP="000A2C77">
      <w:pPr>
        <w:pStyle w:val="NormalHanging12a"/>
      </w:pPr>
      <w:r w:rsidRPr="00E64DE3">
        <w:t>A.</w:t>
      </w:r>
      <w:r w:rsidRPr="00E64DE3">
        <w:rPr>
          <w:i/>
        </w:rPr>
        <w:tab/>
      </w:r>
      <w:r w:rsidRPr="00E64DE3">
        <w:t>der henviser til, at unfair konkurrence fra import, der bringes i omsætning på EU-markedet, kan opstå, når produkter sælges til kunstigt lave priser som følge af dumping, handelsforvridende subsidier, strukturel overkapacitet, lovgivningsmæssige asymmetrier, herunder lavere miljø-, bæredygtigheds- og arbejdsstandarder, vildledende handelspraksis eller omgåelse af gældende sundheds- og sikkerhedsstandarder; der henviser til, at en sådan praksis er i strid med EU's engagement i et retfærdigt og bæredygtigt globalt handelssystem, underminerer EU-producenter, der opererer under høje regulerings- og bæredygtighedskrav, og kan forårsage betydelig økonomisk skade på strategiske industrielle økosystemer i det indre marked og samtidig påvirke forbrugerne negativt;</w:t>
      </w:r>
    </w:p>
    <w:p w14:paraId="1AFC5639" w14:textId="77777777" w:rsidR="000A2C77" w:rsidRPr="00E64DE3" w:rsidRDefault="000A2C77" w:rsidP="000A2C77">
      <w:pPr>
        <w:pStyle w:val="NormalHanging12a"/>
      </w:pPr>
      <w:r w:rsidRPr="00E64DE3">
        <w:t>B.</w:t>
      </w:r>
      <w:r w:rsidRPr="00E64DE3">
        <w:tab/>
        <w:t>der henviser til, at de seneste forstyrrelser i det globale handelssystem risikerer at omdirigere overskudsproduktion til EU-markedet og fordreje konkurrencevilkårene;</w:t>
      </w:r>
    </w:p>
    <w:p w14:paraId="5D84919C" w14:textId="77777777" w:rsidR="000A2C77" w:rsidRPr="00E64DE3" w:rsidRDefault="000A2C77" w:rsidP="000A2C77">
      <w:pPr>
        <w:pStyle w:val="NormalHanging12a"/>
      </w:pPr>
      <w:r w:rsidRPr="00E64DE3">
        <w:t>C.</w:t>
      </w:r>
      <w:r w:rsidRPr="00E64DE3">
        <w:tab/>
        <w:t xml:space="preserve">der henviser til, at statsstøtte og industriel overkapacitet i Kina i sektorer som stål, elektronik og solpaneler risikerer at underbyde EU-virksomheder, hvilket gør det stadig vanskeligere for EU-producenter at konkurrere på prisen; der henviser til, at Kina som skitseret i </w:t>
      </w:r>
      <w:proofErr w:type="spellStart"/>
      <w:r w:rsidRPr="00E64DE3">
        <w:t>Draghirapporten</w:t>
      </w:r>
      <w:proofErr w:type="spellEnd"/>
      <w:r w:rsidRPr="00E64DE3">
        <w:rPr>
          <w:rStyle w:val="FootnoteReference"/>
          <w:color w:val="000000"/>
        </w:rPr>
        <w:footnoteReference w:id="9"/>
      </w:r>
      <w:r w:rsidRPr="00E64DE3">
        <w:t xml:space="preserve"> allerede dominerer den globale eksport af ren teknologi og forventes at opretholde en betydelig overkapacitet inden for solcelleenergi, battericeller og elektriske køretøjer i fremtiden, delvis drevet af statsstøtte, der er fire gange højere end i andre store økonomier, kombineret med lave produktionsomkostninger;</w:t>
      </w:r>
    </w:p>
    <w:p w14:paraId="41D303C2" w14:textId="77777777" w:rsidR="000A2C77" w:rsidRPr="00E64DE3" w:rsidRDefault="000A2C77" w:rsidP="000A2C77">
      <w:pPr>
        <w:pStyle w:val="NormalHanging12a"/>
      </w:pPr>
      <w:r w:rsidRPr="00E64DE3">
        <w:t>D.</w:t>
      </w:r>
      <w:r w:rsidRPr="00E64DE3">
        <w:tab/>
        <w:t>der henviser til, at Kommissionen allerede råder over en række handelspolitiske beskyttelsesinstrumenter, herunder beskyttelsesforanstaltninger, som sætter den i stand til at beskytte arbejdspladser og virksomheder i EU i tilfælde af unfair konkurrence, markedsforvridning eller dumping; der henviser til, at EU navnlig har anvendt disse foranstaltninger på kinesiske elektriske køretøjer efter konstateringer af urimelig statsstøtte;</w:t>
      </w:r>
    </w:p>
    <w:p w14:paraId="57440D81" w14:textId="77777777" w:rsidR="000A2C77" w:rsidRPr="00E64DE3" w:rsidRDefault="000A2C77" w:rsidP="000A2C77">
      <w:pPr>
        <w:pStyle w:val="NormalHanging12a"/>
      </w:pPr>
      <w:r w:rsidRPr="00E64DE3">
        <w:t>E.</w:t>
      </w:r>
      <w:r w:rsidRPr="00E64DE3">
        <w:tab/>
        <w:t xml:space="preserve">der henviser til, at nogle onlineplatforme uden for EU er i hastig vækst på EU-markedet </w:t>
      </w:r>
      <w:r w:rsidRPr="00E64DE3">
        <w:lastRenderedPageBreak/>
        <w:t>og i nogle tilfælde nyder godt af statsstøtte og tilbyder varer til meget lave priser, der underbyder EU-virksomheder, navnlig små og mellemstore virksomheder (SMV'er), samtidig med at de bringer betydelige mængder produkter i omsætning, der ikke overholder EU's sikkerheds-, miljø- og kemikaliestandarder, hvilket udgør en risiko for forbrugerne og forårsager økonomisk skade;</w:t>
      </w:r>
    </w:p>
    <w:p w14:paraId="68C6FA82" w14:textId="76D6E179" w:rsidR="000A2C77" w:rsidRPr="001C5BEE" w:rsidRDefault="000A2C77" w:rsidP="000A2C77">
      <w:pPr>
        <w:pStyle w:val="NormalHanging12a"/>
        <w:rPr>
          <w:b/>
        </w:rPr>
      </w:pPr>
      <w:r w:rsidRPr="001C5BEE">
        <w:rPr>
          <w:rStyle w:val="Strong"/>
          <w:b w:val="0"/>
          <w:bCs w:val="0"/>
          <w:color w:val="000000"/>
        </w:rPr>
        <w:t>F</w:t>
      </w:r>
      <w:r w:rsidR="00871E01">
        <w:rPr>
          <w:rStyle w:val="Strong"/>
          <w:b w:val="0"/>
          <w:bCs w:val="0"/>
          <w:color w:val="000000"/>
        </w:rPr>
        <w:t>.</w:t>
      </w:r>
      <w:r w:rsidRPr="001C5BEE">
        <w:rPr>
          <w:rStyle w:val="Strong"/>
          <w:b w:val="0"/>
          <w:bCs w:val="0"/>
          <w:color w:val="000000"/>
        </w:rPr>
        <w:tab/>
        <w:t>der henviser til, at en sådan unfair konkurrence ofte er forbundet med lavere arbejdsstandarder, svag miljøbeskyttelse og krænkelser af arbejdstagernes rettigheder, hvilket er i strid med EU's forpligtelse til retfærdig og bæredygtig handel og undergraver konkurrenceevnen og modstandsdygtigheden hos innovative mikrovirksomheder og små og mellemstore virksomheder i EU, der overholder EU-reglerne</w:t>
      </w:r>
      <w:r w:rsidRPr="00871E01">
        <w:rPr>
          <w:bCs/>
        </w:rPr>
        <w:t>;</w:t>
      </w:r>
    </w:p>
    <w:p w14:paraId="3485359A" w14:textId="77777777" w:rsidR="000A2C77" w:rsidRPr="00E64DE3" w:rsidRDefault="000A2C77" w:rsidP="000A2C77">
      <w:pPr>
        <w:pStyle w:val="NormalHanging12a"/>
      </w:pPr>
      <w:r w:rsidRPr="00E64DE3">
        <w:t>G.</w:t>
      </w:r>
      <w:r w:rsidRPr="00E64DE3">
        <w:tab/>
        <w:t>der henviser til, at den kraftige vækst i e-handelsimport af lav værdi, der navnlig lettes af toldfritagelser for forsendelser til en værdi af under 150 EUR, som hovedsagelig kommer fra Kina, lægger et betydeligt pres på told- og markedsovervågningsmyndighederne og begrænser dermed deres kapacitet til effektivt at håndhæve EU-reglerne om onlinesalg;</w:t>
      </w:r>
    </w:p>
    <w:p w14:paraId="75662FC1" w14:textId="77777777" w:rsidR="000A2C77" w:rsidRPr="00E64DE3" w:rsidRDefault="000A2C77" w:rsidP="000A2C77">
      <w:pPr>
        <w:pStyle w:val="NormalHanging12a"/>
      </w:pPr>
      <w:r w:rsidRPr="001C5BEE">
        <w:rPr>
          <w:rStyle w:val="Strong"/>
          <w:b w:val="0"/>
          <w:bCs w:val="0"/>
          <w:color w:val="000000"/>
        </w:rPr>
        <w:t>H.</w:t>
      </w:r>
      <w:r w:rsidRPr="001C5BEE">
        <w:rPr>
          <w:rStyle w:val="Strong"/>
          <w:b w:val="0"/>
          <w:bCs w:val="0"/>
          <w:color w:val="000000"/>
        </w:rPr>
        <w:tab/>
        <w:t>der henviser til</w:t>
      </w:r>
      <w:r w:rsidRPr="00871E01">
        <w:rPr>
          <w:bCs/>
        </w:rPr>
        <w:t>, at et stigende antal varer,</w:t>
      </w:r>
      <w:r w:rsidRPr="001C5BEE">
        <w:rPr>
          <w:rStyle w:val="Strong"/>
          <w:b w:val="0"/>
          <w:bCs w:val="0"/>
          <w:color w:val="000000"/>
        </w:rPr>
        <w:t xml:space="preserve"> der importeres til EU via e-handelskanaler, ikke overholder EU's sikkerheds-, miljø- eller arbejdsstandarder, hvilket</w:t>
      </w:r>
      <w:r w:rsidRPr="00E64DE3">
        <w:rPr>
          <w:rStyle w:val="Strong"/>
          <w:color w:val="000000"/>
        </w:rPr>
        <w:t xml:space="preserve"> </w:t>
      </w:r>
      <w:r w:rsidRPr="00E64DE3">
        <w:t xml:space="preserve">udsætter forbrugerne, navnlig sårbare brugere og mindreårige, for usikre eller forfalskede produkter, forårsager økonomisk skade, forvrider </w:t>
      </w:r>
      <w:r w:rsidRPr="001C5BEE">
        <w:rPr>
          <w:rStyle w:val="Strong"/>
          <w:b w:val="0"/>
          <w:bCs w:val="0"/>
          <w:color w:val="000000"/>
        </w:rPr>
        <w:t>fair konkurrence</w:t>
      </w:r>
      <w:r w:rsidRPr="001C5BEE">
        <w:rPr>
          <w:b/>
        </w:rPr>
        <w:t xml:space="preserve"> </w:t>
      </w:r>
      <w:r w:rsidRPr="00871E01">
        <w:rPr>
          <w:bCs/>
        </w:rPr>
        <w:t>og undergraver tilliden til det indre marked, navnlig til skade for EU-virksomheder</w:t>
      </w:r>
      <w:r w:rsidRPr="00E64DE3">
        <w:t>, der overholder reglerne, navnlig SMV'er, der investerer i kvalitet, sikkerhed og bæredygtighed;</w:t>
      </w:r>
    </w:p>
    <w:p w14:paraId="6C430502" w14:textId="77777777" w:rsidR="000A2C77" w:rsidRPr="00E64DE3" w:rsidRDefault="000A2C77" w:rsidP="000A2C77">
      <w:pPr>
        <w:pStyle w:val="NormalHanging12a"/>
        <w:rPr>
          <w:rStyle w:val="Strong"/>
          <w:b w:val="0"/>
          <w:bCs w:val="0"/>
          <w:color w:val="000000"/>
        </w:rPr>
      </w:pPr>
      <w:r w:rsidRPr="001C5BEE">
        <w:rPr>
          <w:rStyle w:val="Strong"/>
          <w:b w:val="0"/>
          <w:bCs w:val="0"/>
          <w:color w:val="000000"/>
        </w:rPr>
        <w:t>I.</w:t>
      </w:r>
      <w:r w:rsidRPr="001C5BEE">
        <w:rPr>
          <w:rStyle w:val="Strong"/>
          <w:b w:val="0"/>
          <w:bCs w:val="0"/>
          <w:color w:val="000000"/>
        </w:rPr>
        <w:tab/>
        <w:t>der henviser til, at visse sælgere uden for EU</w:t>
      </w:r>
      <w:r w:rsidRPr="00E64DE3">
        <w:rPr>
          <w:rStyle w:val="Strong"/>
          <w:color w:val="000000"/>
        </w:rPr>
        <w:t xml:space="preserve"> </w:t>
      </w:r>
      <w:r w:rsidRPr="00E64DE3">
        <w:t xml:space="preserve">omgår lovgivningsmæssige og administrative krav, </w:t>
      </w:r>
      <w:r w:rsidRPr="001C5BEE">
        <w:rPr>
          <w:rStyle w:val="Strong"/>
          <w:b w:val="0"/>
          <w:bCs w:val="0"/>
          <w:color w:val="000000"/>
        </w:rPr>
        <w:t>når de sælger til forbrugere i EU, hvilket skaber ulige vilkår, der</w:t>
      </w:r>
      <w:r w:rsidRPr="00E64DE3">
        <w:rPr>
          <w:rStyle w:val="Strong"/>
          <w:color w:val="000000"/>
        </w:rPr>
        <w:t xml:space="preserve"> </w:t>
      </w:r>
      <w:r w:rsidRPr="00E64DE3">
        <w:t xml:space="preserve">har en negativ indvirkning på </w:t>
      </w:r>
      <w:r w:rsidRPr="001C5BEE">
        <w:rPr>
          <w:rStyle w:val="Strong"/>
          <w:b w:val="0"/>
          <w:bCs w:val="0"/>
          <w:color w:val="000000"/>
        </w:rPr>
        <w:t>EU's virksomheder</w:t>
      </w:r>
      <w:r w:rsidRPr="00E64DE3">
        <w:t>, navnlig SMV'er</w:t>
      </w:r>
      <w:r w:rsidRPr="001C5BEE">
        <w:rPr>
          <w:rStyle w:val="Strong"/>
          <w:b w:val="0"/>
          <w:bCs w:val="0"/>
          <w:color w:val="000000"/>
        </w:rPr>
        <w:t xml:space="preserve"> og </w:t>
      </w:r>
      <w:proofErr w:type="spellStart"/>
      <w:r w:rsidRPr="00E64DE3">
        <w:t>midcapselskaber</w:t>
      </w:r>
      <w:proofErr w:type="spellEnd"/>
      <w:r w:rsidRPr="00E64DE3">
        <w:t xml:space="preserve">, hvilket påvirker deres </w:t>
      </w:r>
      <w:r w:rsidRPr="001C5BEE">
        <w:rPr>
          <w:rStyle w:val="Strong"/>
          <w:b w:val="0"/>
          <w:bCs w:val="0"/>
          <w:color w:val="000000"/>
        </w:rPr>
        <w:t>konkurrenceevne og vækstkapacitet, navnlig når de samme forpligtelser ikke håndhæves effektivt for importerede produkter</w:t>
      </w:r>
      <w:r w:rsidRPr="00E64DE3">
        <w:t>;</w:t>
      </w:r>
    </w:p>
    <w:p w14:paraId="62240E58" w14:textId="77777777" w:rsidR="000A2C77" w:rsidRPr="00E64DE3" w:rsidRDefault="000A2C77" w:rsidP="000A2C77">
      <w:pPr>
        <w:pStyle w:val="NormalHanging12a"/>
      </w:pPr>
      <w:r w:rsidRPr="001C5BEE">
        <w:rPr>
          <w:rStyle w:val="Strong"/>
          <w:b w:val="0"/>
          <w:bCs w:val="0"/>
          <w:color w:val="000000"/>
        </w:rPr>
        <w:t>J.</w:t>
      </w:r>
      <w:r w:rsidRPr="001C5BEE">
        <w:rPr>
          <w:rStyle w:val="Strong"/>
          <w:b w:val="0"/>
          <w:bCs w:val="0"/>
          <w:color w:val="000000"/>
        </w:rPr>
        <w:tab/>
      </w:r>
      <w:r w:rsidRPr="00E64DE3">
        <w:t xml:space="preserve">der henviser til, at </w:t>
      </w:r>
      <w:proofErr w:type="spellStart"/>
      <w:r w:rsidRPr="00E64DE3">
        <w:t>Draghirapporten</w:t>
      </w:r>
      <w:proofErr w:type="spellEnd"/>
      <w:r w:rsidRPr="00E64DE3">
        <w:t xml:space="preserve"> fremhævede, at EU-virksomheder sammenlignet med deres konkurrenter i Kina og USA står over for unødvendig reguleringsmæssig kompleksitet og beskriver EU's bureaukrati som tungt og voksende; der henviser til, at mere end 60 % af EU's virksomheder betragter rapporteringsforpligtelser som en hindring for investeringer, og at 55 % af SMV'erne betragter lovgivningsmæssige hindringer og administrative byrder som deres største udfordring; der henviser til, at EU mangler en kvantitativ ramme til at analysere omkostninger og fordele ved ny lovgivning;</w:t>
      </w:r>
    </w:p>
    <w:p w14:paraId="1C47201C" w14:textId="77777777" w:rsidR="000A2C77" w:rsidRPr="001C5BEE" w:rsidRDefault="000A2C77" w:rsidP="000A2C77">
      <w:pPr>
        <w:pStyle w:val="NormalHanging12a"/>
        <w:rPr>
          <w:b/>
        </w:rPr>
      </w:pPr>
      <w:r w:rsidRPr="001C5BEE">
        <w:rPr>
          <w:rStyle w:val="Strong"/>
          <w:b w:val="0"/>
          <w:bCs w:val="0"/>
          <w:color w:val="000000"/>
        </w:rPr>
        <w:t>K.</w:t>
      </w:r>
      <w:r w:rsidRPr="001C5BEE">
        <w:rPr>
          <w:rStyle w:val="Strong"/>
          <w:b w:val="0"/>
          <w:bCs w:val="0"/>
          <w:color w:val="000000"/>
        </w:rPr>
        <w:tab/>
        <w:t>der henviser til, at utilstrækkelig gennemsigtighed med hensyn til oprindelsen af produkter, der indføres på det indre marked, undergraver informerede forbrugervalg og fair konkurrence, eftersom der i øjeblikket ikke er en obligatorisk oprindelsesmærkning for nonfoodprodukter, der importeres til EU</w:t>
      </w:r>
      <w:r w:rsidRPr="00871E01">
        <w:rPr>
          <w:bCs/>
        </w:rPr>
        <w:t>;</w:t>
      </w:r>
    </w:p>
    <w:p w14:paraId="6FA7995A" w14:textId="77777777" w:rsidR="000A2C77" w:rsidRPr="00E64DE3" w:rsidRDefault="000A2C77" w:rsidP="000A2C77">
      <w:pPr>
        <w:pStyle w:val="NormalHanging12a"/>
      </w:pPr>
      <w:r w:rsidRPr="001C5BEE">
        <w:rPr>
          <w:rStyle w:val="Strong"/>
          <w:b w:val="0"/>
          <w:bCs w:val="0"/>
          <w:color w:val="000000"/>
        </w:rPr>
        <w:t>L.</w:t>
      </w:r>
      <w:r w:rsidRPr="001C5BEE">
        <w:rPr>
          <w:rStyle w:val="Strong"/>
          <w:b w:val="0"/>
          <w:bCs w:val="0"/>
          <w:color w:val="000000"/>
        </w:rPr>
        <w:tab/>
        <w:t>der henviser til, at forbrugere, navnlig sårbare eller førstegangskøbere online,</w:t>
      </w:r>
      <w:r w:rsidRPr="00E64DE3">
        <w:rPr>
          <w:rStyle w:val="Strong"/>
          <w:color w:val="000000"/>
        </w:rPr>
        <w:t xml:space="preserve"> </w:t>
      </w:r>
      <w:r w:rsidRPr="00E64DE3">
        <w:t xml:space="preserve">som ikke får </w:t>
      </w:r>
      <w:r w:rsidRPr="001C5BEE">
        <w:rPr>
          <w:rStyle w:val="Strong"/>
          <w:b w:val="0"/>
          <w:bCs w:val="0"/>
          <w:color w:val="000000"/>
        </w:rPr>
        <w:t>klare og pålidelige oplysninger om produktets oprindelse, overensstemmelse og den ansvarlige erhvervsdrivende</w:t>
      </w:r>
      <w:r w:rsidRPr="00E64DE3">
        <w:t>, risikerer at blive udsat for vildledende praksis fra sælgere uden for EU;</w:t>
      </w:r>
    </w:p>
    <w:p w14:paraId="0BB300F8" w14:textId="77777777" w:rsidR="000A2C77" w:rsidRPr="00E64DE3" w:rsidRDefault="000A2C77" w:rsidP="000A2C77">
      <w:pPr>
        <w:pStyle w:val="NormalHanging12a"/>
      </w:pPr>
      <w:r w:rsidRPr="00E64DE3">
        <w:lastRenderedPageBreak/>
        <w:t>M.</w:t>
      </w:r>
      <w:r w:rsidRPr="00E64DE3">
        <w:tab/>
        <w:t xml:space="preserve">der henviser til, at EU-landbrugere ofte er udsat for konkurrence fra landbrugsimport fra lande uden for EU, hvor der ikke findes tilsvarende miljø-, plantesundheds- eller arbejdsstandarder eller tilstrækkelig sporbarhed; der henviser til, at dette indebærer en potentiel risiko for </w:t>
      </w:r>
      <w:proofErr w:type="spellStart"/>
      <w:r w:rsidRPr="00E64DE3">
        <w:t>folke</w:t>
      </w:r>
      <w:proofErr w:type="spellEnd"/>
      <w:r w:rsidRPr="00E64DE3">
        <w:t>-, plante- og dyresundheden, herunder spredning af skadegørere og sygdomme; der henviser til, at en sådan praksis undergraver fair konkurrence og direkte truer beskæftigelsen i landbruget, fødevaresikkerheden og levedygtigheden af økonomierne i landdistrikterne i EU;</w:t>
      </w:r>
    </w:p>
    <w:p w14:paraId="6D38D387" w14:textId="77777777" w:rsidR="000A2C77" w:rsidRPr="001C5BEE" w:rsidRDefault="000A2C77" w:rsidP="000A2C77">
      <w:pPr>
        <w:pStyle w:val="NormalHanging12a"/>
        <w:rPr>
          <w:b/>
        </w:rPr>
      </w:pPr>
      <w:r w:rsidRPr="001C5BEE">
        <w:rPr>
          <w:rStyle w:val="Strong"/>
          <w:b w:val="0"/>
          <w:bCs w:val="0"/>
          <w:color w:val="000000"/>
        </w:rPr>
        <w:t>N.</w:t>
      </w:r>
      <w:r w:rsidRPr="001C5BEE">
        <w:rPr>
          <w:rStyle w:val="Strong"/>
          <w:b w:val="0"/>
          <w:bCs w:val="0"/>
          <w:color w:val="000000"/>
        </w:rPr>
        <w:tab/>
        <w:t>der henviser til, at EU er begyndt at bekæmpe unfair konkurrence og huller i lovgivningen inden for e-handel gennem lovgivning om digitale platforme, produktsikkerhed, markedsovervågning og toldreform</w:t>
      </w:r>
      <w:r w:rsidRPr="001C5BEE">
        <w:rPr>
          <w:b/>
        </w:rPr>
        <w:t xml:space="preserve">; </w:t>
      </w:r>
      <w:r w:rsidRPr="001C5BEE">
        <w:rPr>
          <w:rStyle w:val="Strong"/>
          <w:b w:val="0"/>
          <w:bCs w:val="0"/>
          <w:color w:val="000000"/>
        </w:rPr>
        <w:t>der henviser til, at en effektiv gennemførelse af disse foranstaltninger er afgørende for at sikre EU's konkurrenceevne og beskæftigelse;</w:t>
      </w:r>
    </w:p>
    <w:p w14:paraId="3817CD0B" w14:textId="77777777" w:rsidR="000A2C77" w:rsidRPr="00E64DE3" w:rsidRDefault="000A2C77" w:rsidP="000A2C77">
      <w:pPr>
        <w:pStyle w:val="NormalHanging12a"/>
        <w:rPr>
          <w:bCs/>
        </w:rPr>
      </w:pPr>
      <w:r w:rsidRPr="00E64DE3">
        <w:t>O.</w:t>
      </w:r>
      <w:r w:rsidRPr="00E64DE3">
        <w:tab/>
        <w:t>der henviser til, at direktiv (EU) 2024/825 om styrkelse af forbrugernes rolle i den grønne omstilling</w:t>
      </w:r>
      <w:r w:rsidRPr="00E64DE3">
        <w:rPr>
          <w:rStyle w:val="FootnoteReference"/>
          <w:rFonts w:eastAsiaTheme="minorHAnsi"/>
          <w:color w:val="000000"/>
          <w:szCs w:val="24"/>
          <w:lang w:eastAsia="en-US"/>
        </w:rPr>
        <w:footnoteReference w:id="10"/>
      </w:r>
      <w:r w:rsidRPr="00E64DE3">
        <w:t xml:space="preserve"> styrker beskyttelsen mod urimelig handelspraksis og forbedrer oplysningerne om bæredygtighedsaspekter såsom miljøvirkninger, energiforbrug, reparationsmuligheder og holdbarhed af produkter, herunder dem, der sælges via onlinemarkedspladser, og at en hurtig og konsekvent gennemførelse heraf er afgørende for at sikre informerede forbrugervalg og fair konkurrence;</w:t>
      </w:r>
    </w:p>
    <w:p w14:paraId="0421E129" w14:textId="77777777" w:rsidR="000A2C77" w:rsidRPr="00E64DE3" w:rsidRDefault="000A2C77" w:rsidP="000A2C77">
      <w:pPr>
        <w:pStyle w:val="NormalHanging12a"/>
      </w:pPr>
      <w:r w:rsidRPr="00E64DE3">
        <w:t>1.</w:t>
      </w:r>
      <w:r w:rsidRPr="00E64DE3">
        <w:tab/>
        <w:t>beklager, at unfair konkurrence fra virksomheder uden for EU-lande, herunder i visse tilfælde dem, der modtager omfattende statsstøtte, fører til tab af arbejdspladser i EU og udgør en betydelig trussel mod europæiske virksomheder, der ofte er SMV'er og familiedrevne virksomheder, og som fremmer overførsel af færdigheder, viden og kapital mellem generationerne; minder om, at Kommissionen ofte modtager ansøgninger om støtte fra Den Europæiske Fond for Tilpasning til Globaliseringen for Afskedigede Arbejdstagere, hvilket indebærer en afskedigelse af arbejdstagere og lukning af EU-virksomheder, fordi de ikke kan konkurrere med import fra ikke-EU-lande, som ikke overholder EU's sikkerheds-, miljø- eller arbejdsstandarder;</w:t>
      </w:r>
    </w:p>
    <w:p w14:paraId="22C7A448" w14:textId="77777777" w:rsidR="000A2C77" w:rsidRPr="00E64DE3" w:rsidRDefault="000A2C77" w:rsidP="000A2C77">
      <w:pPr>
        <w:pStyle w:val="NormalHanging12a"/>
      </w:pPr>
      <w:r w:rsidRPr="00E64DE3">
        <w:t>2.</w:t>
      </w:r>
      <w:r w:rsidRPr="00E64DE3">
        <w:tab/>
        <w:t>udtrykker alvorlig bekymring over unfair konkurrence fra e-handelsplatforme uden for EU, der udnytter huller i lovgivningen, bringer forbrugersikkerheden i fare og forvrider det indre marked; opfordrer til klarere regler om produkters oprindelse, sporbarhed og identifikation af ansvarlige økonomiske aktører, herunder strengere håndhævelse af CE-mærkningen og definitioner af "fabrikant" og "importør", for at støtte fair konkurrence for EU-virksomheder, navnlig SMV'er;</w:t>
      </w:r>
    </w:p>
    <w:p w14:paraId="5FF63572" w14:textId="77777777" w:rsidR="000A2C77" w:rsidRPr="00E64DE3" w:rsidRDefault="000A2C77" w:rsidP="000A2C77">
      <w:pPr>
        <w:pStyle w:val="NormalHanging12a"/>
      </w:pPr>
      <w:r w:rsidRPr="00E64DE3">
        <w:t>3.</w:t>
      </w:r>
      <w:r w:rsidRPr="00E64DE3">
        <w:tab/>
        <w:t xml:space="preserve">påpeger, at den kraftige stigning i køb foretaget via onlineplatforme uden for EU er blevet ledsaget af betydelige udfordringer med hensyn til overholdelse af reglerne vedrørende produktsikkerhed og overholdelse af reglerne for det indre marked; understreger, at denne praksis giver platforme uden for EU en urimelig fordel og lægger pres på EU-virksomheder, navnlig SMV'er og mikrovirksomheder; påpeger, at EU-producenter står over for strengere krav til markedsovervågning end e‑handelssælgere uden for EU; fremhæver, at lavprisimport, der ikke overholder reglerne, reducerer EU's </w:t>
      </w:r>
      <w:r w:rsidRPr="00E64DE3">
        <w:lastRenderedPageBreak/>
        <w:t>markedsandel og fører til tab af arbejdspladser;</w:t>
      </w:r>
    </w:p>
    <w:p w14:paraId="036D47B6" w14:textId="77777777" w:rsidR="000A2C77" w:rsidRPr="00E64DE3" w:rsidRDefault="000A2C77" w:rsidP="000A2C77">
      <w:pPr>
        <w:pStyle w:val="NormalHanging12a"/>
      </w:pPr>
      <w:r w:rsidRPr="00E64DE3">
        <w:t>4.</w:t>
      </w:r>
      <w:r w:rsidRPr="00E64DE3">
        <w:tab/>
        <w:t>minder om forbrugernes ret til pålidelige oplysninger om produkters oprindelse og er af den opfattelse, at de fleste forbrugere i det indre marked vil finde obligatorisk mærkning af oprindelseslandet nyttig for hurtigt at kunne træffe informerede beslutninger om deres køb;</w:t>
      </w:r>
    </w:p>
    <w:p w14:paraId="1264B6CF" w14:textId="77777777" w:rsidR="000A2C77" w:rsidRPr="00E64DE3" w:rsidRDefault="000A2C77" w:rsidP="000A2C77">
      <w:pPr>
        <w:pStyle w:val="NormalHanging12a"/>
      </w:pPr>
      <w:r w:rsidRPr="00E64DE3">
        <w:t>5.</w:t>
      </w:r>
      <w:r w:rsidRPr="00E64DE3">
        <w:tab/>
        <w:t xml:space="preserve">mener, at en konsekvent og rettidig gennemførelse af EU's gældende lovgivning, der gælder for både offline- og onlinevirksomheder, er afgørende for at imødegå de alvorlige, skadelige virkninger af </w:t>
      </w:r>
      <w:proofErr w:type="spellStart"/>
      <w:r w:rsidRPr="00E64DE3">
        <w:t>ikkeoverensstemmende</w:t>
      </w:r>
      <w:proofErr w:type="spellEnd"/>
      <w:r w:rsidRPr="00E64DE3">
        <w:t>, usikre og forfalskede produkter, der udbydes til forbrugere af virksomheder uden for EU; understreger betydningen af håndhævelsesværktøjer, herunder passende sanktioner og hurtigere anvendelse af foreløbige forholdsregler, navnlig i tilfælde af gentagne, alvorlige og systemiske overtrædelser af EU-retten;</w:t>
      </w:r>
    </w:p>
    <w:p w14:paraId="3CC5E4B0" w14:textId="77777777" w:rsidR="000A2C77" w:rsidRPr="00E64DE3" w:rsidRDefault="000A2C77" w:rsidP="000A2C77">
      <w:pPr>
        <w:pStyle w:val="NormalHanging12a"/>
      </w:pPr>
      <w:r w:rsidRPr="00E64DE3">
        <w:t>6.</w:t>
      </w:r>
      <w:r w:rsidRPr="00E64DE3">
        <w:tab/>
        <w:t>fremhæver, at reformen af told- og markedsovervågningen skal tackle urimelig handelspraksis ved at lukke huller i lovgivningen i den nuværende lovgivningsmæssige ramme og udtrykkeligt støtte SMV'er ved at reducere unødvendige administrative byrder, fremskynde toldbehandlingsprocedurerne for EU-operatører, der overholder reglerne, og fokusere ressourcerne på højrisikoforsendelser fra platforme eller sælgere, der har begået gentagne overtrædelser; understreger, at SMV'er ikke bør stilles ringere end store platforme eller eksportører uden for EU;</w:t>
      </w:r>
    </w:p>
    <w:p w14:paraId="0EE30457" w14:textId="77777777" w:rsidR="000A2C77" w:rsidRPr="00E64DE3" w:rsidRDefault="000A2C77" w:rsidP="000A2C77">
      <w:pPr>
        <w:pStyle w:val="NormalHanging12a"/>
      </w:pPr>
      <w:r w:rsidRPr="00E64DE3">
        <w:t>7.</w:t>
      </w:r>
      <w:r w:rsidRPr="00E64DE3">
        <w:tab/>
        <w:t>anerkender Kommissionens seneste bestræbelser på at reducere de eksisterende administrative byrder for EU-virksomheder; opfordrer Kommissionen til at forstærke sine bestræbelser på at forbedre de lovgivningsmæssige rammer for at undgå enhver skadelig indvirkning på EU's økonomiske konkurrenceevne og opfordrer til fortsatte bestræbelser på at støtte EU's industri, teknologiske suverænitet og beskæftigelse;</w:t>
      </w:r>
    </w:p>
    <w:p w14:paraId="362A2D43" w14:textId="77777777" w:rsidR="000A2C77" w:rsidRPr="00E64DE3" w:rsidRDefault="000A2C77" w:rsidP="000A2C77">
      <w:pPr>
        <w:pStyle w:val="NormalHanging12a"/>
      </w:pPr>
      <w:r w:rsidRPr="00E64DE3">
        <w:t>8.</w:t>
      </w:r>
      <w:r w:rsidRPr="00E64DE3">
        <w:tab/>
        <w:t>anbefaler styrkelse, bedre koordinering og øgede ressourcer til told- og markedsovervågningsmyndigheder, herunder målrettet kontrol af højrisikoproduktkategorier, investeringer i nye værktøjer (f.eks. AI, blockchain), øget testning og den nødvendige personaleuddannelse;</w:t>
      </w:r>
    </w:p>
    <w:p w14:paraId="0B172AE6" w14:textId="77777777" w:rsidR="000A2C77" w:rsidRPr="00E64DE3" w:rsidRDefault="000A2C77" w:rsidP="000A2C77">
      <w:pPr>
        <w:pStyle w:val="NormalHanging12a"/>
      </w:pPr>
      <w:r w:rsidRPr="00E64DE3">
        <w:t>9.</w:t>
      </w:r>
      <w:r w:rsidRPr="00E64DE3">
        <w:tab/>
        <w:t>glæder sig over fjernelsen af moms- og toldfritagelsen for forsendelser af lav værdi, som Rådet for nylig nåede til enighed om vedrørende pakker til en værdi af under 150 EUR, der sendes fra et land uden for EU til en forbruger i EU; understreger betydningen af, at Den Europæiske Anklagemyndighed med støtte fra toldmyndighederne håndterer toldovertrædelser i grænseoverskridende efterforskninger, herunder efterforskninger af svigagtige e-handelserklæringer og lav værdiansættelse samt undgåelse af kontrol og "forumshopping";</w:t>
      </w:r>
    </w:p>
    <w:p w14:paraId="12D57EF1" w14:textId="77777777" w:rsidR="000A2C77" w:rsidRPr="00E64DE3" w:rsidRDefault="000A2C77" w:rsidP="000A2C77">
      <w:pPr>
        <w:pStyle w:val="NormalHanging12a"/>
      </w:pPr>
      <w:r w:rsidRPr="00E64DE3">
        <w:t>10.</w:t>
      </w:r>
      <w:r w:rsidRPr="00E64DE3">
        <w:tab/>
        <w:t>understreger, at en hurtig gennemførelse af det digitale produktpas, navnlig for flere kritiske produkter, der sælges online, er afgørende for at styrke håndhævelsen af den eksisterende lovgivning; opfordrer indtrængende Kommissionen til straks at vedtage den nødvendige afledte ret om det digitale produktpas, navnlig for tekstiler, fodtøj, herunder dem, der er fremstillet ved hjælp af "økolæder", børneprodukter, kosmetik, elektronik og andre produkter med en høj grad af manglende overholdelse og dermed forbundne risici;</w:t>
      </w:r>
    </w:p>
    <w:p w14:paraId="23739EAC" w14:textId="77777777" w:rsidR="000A2C77" w:rsidRPr="00E64DE3" w:rsidRDefault="000A2C77" w:rsidP="000A2C77">
      <w:pPr>
        <w:pStyle w:val="NormalHanging12a"/>
      </w:pPr>
      <w:r w:rsidRPr="00E64DE3">
        <w:t>11.</w:t>
      </w:r>
      <w:r w:rsidRPr="00E64DE3">
        <w:tab/>
        <w:t xml:space="preserve">opfordrer Kommissionen til at beskytte EU-virksomheder mod unfair konkurrence fra </w:t>
      </w:r>
      <w:r w:rsidRPr="00E64DE3">
        <w:lastRenderedPageBreak/>
        <w:t>producenter i lande uden for EU med henblik på at bevare arbejdspladser i EU og styrke den strategiske uafhængighed for at kunne reagere på enhver krise såsom covid-19-pandemien; beklager tabet af arbejdspladser som følge af unfair konkurrence fra virksomheder uden for EU, der opererer i strid med EU's sikkerheds-, miljø- og arbejdsstandarder, hvilket ofte fremmes af onlineplatforme, der gør det lettere for produkter, der ikke opfylder kravene, at komme ind på EU-markedet; understreger, at produktsikkerhed, navnlig for børneprodukter, fortsat skal være et primært hensyn;</w:t>
      </w:r>
    </w:p>
    <w:p w14:paraId="259AEC07" w14:textId="77777777" w:rsidR="000A2C77" w:rsidRPr="00E64DE3" w:rsidRDefault="000A2C77" w:rsidP="000A2C77">
      <w:pPr>
        <w:pStyle w:val="NormalHanging12a"/>
      </w:pPr>
      <w:r w:rsidRPr="00E64DE3">
        <w:t>12.</w:t>
      </w:r>
      <w:r w:rsidRPr="00E64DE3">
        <w:tab/>
        <w:t>er foruroliget over, at sælgere, der ikke overholder reglerne, ofte unddrager sig meningsfulde sanktioner; opfordrer Kommissionen og medlemsstaterne til at intensivere den koordinerede håndhævelse af den nuværende EU-lovgivning, herunder bøder og forbud, på tværs af alle salgskanaler for at sikre, at usikre varer eller varer, der ikke opfylder kravene, straks fjernes, og at lovovertrædere straffes; understreger, at en stærkere håndhævelse er afgørende for at forhindre sælgere uden for EU i systematisk at underbyde virksomheder, der overholder reglerne, navnlig SMV'er, som investerer i overholdelse af EU's obligatoriske sikkerheds-, bæredygtigheds- og kvalitetsregler, som sælgere uden for EU kan omgå;</w:t>
      </w:r>
    </w:p>
    <w:p w14:paraId="435D7D38" w14:textId="77777777" w:rsidR="000A2C77" w:rsidRPr="00E64DE3" w:rsidRDefault="000A2C77" w:rsidP="000A2C77">
      <w:pPr>
        <w:pStyle w:val="NormalHanging12a"/>
      </w:pPr>
      <w:r w:rsidRPr="00E64DE3">
        <w:t>13.</w:t>
      </w:r>
      <w:r w:rsidRPr="00E64DE3">
        <w:tab/>
        <w:t>beklager den forretningsmodel for visse store onlineplatforme uden for EU, som er baseret på hurtig produktion og distribution i stor skala af varer, der ikke er i overensstemmelse med EU's sikkerheds- og miljøstandarder; fremhæver, at en sådan praksis udgør social og miljømæssig dumping; opfordrer Kommissionen til at sikre streng overholdelse af EU's social- og miljølovgivning og til at øge bevidstheden om de miljømæssige, sundhedsmæssige og sociale virkninger af urimelig handelspraksis;</w:t>
      </w:r>
    </w:p>
    <w:p w14:paraId="74999B6B" w14:textId="77777777" w:rsidR="000A2C77" w:rsidRPr="00E64DE3" w:rsidRDefault="000A2C77" w:rsidP="000A2C77">
      <w:pPr>
        <w:pStyle w:val="NormalHanging12a"/>
      </w:pPr>
      <w:r w:rsidRPr="00E64DE3">
        <w:t>14.</w:t>
      </w:r>
      <w:r w:rsidRPr="00E64DE3">
        <w:tab/>
        <w:t>understreger, at onlinemarkedspladser skal sikre gennemsigtighed og ansvarlighed i hele forsyningskæden for e-handelsimport, herunder for tredjepartssælgere, der er rettet mod forbrugere i EU, og sikre overholdelse af EU's sikkerheds- og produktregler; udtrykker støtte til begrebet "formel importør", hvis anvendelse vil sikre, at produkter, der indføres i EU, overholder EU-reglerne, selv om den oprindelige eksportør befinder sig uden for EU;</w:t>
      </w:r>
    </w:p>
    <w:p w14:paraId="43EC3C0D" w14:textId="77777777" w:rsidR="000A2C77" w:rsidRPr="00E64DE3" w:rsidRDefault="000A2C77" w:rsidP="000A2C77">
      <w:pPr>
        <w:pStyle w:val="NormalHanging12a"/>
      </w:pPr>
      <w:r w:rsidRPr="00E64DE3">
        <w:t>15.</w:t>
      </w:r>
      <w:r w:rsidRPr="00E64DE3">
        <w:tab/>
        <w:t>understreger betydningen af at kontrollere sælgerens identitet og stille de krævede overensstemmelsesoplysninger til rådighed, herunder CE-mærkning og identifikation af en ansvarlig økonomisk aktør, der er etableret i EU, og af straks at fjerne produkter, der ikke opfylder kravene, eller produkter med falsk mærkning; kræver, at platformene sikrer fuldt samarbejde med de kompetente myndigheder, herunder ved at tilvejebringe relevante data om sælgere uden for EU og lette inspektioner, tilbagekaldelser og klageadgang for forbrugerne; bemærker, at opfyldelse gennem EU-baserede centre kan bidrage til en mere effektiv kontrol;</w:t>
      </w:r>
    </w:p>
    <w:p w14:paraId="58C89304" w14:textId="77777777" w:rsidR="000A2C77" w:rsidRPr="00E64DE3" w:rsidRDefault="000A2C77" w:rsidP="000A2C77">
      <w:pPr>
        <w:pStyle w:val="NormalHanging12a"/>
      </w:pPr>
      <w:r w:rsidRPr="00E64DE3">
        <w:t>16.</w:t>
      </w:r>
      <w:r w:rsidRPr="00E64DE3">
        <w:tab/>
        <w:t xml:space="preserve">opfordrer Kommissionen til at tage proaktive skridt og hurtigt anvende målrettede handelspolitiske beskyttelsesinstrumenter, herunder antidumping- og </w:t>
      </w:r>
      <w:proofErr w:type="spellStart"/>
      <w:r w:rsidRPr="00E64DE3">
        <w:t>antisubsidieundersøgelser</w:t>
      </w:r>
      <w:proofErr w:type="spellEnd"/>
      <w:r w:rsidRPr="00E64DE3">
        <w:t>, for at imødegå de negative virkninger af unfair konkurrence for EU-detailhandlere, SMV'er og industri, da de ikke kan konkurrere med kunstigt lave priser som følge af statsstøttede dumpingpraksisser i lande uden for EU; opfordrer Kommissionen til at sikre fuld støtte til klagere, når der fremlægges dokumentation for dumping og subsidiering, og til at sikre forenklede procedurer for små producenter;</w:t>
      </w:r>
    </w:p>
    <w:p w14:paraId="21BCE78E" w14:textId="77777777" w:rsidR="000A2C77" w:rsidRPr="00E64DE3" w:rsidRDefault="000A2C77" w:rsidP="000A2C77">
      <w:pPr>
        <w:pStyle w:val="NormalHanging12a"/>
      </w:pPr>
      <w:r w:rsidRPr="00E64DE3">
        <w:t>17.</w:t>
      </w:r>
      <w:r w:rsidRPr="00E64DE3">
        <w:tab/>
        <w:t xml:space="preserve">opfordrer indtrængende Kommissionen til at fremskynde toldreformen, herunder ved at fjerne undtagelser for import af lav værdi og indføre håndterings- eller </w:t>
      </w:r>
      <w:r w:rsidRPr="00E64DE3">
        <w:lastRenderedPageBreak/>
        <w:t>toldbehandlingsgebyrer, der er forenelige med Verdenshandelsorganisationens regler; understreger, at sådanne gebyrer bør bidrage til at dække toldmyndighedernes øgede tilsynsomkostninger; fremhæver betydningen af en tilgang på EU-plan for at undgå fragmentering og grænsehandel og sikre fair konkurrence; understreger, at en forstærket toldreform, herunder forbedrede overvågningsværktøjer og målrettet kontrol, er afgørende for at bekæmpe urimelig import, samtidig med at forbrugerrettigheder og prisoverkommelighed beskyttes; opfordrer Kommissionen til at forstærke målrettede EU-støtteforanstaltninger for sektorer, der er hårdt ramt af urimelig import, såsom adgang til EU-midler, innovationsstøtte, kompetenceudvikling og eksportdiversificeringsprogrammer;</w:t>
      </w:r>
    </w:p>
    <w:p w14:paraId="670C0A06" w14:textId="77777777" w:rsidR="000A2C77" w:rsidRPr="00E64DE3" w:rsidRDefault="000A2C77" w:rsidP="000A2C77">
      <w:pPr>
        <w:pStyle w:val="NormalHanging12a"/>
      </w:pPr>
      <w:r w:rsidRPr="00E64DE3">
        <w:t>18.</w:t>
      </w:r>
      <w:r w:rsidRPr="00E64DE3">
        <w:tab/>
        <w:t xml:space="preserve">opfordrer til styrkede forbrugerklagemekanismer, der gør det muligt for EU-forbrugere at opnå refusion, erstatning eller retsmidler for usikre varer eller varer, der ikke opfylder kravene, og som er købt af sælgere uden for EU; støtter oprettelsen af en brugervenlig onlinegrænseflade for forbrugerklager i EU, der er tilgængelig på alle EU-sprog, og som sikrer, at borgerne kan handle hurtigt, når deres rettigheder krænkes; opfordrer til, at der udvikles en oplysningskampagne i hele EU, der fremmer ansvarligt forbrug og produkter fremstillet i EU, og som fremhæver produkternes sociale, miljømæssige og sikkerhedsmæssige fordele, samtidig med at Kommissionen tilskyndes til at øge sin støtte til </w:t>
      </w:r>
      <w:proofErr w:type="spellStart"/>
      <w:r w:rsidRPr="00E64DE3">
        <w:t>øregioner</w:t>
      </w:r>
      <w:proofErr w:type="spellEnd"/>
      <w:r w:rsidRPr="00E64DE3">
        <w:t xml:space="preserve"> og gør det muligt for sådanne regioner at få adgang til EU-produkter;</w:t>
      </w:r>
    </w:p>
    <w:p w14:paraId="61D27C2C" w14:textId="071F7F7A" w:rsidR="00E365E1" w:rsidRPr="00E64DE3" w:rsidRDefault="000A2C77" w:rsidP="001C5BEE">
      <w:pPr>
        <w:ind w:left="567" w:hanging="567"/>
      </w:pPr>
      <w:r w:rsidRPr="00E64DE3">
        <w:t>19.</w:t>
      </w:r>
      <w:r w:rsidRPr="00E64DE3">
        <w:tab/>
        <w:t>pålægger sin formand at sende denne beslutning til Kommissionen, Rådet og til medlemsstaternes regeringer og parlamenter.</w:t>
      </w:r>
    </w:p>
    <w:sectPr w:rsidR="00E365E1" w:rsidRPr="00E64DE3" w:rsidSect="00E64D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46581" w14:textId="77777777" w:rsidR="007A34EE" w:rsidRPr="00E64DE3" w:rsidRDefault="007A34EE">
      <w:r w:rsidRPr="00E64DE3">
        <w:separator/>
      </w:r>
    </w:p>
  </w:endnote>
  <w:endnote w:type="continuationSeparator" w:id="0">
    <w:p w14:paraId="7570E2DD" w14:textId="77777777" w:rsidR="007A34EE" w:rsidRPr="00E64DE3" w:rsidRDefault="007A34EE">
      <w:r w:rsidRPr="00E64D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A5AA4" w14:textId="77777777" w:rsidR="00064002" w:rsidRPr="00E64D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A53F" w14:textId="77777777" w:rsidR="00064002" w:rsidRPr="00E64D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72BA" w14:textId="77777777" w:rsidR="00064002" w:rsidRPr="00E64D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B6967" w14:textId="77777777" w:rsidR="007A34EE" w:rsidRPr="00E64DE3" w:rsidRDefault="007A34EE">
      <w:r w:rsidRPr="00E64DE3">
        <w:separator/>
      </w:r>
    </w:p>
  </w:footnote>
  <w:footnote w:type="continuationSeparator" w:id="0">
    <w:p w14:paraId="61D506F2" w14:textId="77777777" w:rsidR="007A34EE" w:rsidRPr="00E64DE3" w:rsidRDefault="007A34EE">
      <w:r w:rsidRPr="00E64DE3">
        <w:continuationSeparator/>
      </w:r>
    </w:p>
  </w:footnote>
  <w:footnote w:id="1">
    <w:p w14:paraId="40FC8AF4" w14:textId="2F6FD5D1"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EUT L 269 af 10.10.2013, s. 1, ELI: </w:t>
      </w:r>
      <w:hyperlink r:id="rId1" w:history="1">
        <w:r w:rsidRPr="00E64DE3">
          <w:rPr>
            <w:rStyle w:val="Hyperlink"/>
            <w:sz w:val="24"/>
            <w:lang w:val="da-DK"/>
          </w:rPr>
          <w:t>http://data.europa.eu/eli/reg/2013/952/oj</w:t>
        </w:r>
      </w:hyperlink>
      <w:r w:rsidRPr="00E64DE3">
        <w:rPr>
          <w:sz w:val="24"/>
          <w:lang w:val="da-DK"/>
        </w:rPr>
        <w:t>.</w:t>
      </w:r>
    </w:p>
  </w:footnote>
  <w:footnote w:id="2">
    <w:p w14:paraId="336B9B3E" w14:textId="41BE375A"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EUT L, 2025/512, 20.3.2025, ELI: </w:t>
      </w:r>
      <w:hyperlink r:id="rId2" w:tgtFrame="_blank" w:tooltip="Giver adgang til dokumentet gennem dets ELI-URI." w:history="1">
        <w:r w:rsidRPr="00E64DE3">
          <w:rPr>
            <w:rStyle w:val="Hyperlink"/>
            <w:sz w:val="24"/>
            <w:lang w:val="da-DK"/>
          </w:rPr>
          <w:t>http://data.europa.eu/eli/reg_impl/2025/512/oj</w:t>
        </w:r>
      </w:hyperlink>
      <w:r w:rsidRPr="00E64DE3">
        <w:rPr>
          <w:sz w:val="24"/>
          <w:lang w:val="da-DK"/>
        </w:rPr>
        <w:t xml:space="preserve">. </w:t>
      </w:r>
    </w:p>
  </w:footnote>
  <w:footnote w:id="3">
    <w:p w14:paraId="422F62E1" w14:textId="70A49ADF"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EUT L 277 af 27.10.2022, s. 1, ELI: </w:t>
      </w:r>
      <w:hyperlink r:id="rId3" w:tooltip="Giver adgang til dokumentet gennem dets ELI-URI." w:history="1">
        <w:r w:rsidRPr="00E64DE3">
          <w:rPr>
            <w:rStyle w:val="Hyperlink"/>
            <w:sz w:val="24"/>
            <w:lang w:val="da-DK"/>
          </w:rPr>
          <w:t>http://data.europa.eu/eli/reg/2022/2065/oj</w:t>
        </w:r>
      </w:hyperlink>
      <w:r w:rsidRPr="00E64DE3">
        <w:rPr>
          <w:sz w:val="24"/>
          <w:lang w:val="da-DK"/>
        </w:rPr>
        <w:t xml:space="preserve">. </w:t>
      </w:r>
    </w:p>
  </w:footnote>
  <w:footnote w:id="4">
    <w:p w14:paraId="2EF124E9" w14:textId="3B895B50"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EUT L 135 af 23.5.2023, s. 1, ELI: </w:t>
      </w:r>
      <w:hyperlink r:id="rId4" w:tooltip="Giver adgang til dokumentet gennem dets ELI-URI." w:history="1">
        <w:r w:rsidRPr="00E64DE3">
          <w:rPr>
            <w:rStyle w:val="Hyperlink"/>
            <w:sz w:val="24"/>
            <w:lang w:val="da-DK"/>
          </w:rPr>
          <w:t>http://data.europa.eu/eli/reg/2023/988/oj</w:t>
        </w:r>
      </w:hyperlink>
      <w:r w:rsidRPr="00E64DE3">
        <w:rPr>
          <w:sz w:val="24"/>
          <w:lang w:val="da-DK"/>
        </w:rPr>
        <w:t xml:space="preserve">. </w:t>
      </w:r>
    </w:p>
  </w:footnote>
  <w:footnote w:id="5">
    <w:p w14:paraId="7421C9F2" w14:textId="30D80B62"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EUT L 169 af 25.6.2019, s. 1, ELI: </w:t>
      </w:r>
      <w:hyperlink r:id="rId5" w:tooltip="Giver adgang til dokumentet gennem dets ELI-URI." w:history="1">
        <w:r w:rsidRPr="00E64DE3">
          <w:rPr>
            <w:rStyle w:val="Hyperlink"/>
            <w:sz w:val="24"/>
            <w:lang w:val="da-DK"/>
          </w:rPr>
          <w:t>http://data.europa.eu/eli/reg/2019/1020/oj</w:t>
        </w:r>
      </w:hyperlink>
      <w:r w:rsidRPr="00E64DE3">
        <w:rPr>
          <w:sz w:val="24"/>
          <w:lang w:val="da-DK"/>
        </w:rPr>
        <w:t>.</w:t>
      </w:r>
    </w:p>
  </w:footnote>
  <w:footnote w:id="6">
    <w:p w14:paraId="4F4D37CF" w14:textId="1596925E"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EUT L 218 af 13.8.2008, s. 30, ELI: </w:t>
      </w:r>
      <w:hyperlink r:id="rId6" w:tooltip="Giver adgang til dokumentet gennem dets ELI-URI." w:history="1">
        <w:r w:rsidRPr="00E64DE3">
          <w:rPr>
            <w:rStyle w:val="Hyperlink"/>
            <w:sz w:val="24"/>
            <w:lang w:val="da-DK"/>
          </w:rPr>
          <w:t>http://data.europa.eu/eli/reg/2008/765/oj</w:t>
        </w:r>
      </w:hyperlink>
      <w:r w:rsidRPr="00E64DE3">
        <w:rPr>
          <w:sz w:val="24"/>
          <w:lang w:val="da-DK"/>
        </w:rPr>
        <w:t xml:space="preserve">. </w:t>
      </w:r>
    </w:p>
  </w:footnote>
  <w:footnote w:id="7">
    <w:p w14:paraId="6062D371" w14:textId="7C0B4C83"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 xml:space="preserve">EUT L, 2024/3015, 12.12.2024, ELI: </w:t>
      </w:r>
      <w:hyperlink r:id="rId7" w:history="1">
        <w:r w:rsidRPr="00E64DE3">
          <w:rPr>
            <w:rStyle w:val="Hyperlink"/>
            <w:sz w:val="24"/>
            <w:lang w:val="da-DK"/>
          </w:rPr>
          <w:t>http://data.europa.eu/eli/reg/2024/3015/oj</w:t>
        </w:r>
      </w:hyperlink>
      <w:r w:rsidRPr="00E64DE3">
        <w:rPr>
          <w:rStyle w:val="Hyperlink"/>
          <w:sz w:val="24"/>
          <w:lang w:val="da-DK"/>
        </w:rPr>
        <w:t>.</w:t>
      </w:r>
    </w:p>
  </w:footnote>
  <w:footnote w:id="8">
    <w:p w14:paraId="4A568EAF" w14:textId="3F0019D2"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Vedtagne tekster, P10_</w:t>
      </w:r>
      <w:proofErr w:type="gramStart"/>
      <w:r w:rsidRPr="00E64DE3">
        <w:rPr>
          <w:sz w:val="24"/>
          <w:lang w:val="da-DK"/>
        </w:rPr>
        <w:t>TA(</w:t>
      </w:r>
      <w:proofErr w:type="gramEnd"/>
      <w:r w:rsidRPr="00E64DE3">
        <w:rPr>
          <w:sz w:val="24"/>
          <w:lang w:val="da-DK"/>
        </w:rPr>
        <w:t xml:space="preserve">2025)0154. </w:t>
      </w:r>
    </w:p>
  </w:footnote>
  <w:footnote w:id="9">
    <w:p w14:paraId="75ACBA58" w14:textId="3CD22654"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 xml:space="preserve">Mario </w:t>
      </w:r>
      <w:proofErr w:type="spellStart"/>
      <w:r w:rsidRPr="00E64DE3">
        <w:rPr>
          <w:sz w:val="24"/>
          <w:lang w:val="da-DK"/>
        </w:rPr>
        <w:t>Draghi</w:t>
      </w:r>
      <w:proofErr w:type="spellEnd"/>
      <w:r w:rsidRPr="00E64DE3">
        <w:rPr>
          <w:sz w:val="24"/>
          <w:lang w:val="da-DK"/>
        </w:rPr>
        <w:t xml:space="preserve">, "The Future of European </w:t>
      </w:r>
      <w:proofErr w:type="spellStart"/>
      <w:r w:rsidRPr="00E64DE3">
        <w:rPr>
          <w:sz w:val="24"/>
          <w:lang w:val="da-DK"/>
        </w:rPr>
        <w:t>Competitiveness</w:t>
      </w:r>
      <w:proofErr w:type="spellEnd"/>
      <w:r w:rsidRPr="00E64DE3">
        <w:rPr>
          <w:sz w:val="24"/>
          <w:lang w:val="da-DK"/>
        </w:rPr>
        <w:t>" (Fremtiden for den europæiske konkurrenceevne), af 9. september 2024.</w:t>
      </w:r>
    </w:p>
  </w:footnote>
  <w:footnote w:id="10">
    <w:p w14:paraId="7E75BBF3" w14:textId="78FDC923" w:rsidR="000A2C77" w:rsidRPr="00E64DE3" w:rsidRDefault="000A2C77" w:rsidP="00E64DE3">
      <w:pPr>
        <w:pStyle w:val="FootnoteText"/>
        <w:ind w:left="567" w:hanging="567"/>
        <w:rPr>
          <w:sz w:val="24"/>
          <w:lang w:val="da-DK"/>
        </w:rPr>
      </w:pPr>
      <w:r w:rsidRPr="00E64DE3">
        <w:rPr>
          <w:rStyle w:val="FootnoteReference"/>
          <w:sz w:val="24"/>
          <w:lang w:val="da-DK"/>
        </w:rPr>
        <w:footnoteRef/>
      </w:r>
      <w:r w:rsidR="00E64DE3" w:rsidRPr="00E64DE3">
        <w:rPr>
          <w:sz w:val="24"/>
          <w:lang w:val="da-DK"/>
        </w:rPr>
        <w:t xml:space="preserve"> </w:t>
      </w:r>
      <w:r w:rsidR="00E64DE3" w:rsidRPr="00E64DE3">
        <w:rPr>
          <w:sz w:val="24"/>
          <w:lang w:val="da-DK"/>
        </w:rPr>
        <w:tab/>
      </w:r>
      <w:r w:rsidRPr="00E64DE3">
        <w:rPr>
          <w:sz w:val="24"/>
          <w:lang w:val="da-DK"/>
        </w:rPr>
        <w:t>Europa-Parlamentets og Rådets direktiv (EU) 2024/825 af 28. februar 2024 om ændring af direktiv 2005/29/EF og 2011/83/EU for så vidt angår styrkelse af forbrugernes rolle i den grønne omstilling gennem bedre beskyttelse mod urimelig praksis og gennem bedre oplysning (EUT L, 2024/825, 6.3.2024, ELI: </w:t>
      </w:r>
      <w:hyperlink r:id="rId8" w:tgtFrame="_blank" w:tooltip="Giver adgang til dokumentet gennem dets ELI-URI." w:history="1">
        <w:r w:rsidRPr="00E64DE3">
          <w:rPr>
            <w:rStyle w:val="Hyperlink"/>
            <w:sz w:val="24"/>
            <w:lang w:val="da-DK"/>
          </w:rPr>
          <w:t>http://data.europa.eu/eli/dir/2024/825/oj</w:t>
        </w:r>
      </w:hyperlink>
      <w:r w:rsidRPr="00E64DE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0DDE9" w14:textId="77777777" w:rsidR="00064002" w:rsidRPr="00E64D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F371" w14:textId="77777777" w:rsidR="00064002" w:rsidRPr="00E64D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2250" w14:textId="77777777" w:rsidR="00064002" w:rsidRPr="00E64D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7520148">
    <w:abstractNumId w:val="9"/>
  </w:num>
  <w:num w:numId="2" w16cid:durableId="867135391">
    <w:abstractNumId w:val="9"/>
  </w:num>
  <w:num w:numId="3" w16cid:durableId="1659308764">
    <w:abstractNumId w:val="7"/>
  </w:num>
  <w:num w:numId="4" w16cid:durableId="274795941">
    <w:abstractNumId w:val="7"/>
  </w:num>
  <w:num w:numId="5" w16cid:durableId="1473327085">
    <w:abstractNumId w:val="6"/>
  </w:num>
  <w:num w:numId="6" w16cid:durableId="2079860620">
    <w:abstractNumId w:val="6"/>
  </w:num>
  <w:num w:numId="7" w16cid:durableId="1692611128">
    <w:abstractNumId w:val="5"/>
  </w:num>
  <w:num w:numId="8" w16cid:durableId="1307465441">
    <w:abstractNumId w:val="5"/>
  </w:num>
  <w:num w:numId="9" w16cid:durableId="1642805057">
    <w:abstractNumId w:val="4"/>
  </w:num>
  <w:num w:numId="10" w16cid:durableId="1127506509">
    <w:abstractNumId w:val="4"/>
  </w:num>
  <w:num w:numId="11" w16cid:durableId="1895694661">
    <w:abstractNumId w:val="8"/>
  </w:num>
  <w:num w:numId="12" w16cid:durableId="1687635395">
    <w:abstractNumId w:val="8"/>
  </w:num>
  <w:num w:numId="13" w16cid:durableId="955521663">
    <w:abstractNumId w:val="3"/>
  </w:num>
  <w:num w:numId="14" w16cid:durableId="839810265">
    <w:abstractNumId w:val="3"/>
  </w:num>
  <w:num w:numId="15" w16cid:durableId="1555240121">
    <w:abstractNumId w:val="2"/>
  </w:num>
  <w:num w:numId="16" w16cid:durableId="302514705">
    <w:abstractNumId w:val="2"/>
  </w:num>
  <w:num w:numId="17" w16cid:durableId="1878854467">
    <w:abstractNumId w:val="1"/>
  </w:num>
  <w:num w:numId="18" w16cid:durableId="829249717">
    <w:abstractNumId w:val="1"/>
  </w:num>
  <w:num w:numId="19" w16cid:durableId="1056853826">
    <w:abstractNumId w:val="0"/>
  </w:num>
  <w:num w:numId="20" w16cid:durableId="1268545431">
    <w:abstractNumId w:val="0"/>
  </w:num>
  <w:num w:numId="21" w16cid:durableId="2082827808">
    <w:abstractNumId w:val="9"/>
  </w:num>
  <w:num w:numId="22" w16cid:durableId="1152209715">
    <w:abstractNumId w:val="7"/>
  </w:num>
  <w:num w:numId="23" w16cid:durableId="2072118923">
    <w:abstractNumId w:val="6"/>
  </w:num>
  <w:num w:numId="24" w16cid:durableId="159002128">
    <w:abstractNumId w:val="5"/>
  </w:num>
  <w:num w:numId="25" w16cid:durableId="1893301341">
    <w:abstractNumId w:val="4"/>
  </w:num>
  <w:num w:numId="26" w16cid:durableId="17321440">
    <w:abstractNumId w:val="8"/>
  </w:num>
  <w:num w:numId="27" w16cid:durableId="2139646435">
    <w:abstractNumId w:val="3"/>
  </w:num>
  <w:num w:numId="28" w16cid:durableId="1109546121">
    <w:abstractNumId w:val="2"/>
  </w:num>
  <w:num w:numId="29" w16cid:durableId="1893347692">
    <w:abstractNumId w:val="1"/>
  </w:num>
  <w:num w:numId="30" w16cid:durableId="5982656">
    <w:abstractNumId w:val="0"/>
  </w:num>
  <w:num w:numId="31" w16cid:durableId="1984768974">
    <w:abstractNumId w:val="9"/>
  </w:num>
  <w:num w:numId="32" w16cid:durableId="310837500">
    <w:abstractNumId w:val="7"/>
  </w:num>
  <w:num w:numId="33" w16cid:durableId="269051562">
    <w:abstractNumId w:val="6"/>
  </w:num>
  <w:num w:numId="34" w16cid:durableId="845021583">
    <w:abstractNumId w:val="5"/>
  </w:num>
  <w:num w:numId="35" w16cid:durableId="1601257076">
    <w:abstractNumId w:val="4"/>
  </w:num>
  <w:num w:numId="36" w16cid:durableId="171458873">
    <w:abstractNumId w:val="8"/>
  </w:num>
  <w:num w:numId="37" w16cid:durableId="2118451233">
    <w:abstractNumId w:val="3"/>
  </w:num>
  <w:num w:numId="38" w16cid:durableId="1929120614">
    <w:abstractNumId w:val="2"/>
  </w:num>
  <w:num w:numId="39" w16cid:durableId="908154997">
    <w:abstractNumId w:val="1"/>
  </w:num>
  <w:num w:numId="40" w16cid:durableId="192232119">
    <w:abstractNumId w:val="0"/>
  </w:num>
  <w:num w:numId="41" w16cid:durableId="169756897">
    <w:abstractNumId w:val="10"/>
  </w:num>
  <w:num w:numId="42" w16cid:durableId="302121905">
    <w:abstractNumId w:val="10"/>
  </w:num>
  <w:num w:numId="43" w16cid:durableId="1244797562">
    <w:abstractNumId w:val="10"/>
  </w:num>
  <w:num w:numId="44" w16cid:durableId="11938870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DA"/>
    <w:docVar w:name="dvnumam" w:val="0"/>
    <w:docVar w:name="dvpe" w:val="779.388"/>
    <w:docVar w:name="dvtitre" w:val="Europa-Parlamentets beslutning af 29. april 2026 om beskyttelse af EU-virksomheder, -arbejdspladser og -produkter mod unfair konkurrence fra lande uden for EU(2025/2955(RSP))"/>
  </w:docVars>
  <w:rsids>
    <w:rsidRoot w:val="007A34EE"/>
    <w:rsid w:val="00002272"/>
    <w:rsid w:val="00064002"/>
    <w:rsid w:val="000677B9"/>
    <w:rsid w:val="000831BA"/>
    <w:rsid w:val="000A2C77"/>
    <w:rsid w:val="000A42CC"/>
    <w:rsid w:val="000E7DD9"/>
    <w:rsid w:val="0010095E"/>
    <w:rsid w:val="00125B37"/>
    <w:rsid w:val="00187494"/>
    <w:rsid w:val="001C5BEE"/>
    <w:rsid w:val="001F32AE"/>
    <w:rsid w:val="0022113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34EE"/>
    <w:rsid w:val="007C461E"/>
    <w:rsid w:val="007D1690"/>
    <w:rsid w:val="007E22AD"/>
    <w:rsid w:val="00817416"/>
    <w:rsid w:val="00842779"/>
    <w:rsid w:val="00865F67"/>
    <w:rsid w:val="00871E0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DE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DB826"/>
  <w15:chartTrackingRefBased/>
  <w15:docId w15:val="{A060FB2A-D4E6-4666-87A6-67BD5FA3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2C77"/>
    <w:pPr>
      <w:spacing w:before="480" w:after="240"/>
    </w:pPr>
  </w:style>
  <w:style w:type="paragraph" w:customStyle="1" w:styleId="NormalHanging12a">
    <w:name w:val="NormalHanging12a"/>
    <w:basedOn w:val="Normal"/>
    <w:rsid w:val="000A2C77"/>
    <w:pPr>
      <w:spacing w:after="240"/>
      <w:ind w:left="567" w:hanging="567"/>
    </w:pPr>
  </w:style>
  <w:style w:type="character" w:styleId="Hyperlink">
    <w:name w:val="Hyperlink"/>
    <w:basedOn w:val="DefaultParagraphFont"/>
    <w:uiPriority w:val="99"/>
    <w:rsid w:val="000A2C77"/>
    <w:rPr>
      <w:color w:val="0563C1" w:themeColor="hyperlink"/>
      <w:u w:val="single"/>
    </w:rPr>
  </w:style>
  <w:style w:type="character" w:styleId="Strong">
    <w:name w:val="Strong"/>
    <w:basedOn w:val="DefaultParagraphFont"/>
    <w:uiPriority w:val="22"/>
    <w:qFormat/>
    <w:rsid w:val="000A2C77"/>
    <w:rPr>
      <w:b/>
      <w:bCs/>
    </w:rPr>
  </w:style>
  <w:style w:type="paragraph" w:styleId="Revision">
    <w:name w:val="Revision"/>
    <w:hidden/>
    <w:uiPriority w:val="99"/>
    <w:semiHidden/>
    <w:rsid w:val="00871E01"/>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825/oj" TargetMode="External"/><Relationship Id="rId3" Type="http://schemas.openxmlformats.org/officeDocument/2006/relationships/hyperlink" Target="http://data.europa.eu/eli/reg/2022/2065/oj" TargetMode="External"/><Relationship Id="rId7" Type="http://schemas.openxmlformats.org/officeDocument/2006/relationships/hyperlink" Target="http://data.europa.eu/eli/reg/2024/301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6" Type="http://schemas.openxmlformats.org/officeDocument/2006/relationships/hyperlink" Target="http://data.europa.eu/eli/reg/2008/765/oj" TargetMode="External"/><Relationship Id="rId5" Type="http://schemas.openxmlformats.org/officeDocument/2006/relationships/hyperlink" Target="http://data.europa.eu/eli/reg/2019/1020/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2603</Words>
  <Characters>16906</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2026-04-29T12:18:00Z</dcterms:created>
  <dcterms:modified xsi:type="dcterms:W3CDTF">2026-04-29T12:18:00Z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P10_TA-PROV(2026)0149_B10-0185_2026_</vt:lpwstr>
  </property>
  <property fmtid="{D5CDD505-2E9C-101B-9397-08002B2CF9AE}" pid="4" name="&lt;Type&gt;">
    <vt:lpwstr>RR</vt:lpwstr>
  </property>
</Properties>
</file>