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2A85" w14:paraId="0C053306" w14:textId="77777777" w:rsidTr="0010095E">
        <w:trPr>
          <w:trHeight w:hRule="exact" w:val="1418"/>
        </w:trPr>
        <w:tc>
          <w:tcPr>
            <w:tcW w:w="6804" w:type="dxa"/>
            <w:shd w:val="clear" w:color="auto" w:fill="auto"/>
            <w:vAlign w:val="center"/>
          </w:tcPr>
          <w:p w14:paraId="696F0B62" w14:textId="77777777" w:rsidR="00751A4A" w:rsidRPr="00EC2A85" w:rsidRDefault="00347E9E" w:rsidP="0010095E">
            <w:pPr>
              <w:pStyle w:val="EPName"/>
            </w:pPr>
            <w:r w:rsidRPr="00EC2A85">
              <w:t>Europos Parlamentas</w:t>
            </w:r>
          </w:p>
          <w:p w14:paraId="64148C43" w14:textId="77777777" w:rsidR="00751A4A" w:rsidRPr="00EC2A85" w:rsidRDefault="005F1B17" w:rsidP="005F1B17">
            <w:pPr>
              <w:pStyle w:val="EPTerm"/>
              <w:rPr>
                <w:rStyle w:val="HideTWBExt"/>
                <w:noProof w:val="0"/>
                <w:vanish w:val="0"/>
                <w:color w:val="auto"/>
              </w:rPr>
            </w:pPr>
            <w:r w:rsidRPr="00EC2A85">
              <w:t>2024</w:t>
            </w:r>
            <w:r w:rsidR="00817416" w:rsidRPr="00EC2A85">
              <w:t>-202</w:t>
            </w:r>
            <w:r w:rsidRPr="00EC2A85">
              <w:t>9</w:t>
            </w:r>
          </w:p>
        </w:tc>
        <w:tc>
          <w:tcPr>
            <w:tcW w:w="2268" w:type="dxa"/>
            <w:shd w:val="clear" w:color="auto" w:fill="auto"/>
          </w:tcPr>
          <w:p w14:paraId="0355C222" w14:textId="77777777" w:rsidR="00751A4A" w:rsidRPr="00EC2A85" w:rsidRDefault="00187494" w:rsidP="0010095E">
            <w:pPr>
              <w:pStyle w:val="EPLogo"/>
            </w:pPr>
            <w:r w:rsidRPr="00EC2A85">
              <w:rPr>
                <w:noProof/>
                <w:lang w:eastAsia="ja-JP"/>
              </w:rPr>
              <w:drawing>
                <wp:inline distT="0" distB="0" distL="0" distR="0" wp14:anchorId="1FD97746" wp14:editId="74C189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832826" w14:textId="77777777" w:rsidR="00D058B8" w:rsidRPr="00EC2A85" w:rsidRDefault="00D058B8" w:rsidP="004C5D52">
      <w:pPr>
        <w:pStyle w:val="LineTop"/>
      </w:pPr>
    </w:p>
    <w:p w14:paraId="48A811C5" w14:textId="77777777" w:rsidR="00680577" w:rsidRPr="00EC2A85" w:rsidRDefault="00347E9E" w:rsidP="00680577">
      <w:pPr>
        <w:pStyle w:val="EPBodyTA1"/>
      </w:pPr>
      <w:r w:rsidRPr="00EC2A85">
        <w:t>PRIIMTI TEKSTAI</w:t>
      </w:r>
    </w:p>
    <w:p w14:paraId="72BE95D8" w14:textId="77777777" w:rsidR="00D058B8" w:rsidRPr="00EC2A85" w:rsidRDefault="00D058B8" w:rsidP="00D058B8">
      <w:pPr>
        <w:pStyle w:val="LineBottom"/>
      </w:pPr>
    </w:p>
    <w:p w14:paraId="14877329" w14:textId="69C59B0F" w:rsidR="00347E9E" w:rsidRPr="00EC2A85" w:rsidRDefault="00347E9E" w:rsidP="00347E9E">
      <w:pPr>
        <w:pStyle w:val="ATHeading1"/>
      </w:pPr>
      <w:bookmarkStart w:id="0" w:name="TANumber"/>
      <w:r w:rsidRPr="00EC2A85">
        <w:t>P10_TA(2026)0</w:t>
      </w:r>
      <w:r w:rsidR="00276ADA">
        <w:t>149</w:t>
      </w:r>
      <w:bookmarkEnd w:id="0"/>
    </w:p>
    <w:p w14:paraId="2B59B0C1" w14:textId="77777777" w:rsidR="00347E9E" w:rsidRPr="00EC2A85" w:rsidRDefault="00347E9E" w:rsidP="00347E9E">
      <w:pPr>
        <w:pStyle w:val="ATHeading2"/>
      </w:pPr>
      <w:bookmarkStart w:id="1" w:name="title"/>
      <w:r w:rsidRPr="00EC2A85">
        <w:t>ES įmonių, darbo vietų ir produktų apsauga nuo nesąžiningos trečiųjų šalių konkurencijos</w:t>
      </w:r>
      <w:bookmarkEnd w:id="1"/>
    </w:p>
    <w:p w14:paraId="2ADEB32E" w14:textId="77777777" w:rsidR="00347E9E" w:rsidRPr="00EC2A85" w:rsidRDefault="00347E9E" w:rsidP="00347E9E">
      <w:pPr>
        <w:rPr>
          <w:i/>
          <w:vanish/>
        </w:rPr>
      </w:pPr>
      <w:r w:rsidRPr="00EC2A85">
        <w:rPr>
          <w:i/>
        </w:rPr>
        <w:fldChar w:fldCharType="begin"/>
      </w:r>
      <w:r w:rsidRPr="00EC2A85">
        <w:rPr>
          <w:i/>
        </w:rPr>
        <w:instrText xml:space="preserve"> TC"(</w:instrText>
      </w:r>
      <w:bookmarkStart w:id="2" w:name="DocNumber"/>
      <w:r w:rsidRPr="00EC2A85">
        <w:rPr>
          <w:i/>
        </w:rPr>
        <w:instrText>B10-0185/2026</w:instrText>
      </w:r>
      <w:bookmarkEnd w:id="2"/>
      <w:r w:rsidRPr="00EC2A85">
        <w:rPr>
          <w:i/>
        </w:rPr>
        <w:instrText xml:space="preserve">)"\l3 \n&gt; \* MERGEFORMAT </w:instrText>
      </w:r>
      <w:r w:rsidRPr="00EC2A85">
        <w:rPr>
          <w:i/>
        </w:rPr>
        <w:fldChar w:fldCharType="end"/>
      </w:r>
    </w:p>
    <w:p w14:paraId="3C8CC819" w14:textId="77777777" w:rsidR="00347E9E" w:rsidRPr="00EC2A85" w:rsidRDefault="00347E9E" w:rsidP="00347E9E">
      <w:pPr>
        <w:rPr>
          <w:vanish/>
        </w:rPr>
      </w:pPr>
      <w:bookmarkStart w:id="3" w:name="PE"/>
      <w:r w:rsidRPr="00EC2A85">
        <w:rPr>
          <w:vanish/>
        </w:rPr>
        <w:t>PE779.388</w:t>
      </w:r>
      <w:bookmarkEnd w:id="3"/>
    </w:p>
    <w:p w14:paraId="18C1D1DE" w14:textId="2541F796" w:rsidR="00347E9E" w:rsidRPr="00EC2A85" w:rsidRDefault="00347E9E" w:rsidP="009406B6">
      <w:pPr>
        <w:pStyle w:val="ATHeading3"/>
      </w:pPr>
      <w:bookmarkStart w:id="4" w:name="Sujet"/>
      <w:r w:rsidRPr="00EC2A85">
        <w:t xml:space="preserve">2026 m. </w:t>
      </w:r>
      <w:r w:rsidR="009406B6" w:rsidRPr="00EC2A85">
        <w:t>balandžio</w:t>
      </w:r>
      <w:r w:rsidRPr="00EC2A85">
        <w:t xml:space="preserve"> 29 d. Europos Parlamento rezoliucija dėl ES įmonių, darbo vietų ir produktų apsaugos nuo nesąžiningos trečiųjų šalių konkurencijos</w:t>
      </w:r>
      <w:bookmarkEnd w:id="4"/>
      <w:r w:rsidRPr="00EC2A85">
        <w:t xml:space="preserve"> </w:t>
      </w:r>
      <w:bookmarkStart w:id="5" w:name="References"/>
      <w:r w:rsidRPr="00EC2A85">
        <w:t>(2025/2955(RSP))</w:t>
      </w:r>
      <w:bookmarkEnd w:id="5"/>
    </w:p>
    <w:p w14:paraId="59B2DE57" w14:textId="77777777" w:rsidR="00F05D51" w:rsidRPr="00EC2A85" w:rsidRDefault="00F05D51" w:rsidP="00F05D51">
      <w:pPr>
        <w:pStyle w:val="EPComma"/>
      </w:pPr>
      <w:bookmarkStart w:id="6" w:name="TextBodyBegin"/>
      <w:bookmarkEnd w:id="6"/>
      <w:r w:rsidRPr="00EC2A85">
        <w:rPr>
          <w:i/>
          <w:iCs/>
        </w:rPr>
        <w:t>Europos Parlamentas</w:t>
      </w:r>
      <w:r w:rsidRPr="00EC2A85">
        <w:t>,</w:t>
      </w:r>
    </w:p>
    <w:p w14:paraId="3E08A58B" w14:textId="77777777" w:rsidR="00F05D51" w:rsidRPr="00EC2A85" w:rsidRDefault="00F05D51" w:rsidP="00F05D51">
      <w:pPr>
        <w:pStyle w:val="NormalHanging12a"/>
        <w:rPr>
          <w:rFonts w:eastAsiaTheme="minorHAnsi"/>
        </w:rPr>
      </w:pPr>
      <w:r w:rsidRPr="00EC2A85">
        <w:t>–</w:t>
      </w:r>
      <w:r w:rsidRPr="00EC2A85">
        <w:tab/>
        <w:t>atsižvelgdamas į peticijas Nr. 0072/2025 ir Nr. 0956/2025,</w:t>
      </w:r>
    </w:p>
    <w:p w14:paraId="6CC39B96" w14:textId="77777777" w:rsidR="00F05D51" w:rsidRPr="00EC2A85" w:rsidRDefault="00F05D51" w:rsidP="00F05D51">
      <w:pPr>
        <w:pStyle w:val="NormalHanging12a"/>
      </w:pPr>
      <w:r w:rsidRPr="00EC2A85">
        <w:t>–</w:t>
      </w:r>
      <w:r w:rsidRPr="00EC2A85">
        <w:tab/>
        <w:t>atsižvelgdamas į 2013 m. spalio 9 d. Europos Parlamento ir Tarybos reglamentą (ES) Nr. 952/2013, kuriuo nustatomas Sąjungos muitinės kodeksas,</w:t>
      </w:r>
      <w:r w:rsidRPr="00EC2A85">
        <w:rPr>
          <w:rStyle w:val="FootnoteReference"/>
          <w:color w:val="000000"/>
        </w:rPr>
        <w:footnoteReference w:id="1"/>
      </w:r>
      <w:r w:rsidRPr="00EC2A85">
        <w:t xml:space="preserve"> ir 2025 m. kovo 13 d. Komisijos įgyvendinimo reglamentą (ES) Nr. 2025/512 dėl elektroninių sistemų, skirtų informacijos mainams vykdyti ir tai informacijai saugoti vadovaujantis Europos Parlamento ir Tarybos reglamentu (ES) Nr. 952/2013, kūrimo, priežiūros ir naudojimo techninių priemonių</w:t>
      </w:r>
      <w:r w:rsidRPr="00EC2A85">
        <w:rPr>
          <w:rStyle w:val="FootnoteReference"/>
          <w:color w:val="000000"/>
        </w:rPr>
        <w:footnoteReference w:id="2"/>
      </w:r>
      <w:r w:rsidRPr="00EC2A85">
        <w:t>,</w:t>
      </w:r>
    </w:p>
    <w:p w14:paraId="2734BE62" w14:textId="77777777" w:rsidR="00F05D51" w:rsidRPr="00EC2A85" w:rsidRDefault="00F05D51" w:rsidP="00F05D51">
      <w:pPr>
        <w:pStyle w:val="NormalHanging12a"/>
      </w:pPr>
      <w:r w:rsidRPr="00EC2A85">
        <w:t>–</w:t>
      </w:r>
      <w:r w:rsidRPr="00EC2A85">
        <w:tab/>
        <w:t>atsižvelgdamas į 2022 m. spalio 19 d. Europos Parlamento ir Tarybos reglamentą (ES) 2022/2065 dėl bendrosios skaitmeninių paslaugų rinkos, kuriuo iš dalies keičiama Direktyva 2000/31/EB (Skaitmeninių paslaugų aktas)</w:t>
      </w:r>
      <w:r w:rsidRPr="00EC2A85">
        <w:rPr>
          <w:rStyle w:val="FootnoteReference"/>
          <w:color w:val="000000"/>
        </w:rPr>
        <w:footnoteReference w:id="3"/>
      </w:r>
      <w:r w:rsidRPr="00EC2A85">
        <w:t>,</w:t>
      </w:r>
    </w:p>
    <w:p w14:paraId="2D7876DE" w14:textId="77777777" w:rsidR="00F05D51" w:rsidRPr="00EC2A85" w:rsidRDefault="00F05D51" w:rsidP="00F05D51">
      <w:pPr>
        <w:pStyle w:val="NormalHanging12a"/>
      </w:pPr>
      <w:r w:rsidRPr="00EC2A85">
        <w:t>–</w:t>
      </w:r>
      <w:r w:rsidRPr="00EC2A85">
        <w:tab/>
        <w:t>atsižvelgdamas į 2023 m. gegužės 10 d. Europos Parlamento ir Tarybos reglamentą (ES) 2023/988 dėl bendros gaminių saugos, kuriuo iš dalies keičiami Europos Parlamento ir Tarybos reglamentas (ES) Nr. 1025/2012 bei Europos Parlamento ir Tarybos direktyva (ES) 2020/1828 ir panaikinamos Europos Parlamento ir Tarybos direktyva 2001/95/EB bei Tarybos direktyva 87/357/EEB</w:t>
      </w:r>
      <w:r w:rsidRPr="00EC2A85">
        <w:rPr>
          <w:rStyle w:val="FootnoteReference"/>
          <w:color w:val="000000"/>
        </w:rPr>
        <w:footnoteReference w:id="4"/>
      </w:r>
      <w:r w:rsidRPr="00EC2A85">
        <w:t>,</w:t>
      </w:r>
    </w:p>
    <w:p w14:paraId="0174DE25" w14:textId="77777777" w:rsidR="00F05D51" w:rsidRPr="00EC2A85" w:rsidRDefault="00F05D51" w:rsidP="00F05D51">
      <w:pPr>
        <w:pStyle w:val="NormalHanging12a"/>
      </w:pPr>
      <w:r w:rsidRPr="00EC2A85">
        <w:t>–</w:t>
      </w:r>
      <w:r w:rsidRPr="00EC2A85">
        <w:tab/>
        <w:t>atsižvelgdamas į 2019 m. birželio 20 d. Europos Parlamento ir Tarybos reglamentą (ES) 2019/1020 dėl rinkos priežiūros ir gaminių atitikties, kuriuo iš dalies keičiama Direktyva 2004/42/EB ir reglamentai (EB) Nr. 765/2008 ir (ES) Nr. 305/2011</w:t>
      </w:r>
      <w:r w:rsidRPr="00EC2A85">
        <w:rPr>
          <w:rStyle w:val="FootnoteReference"/>
          <w:color w:val="000000"/>
        </w:rPr>
        <w:footnoteReference w:id="5"/>
      </w:r>
      <w:r w:rsidRPr="00EC2A85">
        <w:t>,</w:t>
      </w:r>
    </w:p>
    <w:p w14:paraId="7B7AED75" w14:textId="77777777" w:rsidR="00F05D51" w:rsidRPr="00EC2A85" w:rsidRDefault="00F05D51" w:rsidP="00F05D51">
      <w:pPr>
        <w:pStyle w:val="NormalHanging12a"/>
      </w:pPr>
      <w:r w:rsidRPr="00EC2A85">
        <w:lastRenderedPageBreak/>
        <w:t>–</w:t>
      </w:r>
      <w:r w:rsidRPr="00EC2A85">
        <w:tab/>
        <w:t>atsižvelgdamas į 2008 m. liepos 9 d. Europos Parlamento ir Tarybos reglamentą (EB) Nr. 765/2008, nustatantį su gaminių prekyba susijusius akreditavimo ir rinkos priežiūros reikalavimus ir panaikinantį Reglamentą (EEB) Nr. 339/93</w:t>
      </w:r>
      <w:r w:rsidRPr="00EC2A85">
        <w:rPr>
          <w:rStyle w:val="FootnoteReference"/>
          <w:color w:val="000000"/>
        </w:rPr>
        <w:footnoteReference w:id="6"/>
      </w:r>
      <w:r w:rsidRPr="00EC2A85">
        <w:t>,</w:t>
      </w:r>
    </w:p>
    <w:p w14:paraId="35F48E4D" w14:textId="77777777" w:rsidR="00F05D51" w:rsidRPr="00EC2A85" w:rsidRDefault="00F05D51" w:rsidP="00F05D51">
      <w:pPr>
        <w:pStyle w:val="NormalHanging12a"/>
      </w:pPr>
      <w:r w:rsidRPr="00EC2A85">
        <w:t>–</w:t>
      </w:r>
      <w:r w:rsidRPr="00EC2A85">
        <w:tab/>
        <w:t>atsižvelgdamas į 2024 m. lapkričio 27 d. Europos Parlamento ir Tarybos reglamentą (ES) 2024/3015 dėl produktų, pagamintų naudojant priverčiamąjį darbą, uždraudimo Sąjungos rinkoje, kuriuo iš dalies keičiama Direktyva (ES) 2019/1937</w:t>
      </w:r>
      <w:r w:rsidRPr="00EC2A85">
        <w:rPr>
          <w:rStyle w:val="FootnoteReference"/>
          <w:color w:val="000000"/>
        </w:rPr>
        <w:footnoteReference w:id="7"/>
      </w:r>
      <w:r w:rsidRPr="00EC2A85">
        <w:t>,</w:t>
      </w:r>
    </w:p>
    <w:p w14:paraId="0203FB77" w14:textId="77777777" w:rsidR="00F05D51" w:rsidRPr="00EC2A85" w:rsidRDefault="00F05D51" w:rsidP="00F05D51">
      <w:pPr>
        <w:pStyle w:val="NormalHanging12a"/>
      </w:pPr>
      <w:r w:rsidRPr="00EC2A85">
        <w:t>–</w:t>
      </w:r>
      <w:r w:rsidRPr="00EC2A85">
        <w:tab/>
        <w:t>atsižvelgdamas į 2025 m. vasario 5 d. Komisijos komunikatą „Išsamus saugiai ir tvariai e. prekybai skirtas ES priemonių rinkinys“ (COM(2025)0037),</w:t>
      </w:r>
    </w:p>
    <w:p w14:paraId="6DD2AF63" w14:textId="77777777" w:rsidR="00F05D51" w:rsidRPr="00EC2A85" w:rsidRDefault="00F05D51" w:rsidP="00F05D51">
      <w:pPr>
        <w:pStyle w:val="NormalHanging12a"/>
      </w:pPr>
      <w:r w:rsidRPr="00EC2A85">
        <w:t>–</w:t>
      </w:r>
      <w:r w:rsidRPr="00EC2A85">
        <w:tab/>
        <w:t>atsižvelgdamas į savo 2025 m. liepos 9 d. rezoliuciją dėl gaminių saugos ir atitikties teisės aktų reikalavimams e. prekybos ir importo iš ES nepriklausančių šalių kontekste</w:t>
      </w:r>
      <w:r w:rsidRPr="00EC2A85">
        <w:rPr>
          <w:rStyle w:val="FootnoteReference"/>
          <w:color w:val="000000"/>
        </w:rPr>
        <w:footnoteReference w:id="8"/>
      </w:r>
      <w:r w:rsidRPr="00EC2A85">
        <w:t>,</w:t>
      </w:r>
    </w:p>
    <w:p w14:paraId="469F5AC8" w14:textId="77777777" w:rsidR="00F05D51" w:rsidRPr="00EC2A85" w:rsidRDefault="00F05D51" w:rsidP="00F05D51">
      <w:pPr>
        <w:pStyle w:val="NormalHanging12a"/>
      </w:pPr>
      <w:r w:rsidRPr="00EC2A85">
        <w:t>–</w:t>
      </w:r>
      <w:r w:rsidRPr="00EC2A85">
        <w:tab/>
        <w:t>atsižvelgdamas į Darbo tvarkos taisyklių 233 straipsnio 2 dalį,</w:t>
      </w:r>
    </w:p>
    <w:p w14:paraId="6A6A9820" w14:textId="77777777" w:rsidR="00F05D51" w:rsidRPr="00EC2A85" w:rsidRDefault="00F05D51" w:rsidP="00F05D51">
      <w:pPr>
        <w:pStyle w:val="NormalHanging12a"/>
      </w:pPr>
      <w:r w:rsidRPr="00EC2A85">
        <w:t>A.</w:t>
      </w:r>
      <w:r w:rsidRPr="00EC2A85">
        <w:rPr>
          <w:i/>
        </w:rPr>
        <w:tab/>
      </w:r>
      <w:r w:rsidRPr="00EC2A85">
        <w:t>kadangi nesąžininga konkurencija dėl ES rinkai pateikiamų importuotų prekių gali atsirasti tada, kai produktai parduodami dirbtinai sumažintomis kainomis dėl dempingo, prekybą iškreipiančių subsidijų, struktūrinių perteklinių pajėgumų, reguliavimo asimetrijų, įskaitant žemesnius aplinkos apsaugos, tvarumo ir darbo standartus, klaidinančios komercinės praktikos arba taikytinų sveikatos ir saugos standartų apėjimo; kadangi tokia praktika prieštarauja ES įsipareigojimui kurti sąžiningą ir tvarią pasaulinę prekybos sistemą, kenkia ES gamintojams, kuriems taikomi aukšti reglamentavimo ir tvarumo reikalavimai, ir gali padaryti didelę ekonominę žalą strateginėms pramonės ekosistemoms vidaus rinkoje, taip pat neigiamai paveikti vartotojus;</w:t>
      </w:r>
    </w:p>
    <w:p w14:paraId="165AEBEE" w14:textId="77777777" w:rsidR="00F05D51" w:rsidRPr="00EC2A85" w:rsidRDefault="00F05D51" w:rsidP="00F05D51">
      <w:pPr>
        <w:pStyle w:val="NormalHanging12a"/>
      </w:pPr>
      <w:r w:rsidRPr="00EC2A85">
        <w:t>B.</w:t>
      </w:r>
      <w:r w:rsidRPr="00EC2A85">
        <w:tab/>
        <w:t>kadangi dėl neseniai pasaulinėje prekybos sistemoje atsiradusių trikdžių kyla rizika, kad gamybos perteklius bus nukreiptas į ES rinką ir iškreips konkurencijos sąlygas;</w:t>
      </w:r>
    </w:p>
    <w:p w14:paraId="3919B6F1" w14:textId="77777777" w:rsidR="00F05D51" w:rsidRPr="00EC2A85" w:rsidRDefault="00F05D51" w:rsidP="00F05D51">
      <w:pPr>
        <w:pStyle w:val="NormalHanging12a"/>
      </w:pPr>
      <w:r w:rsidRPr="00EC2A85">
        <w:t>C.</w:t>
      </w:r>
      <w:r w:rsidRPr="00EC2A85">
        <w:tab/>
        <w:t>kadangi valstybės subsidijos ir pramonės pertekliniai pajėgumai Kinijoje, tokiuose sektoriuose kaip plieno, elektronikos ir fotovoltinių plokščių, kelia riziką, kad ES įmonės bus privestos mažinti kainas, tad ES gamintojams taps vis sunkiau konkuruoti kainos atžvilgiu; kadangi, kaip nurodyta M. Draghi pranešime</w:t>
      </w:r>
      <w:r w:rsidRPr="00EC2A85">
        <w:rPr>
          <w:rStyle w:val="FootnoteReference"/>
          <w:color w:val="000000"/>
        </w:rPr>
        <w:footnoteReference w:id="9"/>
      </w:r>
      <w:r w:rsidRPr="00EC2A85">
        <w:t>, Kinija jau dabar dominuoja pasaulinėje švarių technologijų eksporto rinkoje ir tikėtina, kad ateityje ji išlaikys didelį perteklinį fotovoltinės saulės energijos, baterijos elementų ir elektrinių transporto priemonių sektorių pajėgumą, o tai iš dalies lemia keturis kartus didesnės valstybės subsidijos nei kitose didžiosiose ekonomikose bei žemos gamybos sąnaudos;</w:t>
      </w:r>
    </w:p>
    <w:p w14:paraId="2A8C1F35" w14:textId="77777777" w:rsidR="00F05D51" w:rsidRPr="00EC2A85" w:rsidRDefault="00F05D51" w:rsidP="00F05D51">
      <w:pPr>
        <w:pStyle w:val="NormalHanging12a"/>
      </w:pPr>
      <w:r w:rsidRPr="00EC2A85">
        <w:t>D.</w:t>
      </w:r>
      <w:r w:rsidRPr="00EC2A85">
        <w:tab/>
        <w:t>kadangi Komisija jau turi įvairias prekybos apsaugos priemones, be kita ko, apsaugos priemones, kurias taikydama ji sudaro sąlygas apsaugoti ES darbo vietas ir įmones nesąžiningos konkurencijos, rinkos iškraipymo ar dempingo atvejais; kadangi ES, nustačiusi nesąžiningą valstybės subsidijavimą, šias priemones taiko būtent Kinijos elektrinėms transporto priemonėms;</w:t>
      </w:r>
    </w:p>
    <w:p w14:paraId="5C95FE0F" w14:textId="77777777" w:rsidR="00F05D51" w:rsidRPr="00EC2A85" w:rsidRDefault="00F05D51" w:rsidP="00F05D51">
      <w:pPr>
        <w:pStyle w:val="NormalHanging12a"/>
      </w:pPr>
      <w:r w:rsidRPr="00EC2A85">
        <w:t>E.</w:t>
      </w:r>
      <w:r w:rsidRPr="00EC2A85">
        <w:tab/>
        <w:t xml:space="preserve">kadangi kai kurios trečiųjų šalių skaitmeninės platformos sparčiai plečia veiklą ES rinkoje, kai kuriais atvejais pasinaudodamos valstybės parama, siūlo prekes labai žemomis kainomis, dėl kurių ES įmonės, ypač mažosios ir vidutinės įmonės (MVĮ), </w:t>
      </w:r>
      <w:r w:rsidRPr="00EC2A85">
        <w:lastRenderedPageBreak/>
        <w:t>būna priverstos mažinti kainas, tuo pačiu pateikdamos rinkai didelius kiekius produktų, kurie neatitinka ES saugos, aplinkos apsaugos ir cheminių standartų, kelia grėsmę vartotojams ir daro ekonominę žalą;</w:t>
      </w:r>
    </w:p>
    <w:p w14:paraId="01405C12" w14:textId="670A40AF" w:rsidR="00F05D51" w:rsidRPr="00EC2A85" w:rsidRDefault="00F05D51" w:rsidP="00F05D51">
      <w:pPr>
        <w:pStyle w:val="NormalHanging12a"/>
      </w:pPr>
      <w:r w:rsidRPr="00957856">
        <w:t>F</w:t>
      </w:r>
      <w:r w:rsidR="00207521">
        <w:t>.</w:t>
      </w:r>
      <w:r w:rsidRPr="00957856">
        <w:tab/>
        <w:t>kadangi tokia nesąžininga konkurencija dažnai siejama su žemesniais darbo standartais, prasta aplinkos apsauga ir darbuotojų teisių pažeidimais, o tai prieštarauja ES įsipareigojimui užtikrinti sąžiningą ir tvarią prekybą bei kenkia ES taisyklių besilaikančių novatoriškų labai mažų, mažųjų ir vidutinių įmonių (MVĮ) konkurencingumui ir atsparumui</w:t>
      </w:r>
      <w:r w:rsidRPr="00EC2A85">
        <w:t>;</w:t>
      </w:r>
    </w:p>
    <w:p w14:paraId="1D18D11E" w14:textId="77777777" w:rsidR="00F05D51" w:rsidRPr="00EC2A85" w:rsidRDefault="00F05D51" w:rsidP="00F05D51">
      <w:pPr>
        <w:pStyle w:val="NormalHanging12a"/>
      </w:pPr>
      <w:r w:rsidRPr="00EC2A85">
        <w:t>G.</w:t>
      </w:r>
      <w:r w:rsidRPr="00EC2A85">
        <w:tab/>
        <w:t>kadangi sparčiai augantis elektroninės prekybos būdu parduodamų mažos vertės prekių importas, būtent kuriam sudaromos palankesnės sąlygos muitu neapmokestinant siuntų, kurių vertė neviršija 150 EUR, ir kurios dažniausiai būna importuojamos iš Kinijos, sukuria didelį spaudimą muitinėms ir rinkos priežiūros institucijoms, taip apribojant jų gebėjimą veiksmingai užtikrinti, kad būtų laikomasi ES taisyklių dėl pardavimo internetu;</w:t>
      </w:r>
    </w:p>
    <w:p w14:paraId="5C1B36AD" w14:textId="77777777" w:rsidR="00F05D51" w:rsidRPr="00EC2A85" w:rsidRDefault="00F05D51" w:rsidP="00F05D51">
      <w:pPr>
        <w:pStyle w:val="NormalHanging12a"/>
      </w:pPr>
      <w:r w:rsidRPr="00957856">
        <w:t>H.</w:t>
      </w:r>
      <w:r w:rsidRPr="00957856">
        <w:tab/>
        <w:t xml:space="preserve">kadangi </w:t>
      </w:r>
      <w:r w:rsidRPr="00EC2A85">
        <w:t>vis daugiau per elektroninės prekybos kanalus</w:t>
      </w:r>
      <w:r w:rsidRPr="00957856">
        <w:t xml:space="preserve"> importuojamų prekių neatitinka ES saugos, aplinkos apsaugos ar darbo standartų, </w:t>
      </w:r>
      <w:r w:rsidRPr="00EC2A85">
        <w:t>dėl to vartotojai, ypač pažeidžiami vartotojai ir nepilnamečiai, susiduria su nesaugiais ar suklastotais produktais, o tai daro ekonominę žalą, iškreipia</w:t>
      </w:r>
      <w:r w:rsidRPr="00957856">
        <w:t xml:space="preserve"> sąžiningą konkurenciją</w:t>
      </w:r>
      <w:r w:rsidRPr="00EC2A85">
        <w:t xml:space="preserve"> ir menkina pasitikėjimą bendrąja rinka, tokiu būdu ypač pakenkiant reikalavimų besilaikančioms ES įmonėms, visų pirma MVĮ, kurios investuoja į kokybę, saugą ir tvarumą;</w:t>
      </w:r>
    </w:p>
    <w:p w14:paraId="1B0D7AD5" w14:textId="77777777" w:rsidR="00F05D51" w:rsidRPr="00957856" w:rsidRDefault="00F05D51" w:rsidP="00F05D51">
      <w:pPr>
        <w:pStyle w:val="NormalHanging12a"/>
      </w:pPr>
      <w:r w:rsidRPr="00957856">
        <w:t>I.</w:t>
      </w:r>
      <w:r w:rsidRPr="00957856">
        <w:tab/>
        <w:t xml:space="preserve">kadangi kai kurie trečiųjų šalių pardavėjai, </w:t>
      </w:r>
      <w:r w:rsidRPr="00EC2A85">
        <w:t xml:space="preserve">parduodami prekes ES vartotojams, </w:t>
      </w:r>
      <w:r w:rsidRPr="00957856">
        <w:t xml:space="preserve">apeina reguliavimo ir administracinius reikalavimus, taip sudarydami nevienodas sąlygas, </w:t>
      </w:r>
      <w:r w:rsidRPr="00EC2A85">
        <w:t xml:space="preserve">nuo kurių nukenčia </w:t>
      </w:r>
      <w:r w:rsidRPr="00957856">
        <w:t>ES įmonės</w:t>
      </w:r>
      <w:r w:rsidRPr="00EC2A85">
        <w:t>, visų pirma MVĮ</w:t>
      </w:r>
      <w:r w:rsidRPr="00957856">
        <w:t xml:space="preserve"> ir </w:t>
      </w:r>
      <w:r w:rsidRPr="00EC2A85">
        <w:t xml:space="preserve">vidutinės kapitalizacijos įmonės, ir kurios paveikia jų </w:t>
      </w:r>
      <w:r w:rsidRPr="00957856">
        <w:t>konkurencingumą bei augimo pajėgumą, ypač kai tie patys reikalavimai nėra veiksmingai taikomi importuojamiems produktams;</w:t>
      </w:r>
    </w:p>
    <w:p w14:paraId="6F2DEF6E" w14:textId="77777777" w:rsidR="00F05D51" w:rsidRPr="00EC2A85" w:rsidRDefault="00F05D51" w:rsidP="00F05D51">
      <w:pPr>
        <w:pStyle w:val="NormalHanging12a"/>
      </w:pPr>
      <w:r w:rsidRPr="00957856">
        <w:t>J.</w:t>
      </w:r>
      <w:r w:rsidRPr="00957856">
        <w:tab/>
      </w:r>
      <w:r w:rsidRPr="00EC2A85">
        <w:t>kadangi M. Draghi pranešime pabrėžiama, kad, palyginti su konkurentais Kinijoje ir Jungtinėse Valstijose, ES įmonės susiduria su nereikalingu reglamentavimo sudėtingumu, o ES biurokratizmas apibūdinama kaip didelis ir vis didėjantis; kadangi daugiau nei 60 proc. ES įmonių pareigą teikti ataskaitas laiko kliūtimi investicijoms, o 55 proc. MVĮ didžiausia problema laiko reglamentavimo kliūtis ir administracinę naštą; kadangi ES neturi kiekybinės sistemos, kuri sudarytų sąlygas analizuoti naujų teisės aktų kaštus ir naudą;</w:t>
      </w:r>
    </w:p>
    <w:p w14:paraId="504735B0" w14:textId="77777777" w:rsidR="00F05D51" w:rsidRPr="00EC2A85" w:rsidRDefault="00F05D51" w:rsidP="00F05D51">
      <w:pPr>
        <w:pStyle w:val="NormalHanging12a"/>
      </w:pPr>
      <w:r w:rsidRPr="00957856">
        <w:t>K.</w:t>
      </w:r>
      <w:r w:rsidRPr="00957856">
        <w:tab/>
        <w:t>kadangi dėl nepakankamo į vidaus rinką patenkančių produktų kilmės skaidrumo vartotojai negali priimti informacija pagrįstų sprendimų ir tai kenkia sąžiningai konkurencijai ir kadangi šiuo metu nėra privalomo į ES importuojamų ne maisto produktų kilmės ženklinimo</w:t>
      </w:r>
      <w:r w:rsidRPr="00EC2A85">
        <w:t>;</w:t>
      </w:r>
    </w:p>
    <w:p w14:paraId="56E37BF9" w14:textId="77777777" w:rsidR="00F05D51" w:rsidRPr="00EC2A85" w:rsidRDefault="00F05D51" w:rsidP="00F05D51">
      <w:pPr>
        <w:pStyle w:val="NormalHanging12a"/>
      </w:pPr>
      <w:r w:rsidRPr="00957856">
        <w:t>L.</w:t>
      </w:r>
      <w:r w:rsidRPr="00957856">
        <w:tab/>
        <w:t xml:space="preserve">kadangi vartotojai, ypač pažeidžiami arba pirmą kartą internetu perkantys vartotojai, </w:t>
      </w:r>
      <w:r w:rsidRPr="00EC2A85">
        <w:t xml:space="preserve">kuriems nesuteikiama </w:t>
      </w:r>
      <w:r w:rsidRPr="00957856">
        <w:t xml:space="preserve">aiški ir patikima informacija apie produkto kilmę, atitiktį reikalavimams ir atsakingą ekonominės veiklos vykdytoją, </w:t>
      </w:r>
      <w:r w:rsidRPr="00EC2A85">
        <w:t>gali nukentėti nuo klaidinančios trečiųjų šalių pardavėjų praktikos;</w:t>
      </w:r>
    </w:p>
    <w:p w14:paraId="7017F3E5" w14:textId="77777777" w:rsidR="00F05D51" w:rsidRPr="00EC2A85" w:rsidRDefault="00F05D51" w:rsidP="00F05D51">
      <w:pPr>
        <w:pStyle w:val="NormalHanging12a"/>
      </w:pPr>
      <w:r w:rsidRPr="00EC2A85">
        <w:t>M.</w:t>
      </w:r>
      <w:r w:rsidRPr="00EC2A85">
        <w:tab/>
        <w:t xml:space="preserve">kadangi ES ūkininkai dažnai susiduria su žemės ūkio produktų, importuojamų iš trečiųjų šalių, kuriose netaikomi lygiaverčiai aplinkos apsaugos, fitosanitariniai ar darbo standartai arba kuriose nėra užtikrinamas pakankamas atsekamumas, konkurencija; </w:t>
      </w:r>
      <w:r w:rsidRPr="00EC2A85">
        <w:lastRenderedPageBreak/>
        <w:t>kadangi tai gali kelti riziką visuomenės, augalų ir gyvūnų sveikatai, be kita ko, dėl kenkėjų ir ligų plitimo; kadangi tokia praktika kenkia sąžiningai konkurencijai ir kelia tiesioginę grėsmę užimtumui žemės ūkyje, apsirūpinimo maisto saugumui ir kaimo ekonomikos gyvybingumui ES;</w:t>
      </w:r>
    </w:p>
    <w:p w14:paraId="61F47C5E" w14:textId="77777777" w:rsidR="00F05D51" w:rsidRPr="00EC2A85" w:rsidRDefault="00F05D51" w:rsidP="00F05D51">
      <w:pPr>
        <w:pStyle w:val="NormalHanging12a"/>
      </w:pPr>
      <w:r w:rsidRPr="00957856">
        <w:t>N.</w:t>
      </w:r>
      <w:r w:rsidRPr="00957856">
        <w:tab/>
        <w:t>kadangi ES ėmėsi spręsti nesąžiningos konkurencijos ir reglamentavimo spragų elektroninėje prekyboje klausimus, priimdama teisės aktus dėl skaitmeninių platformų, produktų saugos, rinkos priežiūros ir muitinės reformos</w:t>
      </w:r>
      <w:r w:rsidRPr="00EC2A85">
        <w:t xml:space="preserve">; </w:t>
      </w:r>
      <w:r w:rsidRPr="00957856">
        <w:t>kadangi siekiant užtikrinti ES konkurencingumą ir išsaugoti darbo vietas būtina veiksmingai įgyvendinti šias priemones;</w:t>
      </w:r>
    </w:p>
    <w:p w14:paraId="7B541CCE" w14:textId="77777777" w:rsidR="00F05D51" w:rsidRPr="00EC2A85" w:rsidRDefault="00F05D51" w:rsidP="00F05D51">
      <w:pPr>
        <w:pStyle w:val="NormalHanging12a"/>
        <w:rPr>
          <w:bCs/>
        </w:rPr>
      </w:pPr>
      <w:r w:rsidRPr="00EC2A85">
        <w:t>O.</w:t>
      </w:r>
      <w:r w:rsidRPr="00EC2A85">
        <w:tab/>
        <w:t>kadangi Direktyva (ES) 2024/825 dėl vartotojų įgalinimo dalyvauti žaliojoje pertvarkoje</w:t>
      </w:r>
      <w:r w:rsidRPr="00EC2A85">
        <w:rPr>
          <w:rStyle w:val="FootnoteReference"/>
          <w:rFonts w:eastAsiaTheme="minorHAnsi"/>
          <w:color w:val="000000"/>
          <w:szCs w:val="24"/>
          <w:lang w:eastAsia="en-US"/>
        </w:rPr>
        <w:footnoteReference w:id="10"/>
      </w:r>
      <w:r w:rsidRPr="00EC2A85">
        <w:t xml:space="preserve"> stiprinama apsauga nuo nesąžiningos komercinės veiklos ir gerinamas informavimas apie tvarumo aspektus, pavyzdžiui, poveikį aplinkai, energijos panaudojimą bei produktų, įskaitant elektroninėje prekyvietėje parduodamus produktus, taisomumą ir patvarumą, o siekiant užtikrinti informacija pagrįstą vartotojų pasirinkimą ir sąžiningą konkurenciją būtina ją greitai ir nuosekliai įgyvendinti;</w:t>
      </w:r>
    </w:p>
    <w:p w14:paraId="64E1F1EF" w14:textId="77777777" w:rsidR="00F05D51" w:rsidRPr="00EC2A85" w:rsidRDefault="00F05D51" w:rsidP="00F05D51">
      <w:pPr>
        <w:pStyle w:val="NormalHanging12a"/>
      </w:pPr>
      <w:r w:rsidRPr="00EC2A85">
        <w:t>1.</w:t>
      </w:r>
      <w:r w:rsidRPr="00EC2A85">
        <w:tab/>
        <w:t>apgailestauja dėl to, kad nesąžininga konkurencija iš trečiųjų šalių įmonių, be kita ko, tam tikrais atvejais tų, kurios gauna dideles valstybės subsidijas, lemia darbo vietų praradimą ES ir kelia didelę grėsmę Europos įmonėms, kurios dažnai yra MVĮ ir šeimos verslai, puoselėjantys įgūdžių, žinių ir kapitalo perdavimą iš kartos į kartą; primena, kad Komisija dažnai gauna paraiškas dėl paramos iš Europos prisitaikymo prie globalizacijos padarinių fondo atleistiems darbuotojams, o tai reiškia, kad darbuotojai atleidžiami ir ES įmonės uždaromos dėl to, kad jos nesugeba konkuruoti su importu iš trečiųjų šalių, kurios nesilaiko ES saugos, aplinkos apsaugos ar darbo standartų;</w:t>
      </w:r>
    </w:p>
    <w:p w14:paraId="4B0B5BA1" w14:textId="77777777" w:rsidR="00F05D51" w:rsidRPr="00EC2A85" w:rsidRDefault="00F05D51" w:rsidP="00F05D51">
      <w:pPr>
        <w:pStyle w:val="NormalHanging12a"/>
      </w:pPr>
      <w:r w:rsidRPr="00EC2A85">
        <w:t>2.</w:t>
      </w:r>
      <w:r w:rsidRPr="00EC2A85">
        <w:tab/>
        <w:t>reiškia didelį susirūpinimą dėl nesąžiningos konkurencijos iš trečiųjų šalių elektroninės prekybos platformų, kurios išnaudoja reglamentavimo spragas, kelia grėsmę vartotojų saugai ir iškreipia bendrąją rinką; ragina nustatyti aiškesnes taisykles dėl prekių kilmės, atsekamumo ir atsakingų ekonominės veiklos vykdytojų nustatymo, be kita ko, užtikrinti, kad būtų griežčiau taikomas CE ženklas ir sąvokos „gamintojas“ ir „importuotojas“, siekiant remti sąžiningą ES įmonių, ypač MVĮ, konkurenciją;</w:t>
      </w:r>
    </w:p>
    <w:p w14:paraId="0DC7085B" w14:textId="77777777" w:rsidR="00F05D51" w:rsidRPr="00EC2A85" w:rsidRDefault="00F05D51" w:rsidP="00F05D51">
      <w:pPr>
        <w:pStyle w:val="NormalHanging12a"/>
      </w:pPr>
      <w:r w:rsidRPr="00EC2A85">
        <w:t>3.</w:t>
      </w:r>
      <w:r w:rsidRPr="00EC2A85">
        <w:tab/>
        <w:t>atkreipia dėmesį į tai, kad smarkiai išaugus pirkimams per trečiųjų šalių skaitmenines platformas, iškilo didelių sunkumų, susijusių su produktų sauga ir atitiktimi vidaus rinkos taisyklėms; pabrėžia, kad tokia praktika suteikia nesąžiningą pranašumą trečiųjų šalių platformoms, taip darant spaudimą ES įmonėms, ypač MVĮ ir labai mažoms įmonėms; atkreipia dėmesį į tai, kad ES gamintojai susiduria su griežtesniais rinkos priežiūros reikalavimais nei trečiųjų šalių elektroninės prekybos pardavėjai; akcentuoja, kad pigios, reikalavimų neatitinkančios importuojamos prekės mažina ES rinkos dalį ir lemia darbo vietų praradimą;</w:t>
      </w:r>
    </w:p>
    <w:p w14:paraId="27984EDF" w14:textId="77777777" w:rsidR="00F05D51" w:rsidRPr="00EC2A85" w:rsidRDefault="00F05D51" w:rsidP="00F05D51">
      <w:pPr>
        <w:pStyle w:val="NormalHanging12a"/>
      </w:pPr>
      <w:r w:rsidRPr="00EC2A85">
        <w:t>4.</w:t>
      </w:r>
      <w:r w:rsidRPr="00EC2A85">
        <w:tab/>
        <w:t xml:space="preserve">primena vartotojų teisę gauti patikimą informaciją apie produktų kilmę ir mano, kad daugumai vidaus rinkos vartotojų privalomas kilmės šalies ženklinimas būtų naudingas, </w:t>
      </w:r>
      <w:r w:rsidRPr="00EC2A85">
        <w:lastRenderedPageBreak/>
        <w:t>kad jie galėtų greitai priimti informacija pagrįstus sprendimus dėl savo pirkinių;</w:t>
      </w:r>
    </w:p>
    <w:p w14:paraId="19168340" w14:textId="77777777" w:rsidR="00F05D51" w:rsidRPr="00EC2A85" w:rsidRDefault="00F05D51" w:rsidP="00F05D51">
      <w:pPr>
        <w:pStyle w:val="NormalHanging12a"/>
      </w:pPr>
      <w:r w:rsidRPr="00EC2A85">
        <w:t>5.</w:t>
      </w:r>
      <w:r w:rsidRPr="00EC2A85">
        <w:tab/>
        <w:t xml:space="preserve">mano, kad nuosekliai ir laiku atliekamas ES reguliavimo </w:t>
      </w:r>
      <w:r w:rsidRPr="00EC2A85">
        <w:rPr>
          <w:i/>
          <w:iCs/>
        </w:rPr>
        <w:t>acquis</w:t>
      </w:r>
      <w:r w:rsidRPr="00EC2A85">
        <w:t xml:space="preserve"> įgyvendinimas, taikytinas tiek ne internetu veikiančioms, tiek internetinėms įmonėms, yra esminis veiksnys siekiant spręsti rimtą ir žalingą poveikį, kurią kelia trečiųjų šalių įmonių vartotojams siūlomi reikalavimų neatitinkantys, nesaugūs ir suklastoti produktai; pabrėžia, kad vykdymo užtikrinimo priemonės, be kita ko, tinkamos sankcijos ir spartesnis laikinųjų priemonių taikymas, yra svarbios, ypač pakartotinių, sunkių ir sistemingų ES teisės pažeidimų atvejais;</w:t>
      </w:r>
    </w:p>
    <w:p w14:paraId="0FB5F79C" w14:textId="77777777" w:rsidR="00F05D51" w:rsidRPr="00EC2A85" w:rsidRDefault="00F05D51" w:rsidP="00F05D51">
      <w:pPr>
        <w:pStyle w:val="NormalHanging12a"/>
      </w:pPr>
      <w:r w:rsidRPr="00EC2A85">
        <w:t>6.</w:t>
      </w:r>
      <w:r w:rsidRPr="00EC2A85">
        <w:tab/>
        <w:t>pabrėžia, kad įgyvendinant muitinės ir rinkos priežiūros reformą privaloma spręsti nesąžiningos komercinės praktikos klausimą užpildant reglamentavimo spragas dabartinėje teisinėje sistemoje ir aiškiai remiant MVĮ mažinant nereikalingą administracinę naštą, pagreitinant muitinio įforminimo procedūras reikalavimus atitinkantiems ES veiklos vykdytojams bei sutelkiant išteklius į didelės rizikos siuntas iš platformų ar pardavėjų, kurie pakartotinai pažeidė taisykles; akcentuoja, kad MVĮ neturėtų susidurti su nepalankiomis sąlygomis palyginti su didelėmis platformomis ar eksportuotojais iš trečiųjų šalių;</w:t>
      </w:r>
    </w:p>
    <w:p w14:paraId="52E8C87A" w14:textId="77777777" w:rsidR="00F05D51" w:rsidRPr="00EC2A85" w:rsidRDefault="00F05D51" w:rsidP="00F05D51">
      <w:pPr>
        <w:pStyle w:val="NormalHanging12a"/>
      </w:pPr>
      <w:r w:rsidRPr="00EC2A85">
        <w:t>7.</w:t>
      </w:r>
      <w:r w:rsidRPr="00EC2A85">
        <w:tab/>
        <w:t>pripažįsta Komisijos pastangas, kurių ji neseniai ėmėsi siekdama sumažinti ES įmonėms tenkančią administracinę naštą; ragina Komisiją dėti daugiau pastangų siekiant tobulinti reglamentavimo sistemą, kad būtų išvengta bet kokio neigiamo poveikio ES ekonomikos konkurencingumui, ir ragina toliau remti ES pramonę, technologinį suverenumą ir užimtumą;</w:t>
      </w:r>
    </w:p>
    <w:p w14:paraId="475FE1FD" w14:textId="77777777" w:rsidR="00F05D51" w:rsidRPr="00EC2A85" w:rsidRDefault="00F05D51" w:rsidP="00F05D51">
      <w:pPr>
        <w:pStyle w:val="NormalHanging12a"/>
      </w:pPr>
      <w:r w:rsidRPr="00EC2A85">
        <w:t>8.</w:t>
      </w:r>
      <w:r w:rsidRPr="00EC2A85">
        <w:tab/>
        <w:t>rekomenduoja stiprinti muitinės ir rinkos priežiūros institucijas, geriau koordinuoti jų veiklą ir skirti joms daugiau išteklių, be kita ko, vykdyti tikslinę didelės rizikos produktų kategorijų kontrolę, investuoti į naujas priemones (pvz., dirbtinį intelektą, blokų grandinę), atlikti išsamesnius bandymus ir gerinti būtiną darbuotojų mokymą;</w:t>
      </w:r>
    </w:p>
    <w:p w14:paraId="446D6F71" w14:textId="77777777" w:rsidR="00F05D51" w:rsidRPr="00EC2A85" w:rsidRDefault="00F05D51" w:rsidP="00F05D51">
      <w:pPr>
        <w:pStyle w:val="NormalHanging12a"/>
      </w:pPr>
      <w:r w:rsidRPr="00EC2A85">
        <w:t>9.</w:t>
      </w:r>
      <w:r w:rsidRPr="00EC2A85">
        <w:tab/>
        <w:t>palankiai vertina Taryboje neseniai priimtą sprendimą panaikinti atleidimą nuo pridėtinės vertės mokesčio ir muito mažos vertės siuntoms, t. y. siuntiniams, kurių vertė neviršija 150 EUR ir kurie siunčiami iš trečiosios šalies vartotojui ES; pabrėžia, kad Europos prokuratūra, su muitinės pagalba, atlieka svarbų vaidmenį kovojant su muitų teisės aktų pažeidimais tarpvalstybiniuose tyrimuose, įskaitant pažeidimus, susijusius su nesąžiningomis elektroninės prekybos deklaracijomis ir prekių nuvertinimu, taip pat su kontrolės vengimu ir palankesnio teisinio reglamentavimo ieškojimu;</w:t>
      </w:r>
    </w:p>
    <w:p w14:paraId="3559154C" w14:textId="77777777" w:rsidR="00F05D51" w:rsidRPr="00EC2A85" w:rsidRDefault="00F05D51" w:rsidP="00F05D51">
      <w:pPr>
        <w:pStyle w:val="NormalHanging12a"/>
      </w:pPr>
      <w:r w:rsidRPr="00EC2A85">
        <w:t>10.</w:t>
      </w:r>
      <w:r w:rsidRPr="00EC2A85">
        <w:tab/>
        <w:t>pabrėžia, kad, siekiant sustiprinti galiojančių teisės aktų vykdymo užtikrinimą, nepaprastai svarbu greitai įgyvendinti skaitmeninį produkto pasą, skirtą tam tikriems internetu parduodamiems ypatingos svarbos produktams; primygtinai ragina Komisiją nedelsiant priimti reikiamus antrinės teisės aktus dėl skaitmeninio produkto paso, ypač tekstilės gaminiams, avalynei, įskaitant pagamintą iš „eko odos“, vaikams skirtiems produktams, kosmetikai, elektronikai ir kitiems produktams, kurių neatitikties rodikliai yra aukšti ir kurie turi didelę susijusią riziką;</w:t>
      </w:r>
    </w:p>
    <w:p w14:paraId="3592D6E2" w14:textId="77777777" w:rsidR="00F05D51" w:rsidRPr="00EC2A85" w:rsidRDefault="00F05D51" w:rsidP="00F05D51">
      <w:pPr>
        <w:pStyle w:val="NormalHanging12a"/>
      </w:pPr>
      <w:r w:rsidRPr="00EC2A85">
        <w:t>11.</w:t>
      </w:r>
      <w:r w:rsidRPr="00EC2A85">
        <w:tab/>
        <w:t xml:space="preserve">ragina Komisiją apsaugoti ES įmones nuo nesąžiningos trečiųjų šalių gamintojų konkurencijos, siekiant išsaugoti darbo vietas ES ir stiprinti strateginę nepriklausomybę, kad būtų galima reaguoti į bet kokią krizę, tokią kaip COVID-19 pandemija; apgailestauja dėl darbo vietų praradimo, kurį lemia nesąžininga konkurencija iš trečiųjų šalių įmonių, pažeidžiančių ES saugos, aplinkos apsaugos ir darbo standartus, kurią </w:t>
      </w:r>
      <w:r w:rsidRPr="00EC2A85">
        <w:lastRenderedPageBreak/>
        <w:t>palengvina skaitmeninės platformos, sudarančios palankesnes sąlygas reikalavimų neatitinkantiems produktams patekti į ES rinką; pabrėžia, kad produktų, ypač vaikams skirtų produktų, sauga turi išlikti pagrindiniu prioritetu;</w:t>
      </w:r>
    </w:p>
    <w:p w14:paraId="5D4A6082" w14:textId="77777777" w:rsidR="00F05D51" w:rsidRPr="00EC2A85" w:rsidRDefault="00F05D51" w:rsidP="00F05D51">
      <w:pPr>
        <w:pStyle w:val="NormalHanging12a"/>
      </w:pPr>
      <w:r w:rsidRPr="00EC2A85">
        <w:t>12.</w:t>
      </w:r>
      <w:r w:rsidRPr="00EC2A85">
        <w:tab/>
        <w:t>yra susirūpinęs dėl to, kad reikalavimų nesilaikantys pardavėjai dažnai išvengia griežtų sankcijų; ragina Komisiją ir valstybes nares visuose pardavimo kanaluose aktyviau ir koordinuotai užtikrinti galiojančių ES teisės aktų vykdymą, įskaitant baudas ir draudimus, siekiant užtikrinti, kad nesaugios arba reikalavimų neatitinkančios prekės būtų nedelsiant pašalintos, o pažeidėjai – nubausti; pabrėžia, kad būtina griežčiau užtikrinti teisės aktų vykdymą siekiant užkirsti kelią trečiųjų šalių pardavėjams sistemingai priversti reikalavimų besilaikančias įmones mažinti kainas, ypač MVĮ, kurios investuoja į atitiktį privalomoms ES saugos, tvarumo ir kokybės taisyklėms, kurias trečiųjų šalių pardavėjai gali apeiti;</w:t>
      </w:r>
    </w:p>
    <w:p w14:paraId="09655537" w14:textId="77777777" w:rsidR="00F05D51" w:rsidRPr="00EC2A85" w:rsidRDefault="00F05D51" w:rsidP="00F05D51">
      <w:pPr>
        <w:pStyle w:val="NormalHanging12a"/>
      </w:pPr>
      <w:r w:rsidRPr="00EC2A85">
        <w:t>13.</w:t>
      </w:r>
      <w:r w:rsidRPr="00EC2A85">
        <w:tab/>
        <w:t>apgailestauja dėl kai kurių didelių trečiųjų šalių skaitmeninių platformų verslo modelio, grindžiamo greitu ir didelio masto prekių, neatitinkančių ES saugos ir aplinkos apsaugos standartų, gamyba bei platinimu; pabrėžia, kad tokia veikla yra socialinis ir aplinkosauginis dempingas; ragina Komisiją užtikrinti, kad būtų griežtai laikomasi ES socialinės teisės ir aplinkos apsaugos teisės aktų, bei didinti informuotumą apie nesąžiningos verslo praktikos poveikį aplinkai, sveikatai ir visuomenei;</w:t>
      </w:r>
    </w:p>
    <w:p w14:paraId="0F82C75F" w14:textId="77777777" w:rsidR="00F05D51" w:rsidRPr="00EC2A85" w:rsidRDefault="00F05D51" w:rsidP="00F05D51">
      <w:pPr>
        <w:pStyle w:val="NormalHanging12a"/>
      </w:pPr>
      <w:r w:rsidRPr="00EC2A85">
        <w:t>14.</w:t>
      </w:r>
      <w:r w:rsidRPr="00EC2A85">
        <w:tab/>
        <w:t>pabrėžia, kad elektroninės prekyvietės privalo užtikrinti skaidrumą ir atskaitomybę visoje elektroninės prekybos importo tiekimo grandinėje, be kita ko, pardavėjų, kurie yra tretieji asmenys ir kurių tikslinė auditorija yra ES vartotojai, bei užtikrinti, kad būtų laikomasi ES saugos ir produktų taisyklių; pritaria „importuotoju laikomo asmens“ sąvokos taikymui, kuri užtikrintų, kad į ES įvežami produktai atitiktų ES taisykles, net jei tikrasis eksportuotojas yra už ES ribų;</w:t>
      </w:r>
    </w:p>
    <w:p w14:paraId="27273751" w14:textId="77777777" w:rsidR="00F05D51" w:rsidRPr="00EC2A85" w:rsidRDefault="00F05D51" w:rsidP="00F05D51">
      <w:pPr>
        <w:pStyle w:val="NormalHanging12a"/>
      </w:pPr>
      <w:r w:rsidRPr="00EC2A85">
        <w:t>15.</w:t>
      </w:r>
      <w:r w:rsidRPr="00EC2A85">
        <w:tab/>
        <w:t>pabrėžia, kad svarbu patikrinti pardavėjo tapatybę ir pateikti reikiamą informaciją apie atitiktį, įskaitant CE ženklą ir ES įsisteigusio atsakingo ekonominės veiklos vykdytojo duomenis, taip pat nedelsiant pašalinti reikalavimų neatitinkančius arba klaidingai paženklintus produktus; reikalauja, kad platformos visapusiškai bendradarbiautų su kompetentingomis institucijomis, be kita ko, pateikdamos atitinkamus duomenis apie trečiųjų šalių pardavėjus bei palengvindamos patikrinimų atlikimą, prekių atšaukimą ir vartotojų teisių gynimą; pažymi, kad vykdant užsakymus per ES įsikūrusius centrus būtų galima prisidėti prie veiksmingesnės kontrolės;</w:t>
      </w:r>
    </w:p>
    <w:p w14:paraId="2681F3EC" w14:textId="77777777" w:rsidR="00F05D51" w:rsidRPr="00EC2A85" w:rsidRDefault="00F05D51" w:rsidP="00F05D51">
      <w:pPr>
        <w:pStyle w:val="NormalHanging12a"/>
      </w:pPr>
      <w:r w:rsidRPr="00EC2A85">
        <w:t>16.</w:t>
      </w:r>
      <w:r w:rsidRPr="00EC2A85">
        <w:tab/>
        <w:t>ragina Komisiją aktyviai imtis veiksmų ir nedelsiant pasinaudoti tikslinėmis prekybos apsaugos priemonėmis, įskaitant antidempingo ir antisubsidijų tyrimus, siekiant kovoti su nesąžiningos konkurencijos sukeliamu neigiamu poveikiu ES mažmenininkams, MVĮ ir pramonei, nes jie negali konkuruoti su dirbtinai sumažintomis kainomis, kurios atsiranda dėl valstybės remiamos dempingo praktikos trečiosiose šalyse; ragina Komisiją užtikrinti visapusišką paramą skundo pateikėjams, kai pateikiami dempingo ir subsidijavimo įrodymai, bei užtikrinti, kad smulkiesiems gamintojams būtų taikomos supaprastintos procedūros;</w:t>
      </w:r>
    </w:p>
    <w:p w14:paraId="627761E0" w14:textId="77777777" w:rsidR="00F05D51" w:rsidRPr="00EC2A85" w:rsidRDefault="00F05D51" w:rsidP="00F05D51">
      <w:pPr>
        <w:pStyle w:val="NormalHanging12a"/>
      </w:pPr>
      <w:r w:rsidRPr="00EC2A85">
        <w:t>17.</w:t>
      </w:r>
      <w:r w:rsidRPr="00EC2A85">
        <w:tab/>
        <w:t xml:space="preserve">primygtinai ragina Komisiją paspartinti muitų reformą, be kita ko, panaikinant atleidimą nuo muito mažos vertės importuojamoms prekėms ir įvedant tvarkymo arba muitinio įforminimo mokesčius, atitinkančius Pasaulio prekybos organizacijos taisykles; pabrėžia, kad tokie mokesčiai turėtų padėti padengti padidėjusias muitinės priežiūros išlaidas; akcentuoja, kad svarbu laikytis ES lygmens požiūrio, siekiant išvengti </w:t>
      </w:r>
      <w:r w:rsidRPr="00EC2A85">
        <w:lastRenderedPageBreak/>
        <w:t>susiskaidymo ir apsipirkimo už sienų bei užtikrinti sąžiningą konkurenciją; pabrėžia, kad siekiant kovoti su nesąžiningu importu ir kartu užtikrinti vartotojų teises bei prieinamą kainą, būtina vykdyti didesnę muitinės reformą, be kita ko, įgyvendinti patobulintas stebėsenos priemones ir tikslinę kontrolę; ragina Komisiją stiprinti tikslines ES paramos priemones sektoriams, kuriuos labai paveikė nesąžiningas importas, pavyzdžiui, užtikrinant galimybę gauti ES finansavimą, paramą inovacijoms, įgūdžių ugdymą ir eksporto įvairinimo programas;</w:t>
      </w:r>
    </w:p>
    <w:p w14:paraId="18F2B09C" w14:textId="77777777" w:rsidR="00F05D51" w:rsidRPr="00EC2A85" w:rsidRDefault="00F05D51" w:rsidP="00F05D51">
      <w:pPr>
        <w:pStyle w:val="NormalHanging12a"/>
      </w:pPr>
      <w:r w:rsidRPr="00EC2A85">
        <w:t>18.</w:t>
      </w:r>
      <w:r w:rsidRPr="00EC2A85">
        <w:tab/>
        <w:t>ragina stiprinti vartotojų teisių gynimo mechanizmus, kad ES vartotojai galėtų susigrąžinti pinigus, pakeisti prekes ar gauti kitokių taisomųjų priemonių už nesaugias ar reikalavimų neatitinkančias prekes, įsigytas iš trečiųjų šalių pardavėjų; palaiko ES skaitmeninės vartotojų skundų sąsajos, prieinamos visomis ES kalbomis ir kurią būtų paprasta naudoti, sukūrimą, siekiant užtikrinti, kad piliečiai galėtų greitai reaguoti, kai pažeidžiamos jų teisės; ragina parengti visos ES informuotumo didinimo kampaniją, skirtą skatinti atsakingą vartojimą ir naudoti ES pagamintus produktus, pabrėžiant jų socialinius, aplinkosaugos ir saugos privalumus, taip pat ragina Komisiją stiprinti paramą salų regionams, sudarant jiems galimybes įsigyti ES produktus;</w:t>
      </w:r>
    </w:p>
    <w:p w14:paraId="316E092B" w14:textId="3F0E19BF" w:rsidR="00EC2A85" w:rsidRPr="00EC2A85" w:rsidRDefault="00F05D51" w:rsidP="00EC2A85">
      <w:pPr>
        <w:pStyle w:val="NormalHanging12a"/>
      </w:pPr>
      <w:r w:rsidRPr="00EC2A85">
        <w:t>19.</w:t>
      </w:r>
      <w:r w:rsidRPr="00EC2A85">
        <w:tab/>
        <w:t>paveda Pirmininkei perduoti šią rezoliuciją Komisijai, Tarybai ir valstybių narių nacionalinėms vyriausybėms bei parlamentams.</w:t>
      </w:r>
    </w:p>
    <w:p w14:paraId="443CCC3A" w14:textId="34FE2FCC" w:rsidR="00E365E1" w:rsidRPr="00EC2A85" w:rsidRDefault="00E365E1" w:rsidP="00347E9E"/>
    <w:sectPr w:rsidR="00E365E1" w:rsidRPr="00EC2A85" w:rsidSect="00EC2A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6E5F9" w14:textId="77777777" w:rsidR="00347E9E" w:rsidRPr="00EC2A85" w:rsidRDefault="00347E9E">
      <w:r w:rsidRPr="00EC2A85">
        <w:separator/>
      </w:r>
    </w:p>
  </w:endnote>
  <w:endnote w:type="continuationSeparator" w:id="0">
    <w:p w14:paraId="0C14E809" w14:textId="77777777" w:rsidR="00347E9E" w:rsidRPr="00EC2A85" w:rsidRDefault="00347E9E">
      <w:r w:rsidRPr="00EC2A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87E0" w14:textId="77777777" w:rsidR="00064002" w:rsidRPr="00EC2A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DEFF" w14:textId="77777777" w:rsidR="00064002" w:rsidRPr="00EC2A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B5FA" w14:textId="77777777" w:rsidR="00064002" w:rsidRPr="00EC2A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D1D23" w14:textId="77777777" w:rsidR="00347E9E" w:rsidRPr="00EC2A85" w:rsidRDefault="00347E9E">
      <w:r w:rsidRPr="00EC2A85">
        <w:separator/>
      </w:r>
    </w:p>
  </w:footnote>
  <w:footnote w:type="continuationSeparator" w:id="0">
    <w:p w14:paraId="10D8C903" w14:textId="77777777" w:rsidR="00347E9E" w:rsidRPr="00EC2A85" w:rsidRDefault="00347E9E">
      <w:r w:rsidRPr="00EC2A85">
        <w:continuationSeparator/>
      </w:r>
    </w:p>
  </w:footnote>
  <w:footnote w:id="1">
    <w:p w14:paraId="110D9363" w14:textId="3F22515F"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OL L 269, 2013 10 10, p. 1, ELI: </w:t>
      </w:r>
      <w:hyperlink r:id="rId1" w:history="1">
        <w:r w:rsidRPr="00EC2A85">
          <w:rPr>
            <w:rStyle w:val="Hyperlink"/>
            <w:sz w:val="24"/>
            <w:lang w:val="lt-LT"/>
          </w:rPr>
          <w:t>http://data.europa.eu/eli/reg/2013/952/oj</w:t>
        </w:r>
      </w:hyperlink>
      <w:r w:rsidRPr="00EC2A85">
        <w:rPr>
          <w:sz w:val="24"/>
          <w:lang w:val="lt-LT"/>
        </w:rPr>
        <w:t>.</w:t>
      </w:r>
    </w:p>
  </w:footnote>
  <w:footnote w:id="2">
    <w:p w14:paraId="50DBFDED" w14:textId="4DB4FF3B"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OL L, 2025/512, 2025 3 20, ELI: </w:t>
      </w:r>
      <w:hyperlink r:id="rId2" w:tgtFrame="_blank" w:tooltip="Prieiga prie šio dokumento suteikiama per ELI sistemoje jam suteiktą URI." w:history="1">
        <w:r w:rsidRPr="00EC2A85">
          <w:rPr>
            <w:rStyle w:val="Hyperlink"/>
            <w:sz w:val="24"/>
            <w:lang w:val="lt-LT"/>
          </w:rPr>
          <w:t>http://data.europa.eu/eli/reg_impl/2025/512/oj</w:t>
        </w:r>
      </w:hyperlink>
      <w:r w:rsidRPr="00EC2A85">
        <w:rPr>
          <w:sz w:val="24"/>
          <w:lang w:val="lt-LT"/>
        </w:rPr>
        <w:t xml:space="preserve">. </w:t>
      </w:r>
    </w:p>
  </w:footnote>
  <w:footnote w:id="3">
    <w:p w14:paraId="22A95972" w14:textId="115573CF"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OL L 277, 2022 10 27, p. 1, ELI: </w:t>
      </w:r>
      <w:hyperlink r:id="rId3" w:tooltip="Prieiga prie šio dokumento suteikiama per ELI sistemoje jam suteiktą URI." w:history="1">
        <w:r w:rsidRPr="00EC2A85">
          <w:rPr>
            <w:rStyle w:val="Hyperlink"/>
            <w:sz w:val="24"/>
            <w:lang w:val="lt-LT"/>
          </w:rPr>
          <w:t>http://data.europa.eu/eli/reg/2022/2065/oj</w:t>
        </w:r>
      </w:hyperlink>
      <w:r w:rsidRPr="00EC2A85">
        <w:rPr>
          <w:sz w:val="24"/>
          <w:lang w:val="lt-LT"/>
        </w:rPr>
        <w:t xml:space="preserve">. </w:t>
      </w:r>
    </w:p>
  </w:footnote>
  <w:footnote w:id="4">
    <w:p w14:paraId="55D936EA" w14:textId="764B6209"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OL L 135, 2023 5 23, p. 1, ELI: </w:t>
      </w:r>
      <w:hyperlink r:id="rId4" w:tooltip="Prieiga prie šio dokumento suteikiama per ELI sistemoje jam suteiktą URI." w:history="1">
        <w:r w:rsidRPr="00EC2A85">
          <w:rPr>
            <w:rStyle w:val="Hyperlink"/>
            <w:sz w:val="24"/>
            <w:lang w:val="lt-LT"/>
          </w:rPr>
          <w:t>http://data.europa.eu/eli/reg/2023/988/oj</w:t>
        </w:r>
      </w:hyperlink>
      <w:r w:rsidRPr="00EC2A85">
        <w:rPr>
          <w:sz w:val="24"/>
          <w:lang w:val="lt-LT"/>
        </w:rPr>
        <w:t xml:space="preserve">. </w:t>
      </w:r>
    </w:p>
  </w:footnote>
  <w:footnote w:id="5">
    <w:p w14:paraId="091C9A4F" w14:textId="33BCA13E"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OL L 169, 2019 6 25, p. 1, ELI: </w:t>
      </w:r>
      <w:hyperlink r:id="rId5" w:tooltip="Prieiga prie šio dokumento suteikiama per ELI sistemoje jam suteiktą URI." w:history="1">
        <w:r w:rsidRPr="00EC2A85">
          <w:rPr>
            <w:rStyle w:val="Hyperlink"/>
            <w:sz w:val="24"/>
            <w:lang w:val="lt-LT"/>
          </w:rPr>
          <w:t>http://data.europa.eu/eli/reg/2019/1020/oj</w:t>
        </w:r>
      </w:hyperlink>
      <w:r w:rsidRPr="00EC2A85">
        <w:rPr>
          <w:sz w:val="24"/>
          <w:lang w:val="lt-LT"/>
        </w:rPr>
        <w:t>.</w:t>
      </w:r>
    </w:p>
  </w:footnote>
  <w:footnote w:id="6">
    <w:p w14:paraId="2958805F" w14:textId="3D80926E"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OL L 218, 2008 8 13, p. 30, ELI: </w:t>
      </w:r>
      <w:hyperlink r:id="rId6" w:tooltip="Prieiga prie šio dokumento suteikiama per ELI sistemoje jam suteiktą URI." w:history="1">
        <w:r w:rsidRPr="00EC2A85">
          <w:rPr>
            <w:rStyle w:val="Hyperlink"/>
            <w:sz w:val="24"/>
            <w:lang w:val="lt-LT"/>
          </w:rPr>
          <w:t>http://data.europa.eu/eli/reg/2008/765/oj</w:t>
        </w:r>
      </w:hyperlink>
      <w:r w:rsidRPr="00EC2A85">
        <w:rPr>
          <w:sz w:val="24"/>
          <w:lang w:val="lt-LT"/>
        </w:rPr>
        <w:t xml:space="preserve">. </w:t>
      </w:r>
    </w:p>
  </w:footnote>
  <w:footnote w:id="7">
    <w:p w14:paraId="434194C7" w14:textId="732B2D45"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 xml:space="preserve">OL L, 2024/3015, 2024 12 12, ELI: </w:t>
      </w:r>
      <w:hyperlink r:id="rId7" w:history="1">
        <w:r w:rsidRPr="00EC2A85">
          <w:rPr>
            <w:rStyle w:val="Hyperlink"/>
            <w:sz w:val="24"/>
            <w:lang w:val="lt-LT"/>
          </w:rPr>
          <w:t>http://data.europa.eu/eli/reg/2024/3015/oj</w:t>
        </w:r>
      </w:hyperlink>
      <w:r w:rsidRPr="00EC2A85">
        <w:rPr>
          <w:rStyle w:val="Hyperlink"/>
          <w:sz w:val="24"/>
          <w:lang w:val="lt-LT"/>
        </w:rPr>
        <w:t>.</w:t>
      </w:r>
    </w:p>
  </w:footnote>
  <w:footnote w:id="8">
    <w:p w14:paraId="45F56F15" w14:textId="4A27F267"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 xml:space="preserve">Priimti tekstai, P10_TA(2025)0154. </w:t>
      </w:r>
    </w:p>
  </w:footnote>
  <w:footnote w:id="9">
    <w:p w14:paraId="73B35BD5" w14:textId="6AA4EEE2"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M. Draghi pranešimas dėl Europos konkurencingumo ateities, 2024 m. rugsėjo 9 d.</w:t>
      </w:r>
    </w:p>
  </w:footnote>
  <w:footnote w:id="10">
    <w:p w14:paraId="42D6E71A" w14:textId="7C517F2B" w:rsidR="00F05D51" w:rsidRPr="00EC2A85" w:rsidRDefault="00F05D51" w:rsidP="00EC2A85">
      <w:pPr>
        <w:pStyle w:val="FootnoteText"/>
        <w:ind w:left="567" w:hanging="567"/>
        <w:rPr>
          <w:sz w:val="24"/>
          <w:lang w:val="lt-LT"/>
        </w:rPr>
      </w:pPr>
      <w:r w:rsidRPr="00EC2A85">
        <w:rPr>
          <w:rStyle w:val="FootnoteReference"/>
          <w:sz w:val="24"/>
          <w:lang w:val="lt-LT"/>
        </w:rPr>
        <w:footnoteRef/>
      </w:r>
      <w:r w:rsidR="00EC2A85" w:rsidRPr="00EC2A85">
        <w:rPr>
          <w:sz w:val="24"/>
          <w:lang w:val="lt-LT"/>
        </w:rPr>
        <w:t xml:space="preserve"> </w:t>
      </w:r>
      <w:r w:rsidR="00EC2A85" w:rsidRPr="00EC2A85">
        <w:rPr>
          <w:sz w:val="24"/>
          <w:lang w:val="lt-LT"/>
        </w:rPr>
        <w:tab/>
      </w:r>
      <w:r w:rsidRPr="00EC2A85">
        <w:rPr>
          <w:sz w:val="24"/>
          <w:lang w:val="lt-LT"/>
        </w:rPr>
        <w:t>2024 m. vasario 28 d. Europos Parlamento ir Tarybos direktyva (ES) 2024/825, kuria iš dalies keičiamos direktyvos 2005/29/EB ir 2011/83/ES, siekiant geresne apsauga nuo nesąžiningos veiklos ir geresniu informavimu įgalinti vartotojus dalyvauti žaliojoje pertvarkoje (OL L, 2024/825, 2024 3 6, ELI: </w:t>
      </w:r>
      <w:hyperlink r:id="rId8" w:tgtFrame="_blank" w:tooltip="Prieiga prie šio dokumento suteikiama per ELI sistemoje jam suteiktą URI." w:history="1">
        <w:r w:rsidRPr="00EC2A85">
          <w:rPr>
            <w:rStyle w:val="Hyperlink"/>
            <w:sz w:val="24"/>
            <w:lang w:val="lt-LT"/>
          </w:rPr>
          <w:t>http://data.europa.eu/eli/dir/2024/825/oj</w:t>
        </w:r>
      </w:hyperlink>
      <w:r w:rsidRPr="00EC2A8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4E35" w14:textId="77777777" w:rsidR="00064002" w:rsidRPr="00EC2A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B614" w14:textId="77777777" w:rsidR="00064002" w:rsidRPr="00EC2A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5301" w14:textId="77777777" w:rsidR="00064002" w:rsidRPr="00EC2A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7992847">
    <w:abstractNumId w:val="9"/>
  </w:num>
  <w:num w:numId="2" w16cid:durableId="968821303">
    <w:abstractNumId w:val="9"/>
  </w:num>
  <w:num w:numId="3" w16cid:durableId="496727522">
    <w:abstractNumId w:val="7"/>
  </w:num>
  <w:num w:numId="4" w16cid:durableId="299113823">
    <w:abstractNumId w:val="7"/>
  </w:num>
  <w:num w:numId="5" w16cid:durableId="1660965660">
    <w:abstractNumId w:val="6"/>
  </w:num>
  <w:num w:numId="6" w16cid:durableId="315259662">
    <w:abstractNumId w:val="6"/>
  </w:num>
  <w:num w:numId="7" w16cid:durableId="2104951054">
    <w:abstractNumId w:val="5"/>
  </w:num>
  <w:num w:numId="8" w16cid:durableId="1014501865">
    <w:abstractNumId w:val="5"/>
  </w:num>
  <w:num w:numId="9" w16cid:durableId="1137844976">
    <w:abstractNumId w:val="4"/>
  </w:num>
  <w:num w:numId="10" w16cid:durableId="1754737687">
    <w:abstractNumId w:val="4"/>
  </w:num>
  <w:num w:numId="11" w16cid:durableId="1587613057">
    <w:abstractNumId w:val="8"/>
  </w:num>
  <w:num w:numId="12" w16cid:durableId="728573586">
    <w:abstractNumId w:val="8"/>
  </w:num>
  <w:num w:numId="13" w16cid:durableId="108091787">
    <w:abstractNumId w:val="3"/>
  </w:num>
  <w:num w:numId="14" w16cid:durableId="527722667">
    <w:abstractNumId w:val="3"/>
  </w:num>
  <w:num w:numId="15" w16cid:durableId="253830584">
    <w:abstractNumId w:val="2"/>
  </w:num>
  <w:num w:numId="16" w16cid:durableId="1538808487">
    <w:abstractNumId w:val="2"/>
  </w:num>
  <w:num w:numId="17" w16cid:durableId="691032130">
    <w:abstractNumId w:val="1"/>
  </w:num>
  <w:num w:numId="18" w16cid:durableId="1769538744">
    <w:abstractNumId w:val="1"/>
  </w:num>
  <w:num w:numId="19" w16cid:durableId="114181965">
    <w:abstractNumId w:val="0"/>
  </w:num>
  <w:num w:numId="20" w16cid:durableId="783841117">
    <w:abstractNumId w:val="0"/>
  </w:num>
  <w:num w:numId="21" w16cid:durableId="325326029">
    <w:abstractNumId w:val="9"/>
  </w:num>
  <w:num w:numId="22" w16cid:durableId="1611282533">
    <w:abstractNumId w:val="7"/>
  </w:num>
  <w:num w:numId="23" w16cid:durableId="619843845">
    <w:abstractNumId w:val="6"/>
  </w:num>
  <w:num w:numId="24" w16cid:durableId="1430201147">
    <w:abstractNumId w:val="5"/>
  </w:num>
  <w:num w:numId="25" w16cid:durableId="336227989">
    <w:abstractNumId w:val="4"/>
  </w:num>
  <w:num w:numId="26" w16cid:durableId="843013712">
    <w:abstractNumId w:val="8"/>
  </w:num>
  <w:num w:numId="27" w16cid:durableId="55396940">
    <w:abstractNumId w:val="3"/>
  </w:num>
  <w:num w:numId="28" w16cid:durableId="511840535">
    <w:abstractNumId w:val="2"/>
  </w:num>
  <w:num w:numId="29" w16cid:durableId="843202675">
    <w:abstractNumId w:val="1"/>
  </w:num>
  <w:num w:numId="30" w16cid:durableId="2108186899">
    <w:abstractNumId w:val="0"/>
  </w:num>
  <w:num w:numId="31" w16cid:durableId="2009097399">
    <w:abstractNumId w:val="9"/>
  </w:num>
  <w:num w:numId="32" w16cid:durableId="158623822">
    <w:abstractNumId w:val="7"/>
  </w:num>
  <w:num w:numId="33" w16cid:durableId="463043655">
    <w:abstractNumId w:val="6"/>
  </w:num>
  <w:num w:numId="34" w16cid:durableId="411856824">
    <w:abstractNumId w:val="5"/>
  </w:num>
  <w:num w:numId="35" w16cid:durableId="1497644777">
    <w:abstractNumId w:val="4"/>
  </w:num>
  <w:num w:numId="36" w16cid:durableId="1925871309">
    <w:abstractNumId w:val="8"/>
  </w:num>
  <w:num w:numId="37" w16cid:durableId="873660556">
    <w:abstractNumId w:val="3"/>
  </w:num>
  <w:num w:numId="38" w16cid:durableId="1910917119">
    <w:abstractNumId w:val="2"/>
  </w:num>
  <w:num w:numId="39" w16cid:durableId="794057256">
    <w:abstractNumId w:val="1"/>
  </w:num>
  <w:num w:numId="40" w16cid:durableId="227153845">
    <w:abstractNumId w:val="0"/>
  </w:num>
  <w:num w:numId="41" w16cid:durableId="1451784202">
    <w:abstractNumId w:val="10"/>
  </w:num>
  <w:num w:numId="42" w16cid:durableId="1719813897">
    <w:abstractNumId w:val="10"/>
  </w:num>
  <w:num w:numId="43" w16cid:durableId="411008234">
    <w:abstractNumId w:val="10"/>
  </w:num>
  <w:num w:numId="44" w16cid:durableId="2037198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LT"/>
    <w:docVar w:name="dvnumam" w:val="0"/>
    <w:docVar w:name="dvpe" w:val="779.388"/>
    <w:docVar w:name="dvtitre" w:val="2026 m. balandzio 29 d. Europos Parlamento rezoliucija dėl ES įmonių, darbo vietų ir produktų apsaugos nuo nesąžiningos trečiųjų šalių konkurencijos(2025/2955(RSP))"/>
  </w:docVars>
  <w:rsids>
    <w:rsidRoot w:val="00347E9E"/>
    <w:rsid w:val="00002272"/>
    <w:rsid w:val="00064002"/>
    <w:rsid w:val="000677B9"/>
    <w:rsid w:val="000831BA"/>
    <w:rsid w:val="000A42CC"/>
    <w:rsid w:val="000E7DD9"/>
    <w:rsid w:val="0010095E"/>
    <w:rsid w:val="00125B37"/>
    <w:rsid w:val="00187494"/>
    <w:rsid w:val="001F32AE"/>
    <w:rsid w:val="00207521"/>
    <w:rsid w:val="002767FF"/>
    <w:rsid w:val="00276ADA"/>
    <w:rsid w:val="002B18FE"/>
    <w:rsid w:val="002B5493"/>
    <w:rsid w:val="002D3085"/>
    <w:rsid w:val="00343214"/>
    <w:rsid w:val="00347E9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49F"/>
    <w:rsid w:val="00786EC0"/>
    <w:rsid w:val="007D1690"/>
    <w:rsid w:val="007E22AD"/>
    <w:rsid w:val="00817416"/>
    <w:rsid w:val="00842779"/>
    <w:rsid w:val="00865F67"/>
    <w:rsid w:val="00881A7B"/>
    <w:rsid w:val="008840E5"/>
    <w:rsid w:val="00887B3E"/>
    <w:rsid w:val="008C2AC6"/>
    <w:rsid w:val="00930C23"/>
    <w:rsid w:val="0093193B"/>
    <w:rsid w:val="009406B6"/>
    <w:rsid w:val="009509D8"/>
    <w:rsid w:val="00950B64"/>
    <w:rsid w:val="0095785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440"/>
    <w:rsid w:val="00DA7FCD"/>
    <w:rsid w:val="00E365E1"/>
    <w:rsid w:val="00E820A4"/>
    <w:rsid w:val="00EB006A"/>
    <w:rsid w:val="00EB4772"/>
    <w:rsid w:val="00EC2A85"/>
    <w:rsid w:val="00ED169E"/>
    <w:rsid w:val="00ED4235"/>
    <w:rsid w:val="00F04346"/>
    <w:rsid w:val="00F05D51"/>
    <w:rsid w:val="00F075DC"/>
    <w:rsid w:val="00F149E9"/>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03155"/>
  <w15:chartTrackingRefBased/>
  <w15:docId w15:val="{0620ACE9-6DBC-44DE-B724-F2A9D8DC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5D51"/>
    <w:pPr>
      <w:spacing w:before="480" w:after="240"/>
    </w:pPr>
  </w:style>
  <w:style w:type="paragraph" w:customStyle="1" w:styleId="NormalHanging12a">
    <w:name w:val="NormalHanging12a"/>
    <w:basedOn w:val="Normal"/>
    <w:rsid w:val="00F05D51"/>
    <w:pPr>
      <w:spacing w:after="240"/>
      <w:ind w:left="567" w:hanging="567"/>
    </w:pPr>
  </w:style>
  <w:style w:type="character" w:styleId="Hyperlink">
    <w:name w:val="Hyperlink"/>
    <w:basedOn w:val="DefaultParagraphFont"/>
    <w:uiPriority w:val="99"/>
    <w:rsid w:val="00F05D51"/>
    <w:rPr>
      <w:color w:val="0563C1" w:themeColor="hyperlink"/>
      <w:u w:val="single"/>
    </w:rPr>
  </w:style>
  <w:style w:type="character" w:styleId="Strong">
    <w:name w:val="Strong"/>
    <w:basedOn w:val="DefaultParagraphFont"/>
    <w:uiPriority w:val="22"/>
    <w:qFormat/>
    <w:rsid w:val="00F05D51"/>
    <w:rPr>
      <w:b/>
      <w:bCs/>
    </w:rPr>
  </w:style>
  <w:style w:type="paragraph" w:styleId="Revision">
    <w:name w:val="Revision"/>
    <w:hidden/>
    <w:uiPriority w:val="99"/>
    <w:semiHidden/>
    <w:rsid w:val="009406B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2472</Words>
  <Characters>17213</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PUODŽIUKYNAITĖ Justė</cp:lastModifiedBy>
  <cp:revision>2</cp:revision>
  <cp:lastPrinted>2004-11-19T15:42:00Z</cp:lastPrinted>
  <dcterms:created xsi:type="dcterms:W3CDTF">2026-06-03T13:01:00Z</dcterms:created>
  <dcterms:modified xsi:type="dcterms:W3CDTF">2026-06-03T13:01:00Z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B10-0185/2026</vt:lpwstr>
  </property>
  <property fmtid="{D5CDD505-2E9C-101B-9397-08002B2CF9AE}" pid="4" name="&lt;Type&gt;">
    <vt:lpwstr>RR</vt:lpwstr>
  </property>
</Properties>
</file>