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D7A9C6" w14:textId="77777777" w:rsidTr="0010095E">
        <w:tblPrEx>
          <w:tblW w:w="9072" w:type="dxa"/>
          <w:tblLook w:val="01E0"/>
        </w:tblPrEx>
        <w:trPr>
          <w:trHeight w:hRule="exact" w:val="1418"/>
        </w:trPr>
        <w:tc>
          <w:tcPr>
            <w:tcW w:w="6804" w:type="dxa"/>
            <w:shd w:val="clear" w:color="auto" w:fill="auto"/>
            <w:vAlign w:val="center"/>
          </w:tcPr>
          <w:p w:rsidR="00751A4A" w:rsidRPr="003B64C7" w:rsidP="0010095E" w14:paraId="32ED9026" w14:textId="77777777">
            <w:pPr>
              <w:pStyle w:val="EPName"/>
            </w:pPr>
            <w:r w:rsidRPr="003B64C7">
              <w:t>Europees Parlement</w:t>
            </w:r>
          </w:p>
          <w:p w:rsidR="00751A4A" w:rsidRPr="003B64C7" w:rsidP="005F1B17" w14:paraId="5EBFC4CA" w14:textId="77777777">
            <w:pPr>
              <w:pStyle w:val="EPTerm"/>
              <w:rPr>
                <w:rStyle w:val="HideTWBExt"/>
                <w:noProof w:val="0"/>
                <w:vanish w:val="0"/>
                <w:color w:val="auto"/>
              </w:rPr>
            </w:pPr>
            <w:r w:rsidRPr="003B64C7">
              <w:t>2024</w:t>
            </w:r>
            <w:r w:rsidRPr="003B64C7" w:rsidR="00817416">
              <w:t>-202</w:t>
            </w:r>
            <w:r w:rsidRPr="003B64C7">
              <w:t>9</w:t>
            </w:r>
          </w:p>
        </w:tc>
        <w:tc>
          <w:tcPr>
            <w:tcW w:w="2268" w:type="dxa"/>
            <w:shd w:val="clear" w:color="auto" w:fill="auto"/>
          </w:tcPr>
          <w:p w:rsidR="00751A4A" w:rsidRPr="003B64C7" w:rsidP="0010095E" w14:paraId="7DED620E" w14:textId="77777777">
            <w:pPr>
              <w:pStyle w:val="EPLogo"/>
            </w:pPr>
            <w:r w:rsidRPr="003B64C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B64C7" w:rsidP="004C5D52" w14:paraId="6A98DFFA" w14:textId="77777777">
      <w:pPr>
        <w:pStyle w:val="LineTop"/>
      </w:pPr>
    </w:p>
    <w:p w:rsidR="00680577" w:rsidRPr="003B64C7" w:rsidP="00680577" w14:paraId="05D56BDD" w14:textId="77777777">
      <w:pPr>
        <w:pStyle w:val="EPBodyTA1"/>
      </w:pPr>
      <w:r w:rsidRPr="003B64C7">
        <w:t>AANGENOMEN TEKSTEN</w:t>
      </w:r>
    </w:p>
    <w:p w:rsidR="00D058B8" w:rsidRPr="003B64C7" w:rsidP="00D058B8" w14:paraId="6797C24B" w14:textId="77777777">
      <w:pPr>
        <w:pStyle w:val="LineBottom"/>
      </w:pPr>
    </w:p>
    <w:p w:rsidR="005C6324" w:rsidRPr="003B64C7" w:rsidP="005C6324" w14:paraId="44059C40" w14:textId="6FD20284">
      <w:pPr>
        <w:pStyle w:val="ATHeading1"/>
      </w:pPr>
      <w:bookmarkStart w:id="0" w:name="TANumber"/>
      <w:r w:rsidRPr="003B64C7">
        <w:t>P10_TA(2026)0</w:t>
      </w:r>
      <w:r w:rsidR="00F70203">
        <w:t>149</w:t>
      </w:r>
      <w:bookmarkEnd w:id="0"/>
    </w:p>
    <w:p w:rsidR="005C6324" w:rsidRPr="003B64C7" w:rsidP="005C6324" w14:paraId="26481765" w14:textId="77777777">
      <w:pPr>
        <w:pStyle w:val="ATHeading2"/>
      </w:pPr>
      <w:bookmarkStart w:id="1" w:name="title"/>
      <w:r w:rsidRPr="003B64C7">
        <w:t>Bescherming van bedrijven, banen en producten in de EU tegen oneerlijke concurrentie van derde landen</w:t>
      </w:r>
      <w:bookmarkEnd w:id="1"/>
    </w:p>
    <w:p w:rsidR="005C6324" w:rsidRPr="003B64C7" w:rsidP="005C6324" w14:paraId="36B656DB" w14:textId="77777777">
      <w:pPr>
        <w:rPr>
          <w:i/>
          <w:vanish/>
        </w:rPr>
      </w:pPr>
      <w:r>
        <w:rPr>
          <w:i/>
        </w:rPr>
        <w:fldChar w:fldCharType="begin"/>
      </w:r>
      <w:r w:rsidRPr="003B64C7">
        <w:rPr>
          <w:i/>
        </w:rPr>
        <w:instrText xml:space="preserve"> TC"(</w:instrText>
      </w:r>
      <w:bookmarkStart w:id="2" w:name="DocNumber"/>
      <w:r w:rsidRPr="003B64C7">
        <w:rPr>
          <w:i/>
        </w:rPr>
        <w:instrText>B10-0185/2026</w:instrText>
      </w:r>
      <w:bookmarkEnd w:id="2"/>
      <w:r w:rsidRPr="003B64C7">
        <w:rPr>
          <w:i/>
        </w:rPr>
        <w:instrText xml:space="preserve">)"\l3 \n&gt; \* MERGEFORMAT </w:instrText>
      </w:r>
      <w:r>
        <w:rPr>
          <w:i/>
        </w:rPr>
        <w:fldChar w:fldCharType="end"/>
      </w:r>
    </w:p>
    <w:p w:rsidR="005C6324" w:rsidRPr="003B64C7" w:rsidP="005C6324" w14:paraId="0C2EEF3F" w14:textId="77777777">
      <w:pPr>
        <w:rPr>
          <w:vanish/>
        </w:rPr>
      </w:pPr>
      <w:bookmarkStart w:id="3" w:name="PE"/>
      <w:r w:rsidRPr="003B64C7">
        <w:rPr>
          <w:vanish/>
        </w:rPr>
        <w:t>PE779.388</w:t>
      </w:r>
      <w:bookmarkEnd w:id="3"/>
    </w:p>
    <w:p w:rsidR="005C6324" w:rsidRPr="003B64C7" w:rsidP="005C6324" w14:paraId="7F9CF5A3" w14:textId="22C01A30">
      <w:pPr>
        <w:pStyle w:val="ATHeading3"/>
      </w:pPr>
      <w:bookmarkStart w:id="4" w:name="Sujet"/>
      <w:r w:rsidRPr="003B64C7">
        <w:t xml:space="preserve">Resolutie van het Europees Parlement van </w:t>
      </w:r>
      <w:r w:rsidR="006D794C">
        <w:t>29</w:t>
      </w:r>
      <w:r w:rsidRPr="003B64C7" w:rsidR="006D794C">
        <w:t xml:space="preserve"> </w:t>
      </w:r>
      <w:r w:rsidRPr="003B64C7">
        <w:t>april 2026 over de bescherming van bedrijven, banen en producten in de EU tegen oneerlijke concurrentie uit niet-EU-landen</w:t>
      </w:r>
      <w:bookmarkEnd w:id="4"/>
      <w:r w:rsidRPr="003B64C7">
        <w:t xml:space="preserve"> </w:t>
      </w:r>
      <w:bookmarkStart w:id="5" w:name="References"/>
      <w:r w:rsidRPr="003B64C7">
        <w:t>(2025/2955(RSP))</w:t>
      </w:r>
      <w:bookmarkEnd w:id="5"/>
    </w:p>
    <w:p w:rsidR="009E43C2" w:rsidRPr="003B64C7" w:rsidP="009E43C2" w14:paraId="16113694" w14:textId="77777777">
      <w:pPr>
        <w:pStyle w:val="EPComma"/>
      </w:pPr>
      <w:bookmarkStart w:id="6" w:name="TextBodyBegin"/>
      <w:bookmarkEnd w:id="6"/>
      <w:r w:rsidRPr="003B64C7">
        <w:rPr>
          <w:i/>
        </w:rPr>
        <w:t>Het Europees Parlement</w:t>
      </w:r>
      <w:r w:rsidRPr="003B64C7">
        <w:t>,</w:t>
      </w:r>
    </w:p>
    <w:p w:rsidR="009E43C2" w:rsidRPr="003B64C7" w:rsidP="009E43C2" w14:paraId="2D679845" w14:textId="08EC060C">
      <w:pPr>
        <w:pStyle w:val="NormalHanging12a"/>
        <w:rPr>
          <w:rFonts w:eastAsiaTheme="minorHAnsi"/>
        </w:rPr>
      </w:pPr>
      <w:r w:rsidRPr="003B64C7">
        <w:t>–</w:t>
      </w:r>
      <w:r w:rsidRPr="003B64C7">
        <w:tab/>
        <w:t>gezien verzoekschriften nr. 0072/2025 en 0956/2025,</w:t>
      </w:r>
    </w:p>
    <w:p w:rsidR="009E43C2" w:rsidRPr="003B64C7" w:rsidP="009E43C2" w14:paraId="7A4953FF" w14:textId="77777777">
      <w:pPr>
        <w:pStyle w:val="NormalHanging12a"/>
      </w:pPr>
      <w:r w:rsidRPr="003B64C7">
        <w:t>–</w:t>
      </w:r>
      <w:r w:rsidRPr="003B64C7">
        <w:tab/>
        <w:t>gezien Verordening (EU) nr. 952/2013 van het Europees Parlement en de Raad van 9 oktober 2013 tot vaststelling van het douanewetboek van de Unie</w:t>
      </w:r>
      <w:r>
        <w:rPr>
          <w:rStyle w:val="FootnoteReference"/>
          <w:color w:val="000000"/>
        </w:rPr>
        <w:footnoteReference w:id="2"/>
      </w:r>
      <w:r w:rsidRPr="003B64C7">
        <w:t xml:space="preserve"> en Uitvoeringsverordening (EU) 2025/512 van de Commissie van 13 maart 2025 betreffende technische regelingen voor de ontwikkeling, het onderhoud en het gebruik van elektronische systemen voor de uitwisseling en de opslag van informatie overeenkomstig Verordening (EU) nr. 952/2013 van het Europees Parlement en van de Raad</w:t>
      </w:r>
      <w:r>
        <w:rPr>
          <w:rStyle w:val="FootnoteReference"/>
          <w:color w:val="000000"/>
        </w:rPr>
        <w:footnoteReference w:id="3"/>
      </w:r>
      <w:r w:rsidRPr="003B64C7">
        <w:t>,</w:t>
      </w:r>
    </w:p>
    <w:p w:rsidR="009E43C2" w:rsidRPr="003B64C7" w:rsidP="009E43C2" w14:paraId="6A286208" w14:textId="77777777">
      <w:pPr>
        <w:pStyle w:val="NormalHanging12a"/>
      </w:pPr>
      <w:r w:rsidRPr="003B64C7">
        <w:t>–</w:t>
      </w:r>
      <w:r w:rsidRPr="003B64C7">
        <w:tab/>
        <w:t>gezien Verordening (EU) 2022/2065 van het Europees Parlement en de Raad van 19 oktober 2022 betreffende een eengemaakte markt voor digitale diensten en tot wijziging van Richtlijn 2000/31/EG (</w:t>
      </w:r>
      <w:r w:rsidRPr="003B64C7">
        <w:t>digitaledienstenverordening</w:t>
      </w:r>
      <w:r w:rsidRPr="003B64C7">
        <w:t>)</w:t>
      </w:r>
      <w:r>
        <w:rPr>
          <w:rStyle w:val="FootnoteReference"/>
          <w:color w:val="000000"/>
        </w:rPr>
        <w:footnoteReference w:id="4"/>
      </w:r>
      <w:r w:rsidRPr="003B64C7">
        <w:t>,</w:t>
      </w:r>
    </w:p>
    <w:p w:rsidR="009E43C2" w:rsidRPr="003B64C7" w:rsidP="009E43C2" w14:paraId="2A45CB9D" w14:textId="77777777">
      <w:pPr>
        <w:pStyle w:val="NormalHanging12a"/>
      </w:pPr>
      <w:r w:rsidRPr="003B64C7">
        <w:t>–</w:t>
      </w:r>
      <w:r w:rsidRPr="003B64C7">
        <w:tab/>
        <w:t>gezien 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w:t>
      </w:r>
      <w:r>
        <w:rPr>
          <w:rStyle w:val="FootnoteReference"/>
          <w:color w:val="000000"/>
        </w:rPr>
        <w:footnoteReference w:id="5"/>
      </w:r>
      <w:r w:rsidRPr="003B64C7">
        <w:t>,</w:t>
      </w:r>
    </w:p>
    <w:p w:rsidR="009E43C2" w:rsidRPr="003B64C7" w:rsidP="009E43C2" w14:paraId="52A0FF6E" w14:textId="77777777">
      <w:pPr>
        <w:pStyle w:val="NormalHanging12a"/>
      </w:pPr>
      <w:r w:rsidRPr="003B64C7">
        <w:t>–</w:t>
      </w:r>
      <w:r w:rsidRPr="003B64C7">
        <w:tab/>
        <w:t xml:space="preserve">gezien Verordening (EU) 2019/1020 van het Europees Parlement en de Raad van 20 juni 2019 betreffende markttoezicht en conformiteit van producten en tot wijziging van Richtlijn 2004/42/EG en de Verordeningen (EG) nr. 765/2008 en (EU) </w:t>
      </w:r>
      <w:r w:rsidRPr="003B64C7">
        <w:t>nr. 305/2011</w:t>
      </w:r>
      <w:r>
        <w:rPr>
          <w:rStyle w:val="FootnoteReference"/>
          <w:color w:val="000000"/>
        </w:rPr>
        <w:footnoteReference w:id="6"/>
      </w:r>
      <w:r w:rsidRPr="003B64C7">
        <w:t>,</w:t>
      </w:r>
    </w:p>
    <w:p w:rsidR="009E43C2" w:rsidRPr="003B64C7" w:rsidP="009E43C2" w14:paraId="0573FE0D" w14:textId="77777777">
      <w:pPr>
        <w:pStyle w:val="NormalHanging12a"/>
      </w:pPr>
      <w:r w:rsidRPr="003B64C7">
        <w:t>–</w:t>
      </w:r>
      <w:r w:rsidRPr="003B64C7">
        <w:tab/>
        <w:t>gezien Verordening (EG) nr. 765/2008 van het Europees Parlement en de Raad van 9 juli 2008 tot vaststelling van de eisen inzake accreditatie en markttoezicht betreffende het verhandelen van producten en tot intrekking van Verordening (EEG) nr. 339/93</w:t>
      </w:r>
      <w:r>
        <w:rPr>
          <w:rStyle w:val="FootnoteReference"/>
          <w:color w:val="000000"/>
        </w:rPr>
        <w:footnoteReference w:id="7"/>
      </w:r>
      <w:r w:rsidRPr="003B64C7">
        <w:t>,</w:t>
      </w:r>
    </w:p>
    <w:p w:rsidR="009E43C2" w:rsidRPr="003B64C7" w:rsidP="009E43C2" w14:paraId="4DE5D917" w14:textId="77777777">
      <w:pPr>
        <w:pStyle w:val="NormalHanging12a"/>
      </w:pPr>
      <w:r w:rsidRPr="003B64C7">
        <w:t>–</w:t>
      </w:r>
      <w:r w:rsidRPr="003B64C7">
        <w:tab/>
        <w:t>gezien Verordening (EU) 2024/3015 van het Europees Parlement en de Raad van 27 november 2024 inzake een verbod op met dwangarbeid vervaardigde producten op de markt van de Unie en tot wijziging van Richtlijn (EU) 2019/1937</w:t>
      </w:r>
      <w:r>
        <w:rPr>
          <w:rStyle w:val="FootnoteReference"/>
          <w:color w:val="000000"/>
        </w:rPr>
        <w:footnoteReference w:id="8"/>
      </w:r>
      <w:r w:rsidRPr="003B64C7">
        <w:t>,</w:t>
      </w:r>
    </w:p>
    <w:p w:rsidR="009E43C2" w:rsidRPr="003B64C7" w:rsidP="009E43C2" w14:paraId="05C6332E" w14:textId="77777777">
      <w:pPr>
        <w:pStyle w:val="NormalHanging12a"/>
        <w:widowControl/>
      </w:pPr>
      <w:r w:rsidRPr="003B64C7">
        <w:t>–</w:t>
      </w:r>
      <w:r w:rsidRPr="003B64C7">
        <w:tab/>
        <w:t>gezien de mededeling van de Commissie van 5 februari 2025 over een uitgebreid EU</w:t>
      </w:r>
      <w:r w:rsidRPr="003B64C7">
        <w:noBreakHyphen/>
        <w:t>instrumentarium voor veilige en duurzame e-commerce (COM(2025)0037),</w:t>
      </w:r>
    </w:p>
    <w:p w:rsidR="009E43C2" w:rsidRPr="003B64C7" w:rsidP="009E43C2" w14:paraId="1FA62DCD" w14:textId="77777777">
      <w:pPr>
        <w:pStyle w:val="NormalHanging12a"/>
      </w:pPr>
      <w:r w:rsidRPr="003B64C7">
        <w:t>–</w:t>
      </w:r>
      <w:r w:rsidRPr="003B64C7">
        <w:tab/>
        <w:t>gezien zijn resolutie van 9 juli 2025 over productveiligheid en naleving van de regelgeving in het geval van e-commerce en invoer vanuit niet-EU-landen</w:t>
      </w:r>
      <w:r>
        <w:rPr>
          <w:rStyle w:val="FootnoteReference"/>
          <w:color w:val="000000"/>
        </w:rPr>
        <w:footnoteReference w:id="9"/>
      </w:r>
      <w:r w:rsidRPr="003B64C7">
        <w:t>,</w:t>
      </w:r>
    </w:p>
    <w:p w:rsidR="009E43C2" w:rsidRPr="003B64C7" w:rsidP="009E43C2" w14:paraId="4537CCE4" w14:textId="77777777">
      <w:pPr>
        <w:pStyle w:val="NormalHanging12a"/>
      </w:pPr>
      <w:r w:rsidRPr="003B64C7">
        <w:t>–</w:t>
      </w:r>
      <w:r w:rsidRPr="003B64C7">
        <w:tab/>
        <w:t>gezien artikel 233, lid 2, van zijn Reglement,</w:t>
      </w:r>
    </w:p>
    <w:p w:rsidR="009E43C2" w:rsidRPr="003B64C7" w:rsidP="009E43C2" w14:paraId="08BC223F" w14:textId="77777777">
      <w:pPr>
        <w:pStyle w:val="NormalHanging12a"/>
      </w:pPr>
      <w:r w:rsidRPr="003B64C7">
        <w:t>A.</w:t>
      </w:r>
      <w:r w:rsidRPr="003B64C7">
        <w:rPr>
          <w:i/>
        </w:rPr>
        <w:tab/>
      </w:r>
      <w:r w:rsidRPr="003B64C7">
        <w:t xml:space="preserve">overwegende dat oneerlijke concurrentie kan ontstaan wanneer ingevoerde producten die in de EU in de handel worden gebracht, tegen kunstmatig lage prijzen worden verkocht als gevolg van dumping, </w:t>
      </w:r>
      <w:r w:rsidRPr="003B64C7">
        <w:t>handelsverstorende</w:t>
      </w:r>
      <w:r w:rsidRPr="003B64C7">
        <w:t xml:space="preserve"> subsidies, structurele overcapaciteit, </w:t>
      </w:r>
      <w:r w:rsidRPr="003B64C7">
        <w:t>asymmetrieën</w:t>
      </w:r>
      <w:r w:rsidRPr="003B64C7">
        <w:t xml:space="preserve"> in de regelgeving, zoals minder strenge milieu-, duurzaamheids- en arbeidsnormen, misleidende handelspraktijken of de omzeiling van de toepasselijke gezondheids- en veiligheidsnormen; overwegende dat dergelijke praktijken haaks staan op de inspanningen van de EU voor een eerlijk en duurzaam mondiaal handelsstelsel, de EU-producenten ondermijnen die aan strenge regelgevings- en duurzaamheidseisen voldoen, en dat zij aanzienlijke economische schade kunnen toebrengen aan strategische industriële ecosystemen op de interne markt en negatieve gevolgen hebben voor de consument;</w:t>
      </w:r>
    </w:p>
    <w:p w:rsidR="009E43C2" w:rsidRPr="003B64C7" w:rsidP="009E43C2" w14:paraId="347A6F14" w14:textId="77777777">
      <w:pPr>
        <w:pStyle w:val="NormalHanging12a"/>
      </w:pPr>
      <w:r w:rsidRPr="003B64C7">
        <w:t>B.</w:t>
      </w:r>
      <w:r w:rsidRPr="003B64C7">
        <w:tab/>
        <w:t>overwegende dat de recente verstoringen van het mondiale handelssysteem het risico met zich meebrengen dat overtollige productie naar de EU-markt wordt verlegd en de concurrentievoorwaarden worden verstoord;</w:t>
      </w:r>
    </w:p>
    <w:p w:rsidR="009E43C2" w:rsidRPr="003B64C7" w:rsidP="009E43C2" w14:paraId="580421D7" w14:textId="77777777">
      <w:pPr>
        <w:pStyle w:val="NormalHanging12a"/>
      </w:pPr>
      <w:r w:rsidRPr="003B64C7">
        <w:t>C.</w:t>
      </w:r>
      <w:r w:rsidRPr="003B64C7">
        <w:tab/>
        <w:t xml:space="preserve">overwegende dat bedrijven in de EU in sectoren als staal, elektronica en zonnepanelen onderboden dreigen te worden vanwege overheidssubsidies en industriële overcapaciteit in China, waardoor het voor producenten in de EU steeds moeilijker wordt om op prijs te concurreren; overwegende dat China, zoals in het </w:t>
      </w:r>
      <w:r w:rsidRPr="003B64C7">
        <w:t>Draghi</w:t>
      </w:r>
      <w:r w:rsidRPr="003B64C7">
        <w:t>-verslag</w:t>
      </w:r>
      <w:r>
        <w:rPr>
          <w:rStyle w:val="FootnoteReference"/>
          <w:color w:val="000000"/>
        </w:rPr>
        <w:footnoteReference w:id="10"/>
      </w:r>
      <w:r w:rsidRPr="003B64C7">
        <w:t xml:space="preserve"> wordt uiteengezet, de wereldwijde uitvoer van schone technologieën nu al domineert en naar verwachting in de toekomst een aanzienlijke overcapaciteit op het gebied van fotovoltaïsche zonne-energie, batterijcellen en elektrische voertuigen zal behouden, ten dele als gevolg van de overheidssubsidies die er vier keer hoger zijn dan in andere grote economieën, in combinatie met de lage productiekosten;</w:t>
      </w:r>
    </w:p>
    <w:p w:rsidR="009E43C2" w:rsidRPr="003B64C7" w:rsidP="009E43C2" w14:paraId="31930B33" w14:textId="77777777">
      <w:pPr>
        <w:pStyle w:val="NormalHanging12a"/>
      </w:pPr>
      <w:r w:rsidRPr="003B64C7">
        <w:t>D.</w:t>
      </w:r>
      <w:r w:rsidRPr="003B64C7">
        <w:tab/>
        <w:t xml:space="preserve">overwegende dat de Commissie reeds over een reeks handelsbeschermingsinstrumenten beschikt, waaronder vrijwaringsmaatregelen, waarmee zij banen en bedrijven in de EU </w:t>
      </w:r>
      <w:r w:rsidRPr="003B64C7">
        <w:t>kan beschermen in geval van oneerlijke concurrentie, marktverstoring of dumping; overwegende dat de EU deze maatregelen met name heeft toegepast met betrekking tot Chinese elektrische voertuigen vanwege oneerlijke overheidssubsidiëring;</w:t>
      </w:r>
    </w:p>
    <w:p w:rsidR="009E43C2" w:rsidRPr="003B64C7" w:rsidP="009E43C2" w14:paraId="7121720D" w14:textId="77777777">
      <w:pPr>
        <w:pStyle w:val="NormalHanging12a"/>
        <w:widowControl/>
      </w:pPr>
      <w:r w:rsidRPr="003B64C7">
        <w:t>E.</w:t>
      </w:r>
      <w:r w:rsidRPr="003B64C7">
        <w:tab/>
        <w:t>overwegende dat er onlineplatforms uit landen van buiten de EU zijn die snel groeien op de EU-markt en in sommige gevallen staatssteun ontvangen, die goederen aanbieden tegen zeer lage prijzen, waardoor bedrijven in de EU, met name kleine en middelgrote ondernemingen (kmo’s), onderboden worden, en die daarbij aanzienlijke hoeveelheden producten in de handel brengen die niet aan de veiligheids-, milieu- en chemische normen van de EU voldoen, met risico’s voor de consument en economische schade tot gevolg;</w:t>
      </w:r>
    </w:p>
    <w:p w:rsidR="009E43C2" w:rsidRPr="006D794C" w:rsidP="009E43C2" w14:paraId="2B21445A" w14:textId="2E310387">
      <w:pPr>
        <w:pStyle w:val="NormalHanging12a"/>
      </w:pPr>
      <w:r w:rsidRPr="006D794C">
        <w:rPr>
          <w:rStyle w:val="Strong"/>
          <w:b w:val="0"/>
          <w:bCs w:val="0"/>
          <w:color w:val="000000"/>
        </w:rPr>
        <w:t>F</w:t>
      </w:r>
      <w:r w:rsidR="007C53AA">
        <w:rPr>
          <w:rStyle w:val="Strong"/>
          <w:b w:val="0"/>
          <w:bCs w:val="0"/>
          <w:color w:val="000000"/>
        </w:rPr>
        <w:t>.</w:t>
      </w:r>
      <w:r w:rsidRPr="006D794C">
        <w:rPr>
          <w:rStyle w:val="Strong"/>
          <w:b w:val="0"/>
          <w:bCs w:val="0"/>
          <w:color w:val="000000"/>
        </w:rPr>
        <w:tab/>
        <w:t>overwegende dat dergelijke oneerlijke concurrentie vaak verband houdt met minder strenge arbeidsnormen, een zwakke milieubescherming en schendingen van de rechten van werknemers, wat haaks staat op de inspanningen die de EU levert voor eerlijke en duurzame handel, en het concurrentievermogen en de veerkracht ondermijnt van de innovatieve micro-, kleine en middelgrote ondernemingen (</w:t>
      </w:r>
      <w:r w:rsidRPr="006D794C">
        <w:rPr>
          <w:rStyle w:val="Strong"/>
          <w:b w:val="0"/>
          <w:bCs w:val="0"/>
          <w:color w:val="000000"/>
        </w:rPr>
        <w:t>mkmo’s</w:t>
      </w:r>
      <w:r w:rsidRPr="006D794C">
        <w:rPr>
          <w:rStyle w:val="Strong"/>
          <w:b w:val="0"/>
          <w:bCs w:val="0"/>
          <w:color w:val="000000"/>
        </w:rPr>
        <w:t>) in de EU die de EU-regels naleven</w:t>
      </w:r>
      <w:r w:rsidRPr="006D794C">
        <w:t>;</w:t>
      </w:r>
    </w:p>
    <w:p w:rsidR="009E43C2" w:rsidRPr="006D794C" w:rsidP="009E43C2" w14:paraId="3647EC44" w14:textId="77777777">
      <w:pPr>
        <w:pStyle w:val="NormalHanging12a"/>
      </w:pPr>
      <w:r w:rsidRPr="006D794C">
        <w:t>G.</w:t>
      </w:r>
      <w:r w:rsidRPr="006D794C">
        <w:tab/>
        <w:t>overwegende dat de douane- en markttoezichtautoriteiten onder aanzienlijke druk staan nu de groei van via e-commerce ingevoerde laaggeprijsde producten sterk toeneemt, met name als gevolg van de vrijstelling van invoerrechten voor zendingen met een waarde van minder dan 150 EUR, die grotendeels afkomstig zijn uit China, waardoor de capaciteit van deze autoriteiten om de EU-regels inzake onlineverkoop doeltreffend te handhaven, wordt beperkt;</w:t>
      </w:r>
    </w:p>
    <w:p w:rsidR="009E43C2" w:rsidRPr="006D794C" w:rsidP="009E43C2" w14:paraId="003FAFB1" w14:textId="77777777">
      <w:pPr>
        <w:pStyle w:val="NormalHanging12a"/>
      </w:pPr>
      <w:r w:rsidRPr="006D794C">
        <w:rPr>
          <w:rStyle w:val="Strong"/>
          <w:b w:val="0"/>
          <w:bCs w:val="0"/>
          <w:color w:val="000000"/>
        </w:rPr>
        <w:t>H.</w:t>
      </w:r>
      <w:r w:rsidRPr="006D794C">
        <w:rPr>
          <w:rStyle w:val="Strong"/>
          <w:b w:val="0"/>
          <w:bCs w:val="0"/>
          <w:color w:val="000000"/>
        </w:rPr>
        <w:tab/>
        <w:t xml:space="preserve">overwegende </w:t>
      </w:r>
      <w:r w:rsidRPr="006D794C">
        <w:t>dat steeds meer goederen</w:t>
      </w:r>
      <w:r w:rsidRPr="006D794C">
        <w:rPr>
          <w:rStyle w:val="Strong"/>
          <w:b w:val="0"/>
          <w:bCs w:val="0"/>
          <w:color w:val="000000"/>
        </w:rPr>
        <w:t xml:space="preserve"> die via e-commercekanalen in de EU worden ingevoerd, niet aan de veiligheids-, milieu- of arbeidsnormen van de EU voldoen, waardoor</w:t>
      </w:r>
      <w:r w:rsidRPr="006D794C">
        <w:t xml:space="preserve"> consumenten, met name kwetsbare gebruikers en minderjarigen, worden blootgesteld aan onveilige of namaakproducten, met als gevolg dat economische schade wordt veroorzaakt, de </w:t>
      </w:r>
      <w:r w:rsidRPr="006D794C">
        <w:rPr>
          <w:rStyle w:val="Strong"/>
          <w:b w:val="0"/>
          <w:bCs w:val="0"/>
          <w:color w:val="000000"/>
        </w:rPr>
        <w:t>eerlijke concurrentie</w:t>
      </w:r>
      <w:r w:rsidRPr="006D794C">
        <w:t xml:space="preserve"> wordt verstoord en het vertrouwen in de eengemaakte markt wordt ondermijnd, vooral ten nadele van conforme EU-bedrijven, met name kmo’s die investeren in kwaliteit, veiligheid en duurzaamheid;</w:t>
      </w:r>
    </w:p>
    <w:p w:rsidR="009E43C2" w:rsidRPr="006D794C" w:rsidP="009E43C2" w14:paraId="2643DB9D" w14:textId="77777777">
      <w:pPr>
        <w:pStyle w:val="NormalHanging12a"/>
        <w:rPr>
          <w:rStyle w:val="Strong"/>
          <w:b w:val="0"/>
          <w:bCs w:val="0"/>
          <w:color w:val="000000"/>
        </w:rPr>
      </w:pPr>
      <w:r w:rsidRPr="006D794C">
        <w:rPr>
          <w:rStyle w:val="Strong"/>
          <w:b w:val="0"/>
          <w:bCs w:val="0"/>
          <w:color w:val="000000"/>
        </w:rPr>
        <w:t>I.</w:t>
      </w:r>
      <w:r w:rsidRPr="006D794C">
        <w:rPr>
          <w:rStyle w:val="Strong"/>
          <w:b w:val="0"/>
          <w:bCs w:val="0"/>
          <w:color w:val="000000"/>
        </w:rPr>
        <w:tab/>
        <w:t>overwegende dat sommige verkopers van buiten de EU</w:t>
      </w:r>
      <w:r w:rsidRPr="006D794C">
        <w:t xml:space="preserve"> de regelgevings- en administratieve vereisten omzeilen </w:t>
      </w:r>
      <w:r w:rsidRPr="006D794C">
        <w:rPr>
          <w:rStyle w:val="Strong"/>
          <w:b w:val="0"/>
          <w:bCs w:val="0"/>
          <w:color w:val="000000"/>
        </w:rPr>
        <w:t>bij het verkopen aan EU-consumenten, met als gevolg dat een ongelijk speelveld ontstaat</w:t>
      </w:r>
      <w:r w:rsidRPr="006D794C">
        <w:t xml:space="preserve"> met een negatieve impact op </w:t>
      </w:r>
      <w:r w:rsidRPr="006D794C">
        <w:rPr>
          <w:rStyle w:val="Strong"/>
          <w:b w:val="0"/>
          <w:bCs w:val="0"/>
          <w:color w:val="000000"/>
        </w:rPr>
        <w:t>EU-bedrijven</w:t>
      </w:r>
      <w:r w:rsidRPr="006D794C">
        <w:t>, met name kmo’s</w:t>
      </w:r>
      <w:r w:rsidRPr="006D794C">
        <w:rPr>
          <w:rStyle w:val="Strong"/>
          <w:b w:val="0"/>
          <w:bCs w:val="0"/>
          <w:color w:val="000000"/>
        </w:rPr>
        <w:t xml:space="preserve"> en</w:t>
      </w:r>
      <w:r w:rsidRPr="006D794C">
        <w:t xml:space="preserve"> </w:t>
      </w:r>
      <w:r w:rsidRPr="006D794C">
        <w:t>midcap</w:t>
      </w:r>
      <w:r w:rsidRPr="006D794C">
        <w:t xml:space="preserve">-ondernemingen, waardoor het </w:t>
      </w:r>
      <w:r w:rsidRPr="006D794C">
        <w:rPr>
          <w:rStyle w:val="Strong"/>
          <w:b w:val="0"/>
          <w:bCs w:val="0"/>
          <w:color w:val="000000"/>
        </w:rPr>
        <w:t>concurrentievermogen en de groeicapaciteit van deze bedrijven worden aangetast, vooral wanneer diezelfde vereisten niet doeltreffend worden gehandhaafd voor ingevoerde producten;</w:t>
      </w:r>
    </w:p>
    <w:p w:rsidR="009E43C2" w:rsidRPr="006D794C" w:rsidP="009E43C2" w14:paraId="144CE65D" w14:textId="77777777">
      <w:pPr>
        <w:pStyle w:val="NormalHanging12a"/>
      </w:pPr>
      <w:r w:rsidRPr="006D794C">
        <w:rPr>
          <w:rStyle w:val="Strong"/>
          <w:b w:val="0"/>
          <w:bCs w:val="0"/>
          <w:color w:val="000000"/>
        </w:rPr>
        <w:t>J.</w:t>
      </w:r>
      <w:r w:rsidRPr="006D794C">
        <w:rPr>
          <w:rStyle w:val="Strong"/>
          <w:b w:val="0"/>
          <w:bCs w:val="0"/>
          <w:color w:val="000000"/>
        </w:rPr>
        <w:tab/>
      </w:r>
      <w:r w:rsidRPr="006D794C">
        <w:t>overwegende dat in het rapport-</w:t>
      </w:r>
      <w:r w:rsidRPr="006D794C">
        <w:t>Draghi</w:t>
      </w:r>
      <w:r w:rsidRPr="006D794C">
        <w:t xml:space="preserve"> wordt benadrukt dat EU-bedrijven in vergelijking met hun concurrenten in China en de Verenigde Staten te maken hebben met een onnodig complexe regelgeving, en dat de bureaucratie van de EU daarin wordt beschreven als log en groeiend; overwegende dat meer dan 60 % van de bedrijven in de EU de rapportageverplichtingen als een belemmering voor investeringen ziet, en dat 55 % van de kmo’s de regelgevingsbelemmeringen en administratieve lasten als hun grootste uitdaging beschouwt; overwegende dat de EU niet over een kwantitatief kader beschikt om de kosten en baten van nieuwe wetgeving te analyseren;</w:t>
      </w:r>
    </w:p>
    <w:p w:rsidR="009E43C2" w:rsidRPr="006D794C" w:rsidP="009E43C2" w14:paraId="652E34DB" w14:textId="77777777">
      <w:pPr>
        <w:pStyle w:val="NormalHanging12a"/>
      </w:pPr>
      <w:r w:rsidRPr="006D794C">
        <w:rPr>
          <w:rStyle w:val="Strong"/>
          <w:b w:val="0"/>
          <w:bCs w:val="0"/>
          <w:color w:val="000000"/>
        </w:rPr>
        <w:t>K.</w:t>
      </w:r>
      <w:r w:rsidRPr="006D794C">
        <w:rPr>
          <w:rStyle w:val="Strong"/>
          <w:b w:val="0"/>
          <w:bCs w:val="0"/>
          <w:color w:val="000000"/>
        </w:rPr>
        <w:tab/>
        <w:t xml:space="preserve">overwegende dat onvoldoende transparantie met betrekking tot de oorsprong van </w:t>
      </w:r>
      <w:r w:rsidRPr="006D794C">
        <w:rPr>
          <w:rStyle w:val="Strong"/>
          <w:b w:val="0"/>
          <w:bCs w:val="0"/>
          <w:color w:val="000000"/>
        </w:rPr>
        <w:t>producten die de interne markt binnenkomen de geïnformeerde keuze van de consument en een eerlijke concurrentie ondermijnt, en overwegende dat er momenteel geen verplichte oorsprongsetikettering bestaat voor non-foodproducten die in de EU worden ingevoerd</w:t>
      </w:r>
      <w:r w:rsidRPr="006D794C">
        <w:t>;</w:t>
      </w:r>
    </w:p>
    <w:p w:rsidR="009E43C2" w:rsidRPr="006D794C" w:rsidP="009E43C2" w14:paraId="38AEA2CE" w14:textId="77777777">
      <w:pPr>
        <w:pStyle w:val="NormalHanging12a"/>
      </w:pPr>
      <w:r w:rsidRPr="006D794C">
        <w:rPr>
          <w:rStyle w:val="Strong"/>
          <w:b w:val="0"/>
          <w:bCs w:val="0"/>
          <w:color w:val="000000"/>
        </w:rPr>
        <w:t>L.</w:t>
      </w:r>
      <w:r w:rsidRPr="006D794C">
        <w:rPr>
          <w:rStyle w:val="Strong"/>
          <w:b w:val="0"/>
          <w:bCs w:val="0"/>
          <w:color w:val="000000"/>
        </w:rPr>
        <w:tab/>
        <w:t>overwegende dat consumenten, met name kwetsbare consumenten of personen die voor het eerst een onlineaankoop doen,</w:t>
      </w:r>
      <w:r w:rsidRPr="006D794C">
        <w:t xml:space="preserve"> die geen </w:t>
      </w:r>
      <w:r w:rsidRPr="006D794C">
        <w:rPr>
          <w:rStyle w:val="Strong"/>
          <w:b w:val="0"/>
          <w:bCs w:val="0"/>
          <w:color w:val="000000"/>
        </w:rPr>
        <w:t>duidelijke en betrouwbare informatie krijgen over de oorsprong en de conformiteit van de producten en de verantwoordelijke marktdeelnemer,</w:t>
      </w:r>
      <w:r w:rsidRPr="006D794C">
        <w:t xml:space="preserve"> het risico lopen te worden blootgesteld aan misleidende praktijken van verkopers van buiten de EU;</w:t>
      </w:r>
    </w:p>
    <w:p w:rsidR="009E43C2" w:rsidRPr="006D794C" w:rsidP="009E43C2" w14:paraId="1EA88C3C" w14:textId="77777777">
      <w:pPr>
        <w:pStyle w:val="NormalHanging12a"/>
      </w:pPr>
      <w:r w:rsidRPr="006D794C">
        <w:t>M.</w:t>
      </w:r>
      <w:r w:rsidRPr="006D794C">
        <w:tab/>
        <w:t>overwegende dat landbouwers in de EU vaak concurrentie ondervinden doordat landbouwproducten kunnen worden ingevoerd uit niet-EU-landen waar geen gelijkwaardige milieu-, fytosanitaire of arbeidsnormen bestaan of waar er onvoldoende traceerbaarheid is; overwegende dat dit potentiële risico’s met zich meebrengt voor de volksgezondheid en de gezondheid van planten en dieren, onder meer door de verspreiding van plagen en ziekten; overwegende dat dergelijke praktijken de eerlijke concurrentie ondermijnen en een rechtstreekse bedreiging vormen voor de werkgelegenheid in de landbouw, de voedselzekerheid en de levensvatbaarheid van plattelandseconomieën in de EU;</w:t>
      </w:r>
    </w:p>
    <w:p w:rsidR="009E43C2" w:rsidRPr="006D794C" w:rsidP="009E43C2" w14:paraId="431893A4" w14:textId="77777777">
      <w:pPr>
        <w:pStyle w:val="NormalHanging12a"/>
      </w:pPr>
      <w:r w:rsidRPr="006D794C">
        <w:rPr>
          <w:rStyle w:val="Strong"/>
          <w:b w:val="0"/>
          <w:bCs w:val="0"/>
          <w:color w:val="000000"/>
        </w:rPr>
        <w:t>N.</w:t>
      </w:r>
      <w:r w:rsidRPr="006D794C">
        <w:rPr>
          <w:rStyle w:val="Strong"/>
          <w:b w:val="0"/>
          <w:bCs w:val="0"/>
          <w:color w:val="000000"/>
        </w:rPr>
        <w:tab/>
        <w:t>overwegende dat de EU is begonnen met het aanpakken van oneerlijke concurrentie en lacunes in de regelgeving op het gebied van e-handel door middel van wetgeving inzake digitale platforms, productveiligheid, markttoezicht en douanehervorming</w:t>
      </w:r>
      <w:r w:rsidRPr="006D794C">
        <w:t xml:space="preserve">; </w:t>
      </w:r>
      <w:r w:rsidRPr="006D794C">
        <w:rPr>
          <w:rStyle w:val="Strong"/>
          <w:b w:val="0"/>
          <w:bCs w:val="0"/>
          <w:color w:val="000000"/>
        </w:rPr>
        <w:t>overwegende dat de doeltreffende uitvoering van deze maatregelen van essentieel belang is om het concurrentievermogen en de werkgelegenheid in de EU te waarborgen;</w:t>
      </w:r>
    </w:p>
    <w:p w:rsidR="009E43C2" w:rsidRPr="003B64C7" w:rsidP="009E43C2" w14:paraId="20E4DD1C" w14:textId="77777777">
      <w:pPr>
        <w:pStyle w:val="NormalHanging12a"/>
        <w:rPr>
          <w:bCs/>
        </w:rPr>
      </w:pPr>
      <w:r w:rsidRPr="003B64C7">
        <w:t>O.</w:t>
      </w:r>
      <w:r w:rsidRPr="003B64C7">
        <w:tab/>
        <w:t>overwegende dat Richtlijn (EU) 2024/825 wat betreft het versterken van de positie van de consument voor de groene transitie</w:t>
      </w:r>
      <w:r>
        <w:rPr>
          <w:rStyle w:val="FootnoteReference"/>
          <w:rFonts w:eastAsiaTheme="minorHAnsi"/>
          <w:color w:val="000000"/>
          <w:szCs w:val="24"/>
          <w:lang w:eastAsia="en-US"/>
        </w:rPr>
        <w:footnoteReference w:id="11"/>
      </w:r>
      <w:r w:rsidRPr="003B64C7">
        <w:t xml:space="preserve"> de bescherming tegen oneerlijke handelspraktijken versterkt en de informatie over duurzaamheidsaspecten zoals milieueffecten, energieverbruik en de repareerbaarheid en duurzaamheid van producten verbetert, met inbegrip van producten die via onlinemarktplaatsen worden verkocht, en dat de snelle en consistente uitvoering ervan van essentieel belang is om een geïnformeerde keuze van de consument en eerlijke concurrentie te waarborgen;</w:t>
      </w:r>
    </w:p>
    <w:p w:rsidR="009E43C2" w:rsidRPr="003B64C7" w:rsidP="009E43C2" w14:paraId="07034F8C" w14:textId="77777777">
      <w:pPr>
        <w:pStyle w:val="NormalHanging12a"/>
      </w:pPr>
      <w:r w:rsidRPr="003B64C7">
        <w:t>1.</w:t>
      </w:r>
      <w:r w:rsidRPr="003B64C7">
        <w:tab/>
        <w:t xml:space="preserve">betreurt het feit dat oneerlijke concurrentie van ondernemingen uit niet-EU-landen, waaronder in bepaalde gevallen ondernemingen die zware overheidssubsidies ontvangen, ertoe leidt dat banen in de EU verloren gaan en Europese bedrijven worden bedreigd, waarbij het vaak gaat om kmo’s en familiebedrijven die de intergenerationele overdracht van vaardigheden, kennis en kapitaal bevorderen; herinnert eraan dat de Commissie vaak aanvragen ontvangt voor steun uit het Europees Fonds voor aanpassing aan de globalisering voor ontslagen werknemers, wat inhoudt dat werknemers worden ontslagen en bedrijven in de EU worden gesloten omdat zij niet kunnen concurreren met ingevoerde producten uit niet-EU-landen, waarbij de veiligheids-, milieu- of </w:t>
      </w:r>
      <w:r w:rsidRPr="003B64C7">
        <w:t>arbeidsnormen van de EU niet worden nageleefd;</w:t>
      </w:r>
    </w:p>
    <w:p w:rsidR="009E43C2" w:rsidRPr="003B64C7" w:rsidP="009E43C2" w14:paraId="250F4F34" w14:textId="77777777">
      <w:pPr>
        <w:pStyle w:val="NormalHanging12a"/>
        <w:widowControl/>
      </w:pPr>
      <w:r w:rsidRPr="003B64C7">
        <w:t>2.</w:t>
      </w:r>
      <w:r w:rsidRPr="003B64C7">
        <w:tab/>
        <w:t>drukt zijn ernstige bezorgdheid uit over de oneerlijke concurrentie van e-commerceplatforms van buiten de EU die door gebruik te maken van lacunes in de regelgeving de veiligheid van de consument in gevaar brengen en de interne markt verstoren; dringt aan op duidelijkere regels inzake de oorsprong van producten, traceerbaarheid en de identificatie van verantwoordelijke marktdeelnemers, met inbegrip van een strengere handhaving van de CE-markering en definities van “fabrikant” en “importeur”, om eerlijke concurrentie voor EU-bedrijven, met name kmo’s, te ondersteunen;</w:t>
      </w:r>
    </w:p>
    <w:p w:rsidR="009E43C2" w:rsidRPr="003B64C7" w:rsidP="009E43C2" w14:paraId="575E5136" w14:textId="77777777">
      <w:pPr>
        <w:pStyle w:val="NormalHanging12a"/>
      </w:pPr>
      <w:r w:rsidRPr="003B64C7">
        <w:t>3.</w:t>
      </w:r>
      <w:r w:rsidRPr="003B64C7">
        <w:tab/>
        <w:t>wijst erop dat de sterke toename van aankopen via onlineplatforms van buiten de EU gepaard is gegaan met aanzienlijke nalevingsproblemen in verband met productveiligheid en conformiteit met de regels van de interne markt; benadrukt dat deze praktijken een oneerlijk voordeel opleveren voor platforms van buiten de EU en druk leggen op EU-ondernemingen, met name kmo’s en micro-ondernemingen; wijst erop dat EU-fabrikanten worden geconfronteerd met strengere eisen inzake markttoezicht dan e-commerceverkopers van buiten de EU; benadrukt dat de invoer van laaggeprijsde en niet-conforme producten het marktaandeel van de EU doet afnemen en tot banenverlies leidt;</w:t>
      </w:r>
    </w:p>
    <w:p w:rsidR="009E43C2" w:rsidRPr="003B64C7" w:rsidP="009E43C2" w14:paraId="585E5DDB" w14:textId="77777777">
      <w:pPr>
        <w:pStyle w:val="NormalHanging12a"/>
      </w:pPr>
      <w:r w:rsidRPr="003B64C7">
        <w:t>4.</w:t>
      </w:r>
      <w:r w:rsidRPr="003B64C7">
        <w:tab/>
        <w:t>wijst erop dat consumenten recht hebben op betrouwbare informatie over de oorsprong van producten en is van mening dat de meeste consumenten op de interne markt de verplichte etikettering van het land van oorsprong nuttig zouden vinden om snel geïnformeerde beslissingen over hun aankopen te kunnen nemen;</w:t>
      </w:r>
    </w:p>
    <w:p w:rsidR="009E43C2" w:rsidRPr="003B64C7" w:rsidP="009E43C2" w14:paraId="37438136" w14:textId="77777777">
      <w:pPr>
        <w:pStyle w:val="NormalHanging12a"/>
      </w:pPr>
      <w:r w:rsidRPr="003B64C7">
        <w:t>5.</w:t>
      </w:r>
      <w:r w:rsidRPr="003B64C7">
        <w:tab/>
        <w:t xml:space="preserve">is van mening dat een consistente en tijdige uitvoering van het </w:t>
      </w:r>
      <w:r w:rsidRPr="003B64C7">
        <w:t>regelgevingsacquis</w:t>
      </w:r>
      <w:r w:rsidRPr="003B64C7">
        <w:t xml:space="preserve"> van de EU, dat van toepassing is op zowel offline- als onlinebedrijven, van cruciaal belang is om de ernstige, schadelijke gevolgen aan te pakken die ontstaan wanneer niet-conforme, onveilige en namaakproducten door bedrijven van buiten de EU aan consumenten worden aangeboden; wijst op het belang van handhavingsinstrumenten, met inbegrip van passende sancties en een snellere toepassing van voorlopige maatregelen, vooral bij herhaalde, ernstige en systemische inbreuken op het EU-recht;</w:t>
      </w:r>
    </w:p>
    <w:p w:rsidR="009E43C2" w:rsidRPr="003B64C7" w:rsidP="009E43C2" w14:paraId="33C0C89D" w14:textId="77777777">
      <w:pPr>
        <w:pStyle w:val="NormalHanging12a"/>
      </w:pPr>
      <w:r w:rsidRPr="003B64C7">
        <w:t>6.</w:t>
      </w:r>
      <w:r w:rsidRPr="003B64C7">
        <w:tab/>
        <w:t>benadrukt dat oneerlijke handelspraktijken moeten worden aangepakt bij de hervorming van de douane en het markttoezicht door de lacunes in het huidige regelgevingskader dichten en kmo’s uitdrukkelijk te ondersteunen door onnodige administratieve lasten te verminderen, de inklaringsprocedures voor EU-marktdeelnemers die zich aan de regels houden te versnellen en de middelen te richten op zendingen met een hoog risico van platforms of verkopers die herhaaldelijk schendingen hebben begaan; benadrukt dat kmo’s niet mogen worden benadeeld ten opzichte van grote platforms of exporteurs van buiten de EU;</w:t>
      </w:r>
    </w:p>
    <w:p w:rsidR="009E43C2" w:rsidRPr="003B64C7" w:rsidP="009E43C2" w14:paraId="05DCFA44" w14:textId="77777777">
      <w:pPr>
        <w:pStyle w:val="NormalHanging12a"/>
      </w:pPr>
      <w:r w:rsidRPr="003B64C7">
        <w:t>7.</w:t>
      </w:r>
      <w:r w:rsidRPr="003B64C7">
        <w:tab/>
        <w:t>erkent dat de Commissie recent inspanningen heeft geleverd om de bestaande administratieve lasten voor EU-bedrijven te verminderen; verzoekt de Commissie haar inspanningen ter verbetering van het regelgevingskader op te voeren om mogelijke nadelige gevolgen voor het economische concurrentievermogen van de EU te voorkomen, en dringt aan op blijvende inspanningen om de industrie en de technologische soevereiniteit van en de werkgelegenheid in de EU te ondersteunen;</w:t>
      </w:r>
    </w:p>
    <w:p w:rsidR="009E43C2" w:rsidRPr="003B64C7" w:rsidP="009E43C2" w14:paraId="0979C445" w14:textId="77777777">
      <w:pPr>
        <w:pStyle w:val="NormalHanging12a"/>
      </w:pPr>
      <w:r w:rsidRPr="003B64C7">
        <w:t>8.</w:t>
      </w:r>
      <w:r w:rsidRPr="003B64C7">
        <w:tab/>
        <w:t xml:space="preserve">pleit voor versterking, betere coördinatie en meer middelen voor douane- en </w:t>
      </w:r>
      <w:r w:rsidRPr="003B64C7">
        <w:t>markttoezichtautoriteiten, met inbegrip van gerichte controles voor productcategorieën met een hoog risico, investeringen in nieuwe instrumenten (bv. AI, blockchain), betere tests en de nodige opleidingen voor personeel;</w:t>
      </w:r>
    </w:p>
    <w:p w:rsidR="009E43C2" w:rsidRPr="003B64C7" w:rsidP="009E43C2" w14:paraId="1F6B3C12" w14:textId="77777777">
      <w:pPr>
        <w:pStyle w:val="NormalHanging12a"/>
      </w:pPr>
      <w:r w:rsidRPr="003B64C7">
        <w:t>9.</w:t>
      </w:r>
      <w:r w:rsidRPr="003B64C7">
        <w:tab/>
        <w:t>verneemt met instemming dat de Raad recent besloten heeft de vrijstelling van belasting over de toegevoegde waarde en douanerechten af te schaffen voor zendingen met een waarde van minder dan 150 EUR die vanuit een niet-EU-land naar consumenten in de EU worden verzonden; onderstreept de belangrijke rol van het Europees Openbaar Ministerie, dat ondersteund wordt door de douaneautoriteiten, bij het aanpakken van douaneovertredingen in grensoverschrijdende onderzoeken, zoals onderzoeken naar frauduleuze aangiften voor elektronische handel en onderwaardering, alsook bij het bestrijden van de vermijding van controles en “forumshopping”;</w:t>
      </w:r>
    </w:p>
    <w:p w:rsidR="009E43C2" w:rsidRPr="003B64C7" w:rsidP="009E43C2" w14:paraId="6FEC506F" w14:textId="77777777">
      <w:pPr>
        <w:pStyle w:val="NormalHanging12a"/>
      </w:pPr>
      <w:r w:rsidRPr="003B64C7">
        <w:t>10.</w:t>
      </w:r>
      <w:r w:rsidRPr="003B64C7">
        <w:tab/>
        <w:t>benadrukt dat het digitale productpaspoort (DPP) snel moet worden ingevoerd om de handhaving van de bestaande wetgeving te versterken, met name wat betreft een aantal kritieke producten die online worden verkocht; dringt er bij de Commissie op aan onverwijld de nodige secundaire wetgeving inzake het DPP vast te stellen, met name voor textiel, schoeisel, met inbegrip van schoeisel dat is vervaardigd met behulp van</w:t>
      </w:r>
      <w:r w:rsidRPr="003B64C7">
        <w:rPr>
          <w:u w:val="dotted"/>
        </w:rPr>
        <w:t xml:space="preserve"> </w:t>
      </w:r>
      <w:r w:rsidRPr="003B64C7">
        <w:t>“ecologisch leer”, producten voor kinderen, cosmetica, elektronica en andere producten met een hoog niet-nalevingspercentage en daaraan verbonden risico’s;</w:t>
      </w:r>
    </w:p>
    <w:p w:rsidR="009E43C2" w:rsidRPr="003B64C7" w:rsidP="009E43C2" w14:paraId="57D6A09E" w14:textId="77777777">
      <w:pPr>
        <w:pStyle w:val="NormalHanging12a"/>
      </w:pPr>
      <w:r w:rsidRPr="003B64C7">
        <w:t>11.</w:t>
      </w:r>
      <w:r w:rsidRPr="003B64C7">
        <w:tab/>
        <w:t>verzoekt de Commissie EU-bedrijven te beschermen tegen oneerlijke concurrentie van fabrikanten uit niet-EU-landen, om banen binnen de EU te kunnen houden en de strategische onafhankelijkheid te vergroten, teneinde te kunnen reageren op crises, zoals de COVID-19-pandemie; betreurt het verlies van banen als gevolg van oneerlijke concurrentie van bedrijven van buiten de EU die de veiligheids-, milieu- en arbeidsnormen van de EU schenden, wat vaak wordt gefaciliteerd door onlineplatforms die het mogelijk maken om niet-conforme producten op de EU-markt te brengen; benadrukt dat de veiligheid van producten, met name van producten voor kinderen, van primordiaal belang moet blijven;</w:t>
      </w:r>
    </w:p>
    <w:p w:rsidR="009E43C2" w:rsidRPr="003B64C7" w:rsidP="009E43C2" w14:paraId="5FDCB59F" w14:textId="77777777">
      <w:pPr>
        <w:pStyle w:val="NormalHanging12a"/>
      </w:pPr>
      <w:r w:rsidRPr="003B64C7">
        <w:t>12.</w:t>
      </w:r>
      <w:r w:rsidRPr="003B64C7">
        <w:tab/>
        <w:t>vindt het verontrustend dat de verkopers die zich niet aan de regels houden zich vaak aan betekenisvolle sancties onttrekken; verzoekt de Commissie en de lidstaten de gecoördineerde handhaving van de huidige EU-wetgeving, met inbegrip van boetes en verboden, voor alle verkoopkanalen op te voeren om ervoor te zorgen dat onveilige of niet-conforme goederen onmiddellijk worden verwijderd en overtreders worden bestraft; benadrukt dat een strengere handhaving van essentieel belang is om te voorkomen dat verkopers van buiten de EU systematisch bedrijven ondermijnen die zich aan de regels houden, met name kmo’s, die investeringen doen en daarbij voldoen aan de verplichte veiligheids-, duurzaamheids- en kwaliteitsregels van de EU die door verkopers van buiten de EU omzeild kunnen worden;</w:t>
      </w:r>
    </w:p>
    <w:p w:rsidR="009E43C2" w:rsidRPr="003B64C7" w:rsidP="009E43C2" w14:paraId="31308801" w14:textId="77777777">
      <w:pPr>
        <w:pStyle w:val="NormalHanging12a"/>
      </w:pPr>
      <w:r w:rsidRPr="003B64C7">
        <w:t>13.</w:t>
      </w:r>
      <w:r w:rsidRPr="003B64C7">
        <w:tab/>
        <w:t>betreurt het bedrijfsmodel van enkele grote onlineplatforms van buiten de EU, dat gebaseerd is op een snelle, grootschalige productie en distributie van goederen die niet voldoen aan de veiligheids- en milieunormen van de EU; benadrukt dat dergelijke praktijken sociale en milieudumping vormen; verzoekt de Commissie voor strikte naleving van de sociale en milieuwetgeving van de EU te zorgen en het bewustzijn over de milieu-, gezondheids- en sociale gevolgen van oneerlijke handelspraktijken te vergroten;</w:t>
      </w:r>
    </w:p>
    <w:p w:rsidR="009E43C2" w:rsidRPr="003B64C7" w:rsidP="009E43C2" w14:paraId="2DDE4FC7" w14:textId="77777777">
      <w:pPr>
        <w:pStyle w:val="NormalHanging12a"/>
        <w:widowControl/>
      </w:pPr>
      <w:r w:rsidRPr="003B64C7">
        <w:t>14.</w:t>
      </w:r>
      <w:r w:rsidRPr="003B64C7">
        <w:tab/>
        <w:t>benadrukt dat onlinemarktplaatsen transparantie en verantwoordingsplicht in de hele toeleveringsketen van via e-commerce ingevoerde producten moeten waarborgen, ook voor derde verkopers die zich richten op EU-consumenten, en dat zij de naleving van de veiligheids- en productregels van de EU moeten waarborgen; spreekt zijn steun uit voor het concept van de “gelijkgestelde importeur”, omdat het gebruik van dat concept zou waarborgen dat producten die de EU binnenkomen aan de EU-regels voldoen, zelfs als de oorspronkelijke exporteur zich buiten de EU bevindt;</w:t>
      </w:r>
    </w:p>
    <w:p w:rsidR="009E43C2" w:rsidRPr="003B64C7" w:rsidP="009E43C2" w14:paraId="44A74EB9" w14:textId="77777777">
      <w:pPr>
        <w:pStyle w:val="NormalHanging12a"/>
      </w:pPr>
      <w:r w:rsidRPr="003B64C7">
        <w:t>15.</w:t>
      </w:r>
      <w:r w:rsidRPr="003B64C7">
        <w:tab/>
        <w:t>onderstreept dat het belangrijk is de identiteit van de verkoper te verifiëren en de vereiste nalevingsinformatie beschikbaar te stellen, met inbegrip van de CE-markering en de identificatie van een in de EU gevestigde verantwoordelijke marktdeelnemer, en dat niet-conforme of onjuist geëtiketteerde producten onverwijld verwijderd moeten worden; eist dat platforms zorgen voor volledige samenwerking met de bevoegde autoriteiten, onder meer door relevante gegevens over verkopers van buiten de EU te verstrekken en inspecties, terugroepingen en verhaalsmogelijkheden voor consumenten te vergemakkelijken; merkt op dat uitvoering hiervan via in de EU gevestigde centra kan bijdragen tot doeltreffendere controles;</w:t>
      </w:r>
    </w:p>
    <w:p w:rsidR="009E43C2" w:rsidRPr="003B64C7" w:rsidP="009E43C2" w14:paraId="6183E958" w14:textId="77777777">
      <w:pPr>
        <w:pStyle w:val="NormalHanging12a"/>
      </w:pPr>
      <w:r w:rsidRPr="003B64C7">
        <w:t>16.</w:t>
      </w:r>
      <w:r w:rsidRPr="003B64C7">
        <w:tab/>
        <w:t xml:space="preserve">verzoekt de Commissie proactieve stappen te ondernemen en snel gebruik te maken van gerichte handelsbeschermingsinstrumenten, met inbegrip van antidumping- en </w:t>
      </w:r>
      <w:r w:rsidRPr="003B64C7">
        <w:t>antisubsidieonderzoeken</w:t>
      </w:r>
      <w:r w:rsidRPr="003B64C7">
        <w:t>, om de negatieve gevolgen van oneerlijke concurrentie voor detailhandelaren, kmo’s en de industrie in de EU tegen te gaan, aangezien zij niet kunnen concurreren met kunstmatig lage prijzen als gevolg van door de staat gesteunde dumpingpraktijken in niet-EU-landen; verzoekt de Commissie te waarborgen dat wie een klacht indient, volledig wordt ondersteund wanneer bewijs van dumping en subsidiëring wordt overgelegd, en te zorgen voor vereenvoudigde procedures voor kleine producenten;</w:t>
      </w:r>
    </w:p>
    <w:p w:rsidR="009E43C2" w:rsidRPr="003B64C7" w:rsidP="009E43C2" w14:paraId="1C9BC284" w14:textId="77777777">
      <w:pPr>
        <w:pStyle w:val="NormalHanging12a"/>
      </w:pPr>
      <w:r w:rsidRPr="003B64C7">
        <w:t>17.</w:t>
      </w:r>
      <w:r w:rsidRPr="003B64C7">
        <w:tab/>
        <w:t xml:space="preserve">dringt er bij de Commissie op aan de douanehervorming te versnellen, onder meer door vrijstellingen voor ingevoerde producten van geringe waarde af te schaffen en behandelings- of inklaringsvergoedingen in te voeren die verenigbaar zijn met de regels van de Wereldhandelsorganisatie; benadrukt dat dergelijke vergoedingen moeten bijdragen tot het dekken van de hogere </w:t>
      </w:r>
      <w:r w:rsidRPr="003B64C7">
        <w:t>toezichtskosten</w:t>
      </w:r>
      <w:r w:rsidRPr="003B64C7">
        <w:t xml:space="preserve"> van douaneautoriteiten; benadrukt dat een aanpak op EU-niveau belangrijk is om versnippering en “winkelen over de grens” te voorkomen en eerlijke concurrentie te waarborgen; onderstreept dat een versterkte douanehervorming, met inbegrip van verbeterde monitoringinstrumenten en gerichte controles, van essentieel belang is om oneerlijke invoer aan te pakken en tegelijkertijd de consumentenrechten en de betaalbaarheid te waarborgen; verzoekt de Commissie de gerichte EU-steunmaatregelen voor sectoren die zwaar worden getroffen door oneerlijke invoer te versterken, met inbegrip van toegang tot EU-fondsen, innovatiesteun, ontwikkeling van vaardigheden en programma’s voor diversificatie van de uitvoer;</w:t>
      </w:r>
    </w:p>
    <w:p w:rsidR="009E43C2" w:rsidRPr="003B64C7" w:rsidP="009E43C2" w14:paraId="1E820ADC" w14:textId="77777777">
      <w:pPr>
        <w:pStyle w:val="NormalHanging12a"/>
      </w:pPr>
      <w:r w:rsidRPr="003B64C7">
        <w:t>18.</w:t>
      </w:r>
      <w:r w:rsidRPr="003B64C7">
        <w:tab/>
        <w:t xml:space="preserve">dringt aan op versterkte verhaalmechanismen voor consumenten zodat consumenten in de EU een terugbetaling of vervangingsproduct kunnen krijgen of over rechtsmiddelen kunnen beschikken voor onveilige of niet-conforme goederen die zij hebben gekocht bij verkopers van buiten de EU; pleit ervoor een gebruiksvriendelijke online EU-interface voor consumentenklachten op te richten die in alle EU-talen beschikbaar is, zodat burgers snel kunnen reageren wanneer hun rechten worden geschonden; pleit voor de ontwikkeling van een EU-brede bewustmakingscampagne ter bevordering van verantwoord consumeren en ter promotie van in de EU vervaardigde producten, waarbij </w:t>
      </w:r>
      <w:r w:rsidRPr="003B64C7">
        <w:t>de sociale, milieu- en veiligheidsvoordelen ervan onder de aandacht worden gebracht, en moedigt de Commissie aan haar steun voor insulaire regio’s te versterken, zodat deze regio’s toegang kunnen krijgen tot EU-producten;</w:t>
      </w:r>
    </w:p>
    <w:p w:rsidR="003B64C7" w:rsidRPr="003B64C7" w:rsidP="003B64C7" w14:paraId="7DE769A4" w14:textId="5DFA4515">
      <w:pPr>
        <w:pStyle w:val="NormalHanging12a"/>
      </w:pPr>
      <w:r w:rsidRPr="003B64C7">
        <w:t>19.</w:t>
      </w:r>
      <w:r w:rsidRPr="003B64C7">
        <w:tab/>
        <w:t>verzoekt zijn Voorzitter deze resolutie te doen toekomen aan de Commissie, de Raad en de nationale regeringen en parlementen van de lidstaten.</w:t>
      </w:r>
    </w:p>
    <w:sectPr w:rsidSect="003B64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612F20E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70DD09F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5C0A0C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6324" w:rsidRPr="003B64C7" w14:paraId="5474BBD6" w14:textId="77777777">
      <w:r w:rsidRPr="003B64C7">
        <w:separator/>
      </w:r>
    </w:p>
  </w:footnote>
  <w:footnote w:type="continuationSeparator" w:id="1">
    <w:p w:rsidR="005C6324" w:rsidRPr="003B64C7" w14:paraId="26E16541" w14:textId="77777777">
      <w:r w:rsidRPr="003B64C7">
        <w:continuationSeparator/>
      </w:r>
    </w:p>
  </w:footnote>
  <w:footnote w:id="2">
    <w:p w:rsidR="009E43C2" w:rsidRPr="003B64C7" w:rsidP="003B64C7" w14:paraId="6EA06AE7" w14:textId="35F711D3">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PB L 269 van 10.10.2013, blz. 1, ELI: </w:t>
      </w:r>
      <w:hyperlink r:id="rId1" w:history="1">
        <w:r w:rsidRPr="003B64C7">
          <w:rPr>
            <w:rStyle w:val="Hyperlink"/>
            <w:sz w:val="24"/>
            <w:lang w:val="nl-NL"/>
          </w:rPr>
          <w:t>http://data.europa.eu/eli/reg/2013/952/oj</w:t>
        </w:r>
      </w:hyperlink>
      <w:r w:rsidRPr="003B64C7">
        <w:rPr>
          <w:sz w:val="24"/>
          <w:lang w:val="nl-NL"/>
        </w:rPr>
        <w:t>.</w:t>
      </w:r>
    </w:p>
  </w:footnote>
  <w:footnote w:id="3">
    <w:p w:rsidR="009E43C2" w:rsidRPr="00F70203" w:rsidP="003B64C7" w14:paraId="1B321CFA" w14:textId="06DAA465">
      <w:pPr>
        <w:pStyle w:val="FootnoteText"/>
        <w:ind w:left="567" w:hanging="567"/>
        <w:rPr>
          <w:sz w:val="24"/>
          <w:lang w:val="da-DK"/>
        </w:rPr>
      </w:pPr>
      <w:r w:rsidRPr="003B64C7">
        <w:rPr>
          <w:rStyle w:val="FootnoteReference"/>
          <w:sz w:val="24"/>
          <w:lang w:val="nl-NL"/>
        </w:rPr>
        <w:footnoteRef/>
      </w:r>
      <w:r w:rsidRPr="00F70203" w:rsidR="003B64C7">
        <w:rPr>
          <w:sz w:val="24"/>
          <w:lang w:val="da-DK"/>
        </w:rPr>
        <w:t xml:space="preserve"> </w:t>
      </w:r>
      <w:r w:rsidRPr="00F70203" w:rsidR="003B64C7">
        <w:rPr>
          <w:sz w:val="24"/>
          <w:lang w:val="da-DK"/>
        </w:rPr>
        <w:tab/>
      </w:r>
      <w:r w:rsidRPr="00F70203">
        <w:rPr>
          <w:sz w:val="24"/>
          <w:lang w:val="da-DK"/>
        </w:rPr>
        <w:t>PB L, 2025/512, 20.3.2025, ELI: </w:t>
      </w:r>
      <w:hyperlink r:id="rId2" w:tgtFrame="_blank" w:tooltip="Geeft toegang tot dit document via de ELI URI." w:history="1">
        <w:r w:rsidRPr="00F70203">
          <w:rPr>
            <w:rStyle w:val="Hyperlink"/>
            <w:sz w:val="24"/>
            <w:lang w:val="da-DK"/>
          </w:rPr>
          <w:t>http://data.europa.eu/eli/reg_impl/2025/512/oj</w:t>
        </w:r>
      </w:hyperlink>
      <w:r w:rsidRPr="00F70203">
        <w:rPr>
          <w:sz w:val="24"/>
          <w:lang w:val="da-DK"/>
        </w:rPr>
        <w:t xml:space="preserve">. </w:t>
      </w:r>
    </w:p>
  </w:footnote>
  <w:footnote w:id="4">
    <w:p w:rsidR="009E43C2" w:rsidRPr="003B64C7" w:rsidP="003B64C7" w14:paraId="6C8E5C70" w14:textId="3BF284FA">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PB L 277 van 27.10.2022, blz. 1, ELI: </w:t>
      </w:r>
      <w:hyperlink r:id="rId3" w:tooltip="Geeft toegang tot dit document via de ELI URI." w:history="1">
        <w:r w:rsidRPr="003B64C7">
          <w:rPr>
            <w:rStyle w:val="Hyperlink"/>
            <w:sz w:val="24"/>
            <w:lang w:val="nl-NL"/>
          </w:rPr>
          <w:t>http://data.europa.eu/eli/reg/2022/2065/oj</w:t>
        </w:r>
      </w:hyperlink>
      <w:r w:rsidRPr="003B64C7">
        <w:rPr>
          <w:sz w:val="24"/>
          <w:lang w:val="nl-NL"/>
        </w:rPr>
        <w:t xml:space="preserve">. </w:t>
      </w:r>
    </w:p>
  </w:footnote>
  <w:footnote w:id="5">
    <w:p w:rsidR="009E43C2" w:rsidRPr="003B64C7" w:rsidP="003B64C7" w14:paraId="2C7D28AE" w14:textId="0EEE24C4">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PB L 135 van 23.5.2023, blz. 1, ELI: </w:t>
      </w:r>
      <w:hyperlink r:id="rId4" w:tooltip="Geeft toegang tot dit document via de ELI URI." w:history="1">
        <w:r w:rsidRPr="003B64C7">
          <w:rPr>
            <w:rStyle w:val="Hyperlink"/>
            <w:sz w:val="24"/>
            <w:lang w:val="nl-NL"/>
          </w:rPr>
          <w:t>http://data.europa.eu/eli/reg/2023/988/oj</w:t>
        </w:r>
      </w:hyperlink>
      <w:r w:rsidRPr="003B64C7">
        <w:rPr>
          <w:sz w:val="24"/>
          <w:lang w:val="nl-NL"/>
        </w:rPr>
        <w:t xml:space="preserve">. </w:t>
      </w:r>
    </w:p>
  </w:footnote>
  <w:footnote w:id="6">
    <w:p w:rsidR="009E43C2" w:rsidRPr="003B64C7" w:rsidP="003B64C7" w14:paraId="588E5594" w14:textId="1E5ECABD">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PB L 169 van 25.6.2019, blz. 1, ELI: </w:t>
      </w:r>
      <w:hyperlink r:id="rId5" w:tooltip="Geeft toegang tot dit document via de ELI URI." w:history="1">
        <w:r w:rsidRPr="003B64C7">
          <w:rPr>
            <w:rStyle w:val="Hyperlink"/>
            <w:sz w:val="24"/>
            <w:lang w:val="nl-NL"/>
          </w:rPr>
          <w:t>http://data.europa.eu/eli/reg/2019/1020/oj</w:t>
        </w:r>
      </w:hyperlink>
      <w:r w:rsidRPr="003B64C7">
        <w:rPr>
          <w:sz w:val="24"/>
          <w:lang w:val="nl-NL"/>
        </w:rPr>
        <w:t>.</w:t>
      </w:r>
    </w:p>
  </w:footnote>
  <w:footnote w:id="7">
    <w:p w:rsidR="009E43C2" w:rsidRPr="003B64C7" w:rsidP="003B64C7" w14:paraId="6775FBB6" w14:textId="1AB0A9C7">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PB L 218 van 13.8.2008, blz. 30, ELI: </w:t>
      </w:r>
      <w:hyperlink r:id="rId6" w:tooltip="Geeft toegang tot dit document via de ELI URI." w:history="1">
        <w:r w:rsidRPr="003B64C7">
          <w:rPr>
            <w:rStyle w:val="Hyperlink"/>
            <w:sz w:val="24"/>
            <w:lang w:val="nl-NL"/>
          </w:rPr>
          <w:t>http://data.europa.eu/eli/reg/2008/765/oj</w:t>
        </w:r>
      </w:hyperlink>
      <w:r w:rsidRPr="003B64C7">
        <w:rPr>
          <w:sz w:val="24"/>
          <w:lang w:val="nl-NL"/>
        </w:rPr>
        <w:t xml:space="preserve">. </w:t>
      </w:r>
    </w:p>
  </w:footnote>
  <w:footnote w:id="8">
    <w:p w:rsidR="009E43C2" w:rsidRPr="00F70203" w:rsidP="003B64C7" w14:paraId="34465301" w14:textId="40F70332">
      <w:pPr>
        <w:pStyle w:val="FootnoteText"/>
        <w:ind w:left="567" w:hanging="567"/>
        <w:rPr>
          <w:sz w:val="24"/>
          <w:lang w:val="fi-FI"/>
        </w:rPr>
      </w:pPr>
      <w:r w:rsidRPr="003B64C7">
        <w:rPr>
          <w:rStyle w:val="FootnoteReference"/>
          <w:sz w:val="24"/>
          <w:lang w:val="nl-NL"/>
        </w:rPr>
        <w:footnoteRef/>
      </w:r>
      <w:r w:rsidRPr="00F70203" w:rsidR="003B64C7">
        <w:rPr>
          <w:sz w:val="24"/>
          <w:lang w:val="fi-FI"/>
        </w:rPr>
        <w:t xml:space="preserve"> </w:t>
      </w:r>
      <w:r w:rsidRPr="00F70203" w:rsidR="003B64C7">
        <w:rPr>
          <w:sz w:val="24"/>
          <w:lang w:val="fi-FI"/>
        </w:rPr>
        <w:tab/>
      </w:r>
      <w:r w:rsidRPr="00F70203">
        <w:rPr>
          <w:sz w:val="24"/>
          <w:lang w:val="fi-FI"/>
        </w:rPr>
        <w:t xml:space="preserve">PB L, 2024/3015, 12.12.2024, ELI: </w:t>
      </w:r>
      <w:hyperlink r:id="rId7" w:history="1">
        <w:r w:rsidRPr="00F70203">
          <w:rPr>
            <w:rStyle w:val="Hyperlink"/>
            <w:sz w:val="24"/>
            <w:lang w:val="fi-FI"/>
          </w:rPr>
          <w:t>http://data.europa.eu/eli/reg/2024/3015/oj</w:t>
        </w:r>
      </w:hyperlink>
      <w:r w:rsidRPr="00F70203">
        <w:rPr>
          <w:rStyle w:val="Hyperlink"/>
          <w:sz w:val="24"/>
          <w:lang w:val="fi-FI"/>
        </w:rPr>
        <w:t>.</w:t>
      </w:r>
    </w:p>
  </w:footnote>
  <w:footnote w:id="9">
    <w:p w:rsidR="009E43C2" w:rsidRPr="00F70203" w:rsidP="003B64C7" w14:paraId="08EB17B2" w14:textId="142799D6">
      <w:pPr>
        <w:pStyle w:val="FootnoteText"/>
        <w:ind w:left="567" w:hanging="567"/>
        <w:rPr>
          <w:sz w:val="24"/>
          <w:lang w:val="en-GB"/>
        </w:rPr>
      </w:pPr>
      <w:r w:rsidRPr="003B64C7">
        <w:rPr>
          <w:rStyle w:val="FootnoteReference"/>
          <w:sz w:val="24"/>
          <w:lang w:val="nl-NL"/>
        </w:rPr>
        <w:footnoteRef/>
      </w:r>
      <w:r w:rsidRPr="00F70203" w:rsidR="003B64C7">
        <w:rPr>
          <w:sz w:val="24"/>
          <w:lang w:val="en-GB"/>
        </w:rPr>
        <w:t xml:space="preserve"> </w:t>
      </w:r>
      <w:r w:rsidRPr="00F70203" w:rsidR="003B64C7">
        <w:rPr>
          <w:sz w:val="24"/>
          <w:lang w:val="en-GB"/>
        </w:rPr>
        <w:tab/>
      </w:r>
      <w:r w:rsidRPr="00F70203">
        <w:rPr>
          <w:sz w:val="24"/>
          <w:lang w:val="en-GB"/>
        </w:rPr>
        <w:t>Aangenomen</w:t>
      </w:r>
      <w:r w:rsidRPr="00F70203">
        <w:rPr>
          <w:sz w:val="24"/>
          <w:lang w:val="en-GB"/>
        </w:rPr>
        <w:t xml:space="preserve"> </w:t>
      </w:r>
      <w:r w:rsidRPr="00F70203">
        <w:rPr>
          <w:sz w:val="24"/>
          <w:lang w:val="en-GB"/>
        </w:rPr>
        <w:t>teksten</w:t>
      </w:r>
      <w:r w:rsidRPr="00F70203">
        <w:rPr>
          <w:sz w:val="24"/>
          <w:lang w:val="en-GB"/>
        </w:rPr>
        <w:t xml:space="preserve">, P10_TA(2025)0154. </w:t>
      </w:r>
    </w:p>
  </w:footnote>
  <w:footnote w:id="10">
    <w:p w:rsidR="009E43C2" w:rsidRPr="00F70203" w:rsidP="003B64C7" w14:paraId="3DF8C255" w14:textId="59AAD996">
      <w:pPr>
        <w:pStyle w:val="FootnoteText"/>
        <w:ind w:left="567" w:hanging="567"/>
        <w:rPr>
          <w:sz w:val="24"/>
          <w:lang w:val="en-GB"/>
        </w:rPr>
      </w:pPr>
      <w:r w:rsidRPr="003B64C7">
        <w:rPr>
          <w:rStyle w:val="FootnoteReference"/>
          <w:sz w:val="24"/>
          <w:lang w:val="nl-NL"/>
        </w:rPr>
        <w:footnoteRef/>
      </w:r>
      <w:r w:rsidRPr="00F70203" w:rsidR="003B64C7">
        <w:rPr>
          <w:sz w:val="24"/>
          <w:lang w:val="en-GB"/>
        </w:rPr>
        <w:t xml:space="preserve"> </w:t>
      </w:r>
      <w:r w:rsidRPr="00F70203" w:rsidR="003B64C7">
        <w:rPr>
          <w:sz w:val="24"/>
          <w:lang w:val="en-GB"/>
        </w:rPr>
        <w:tab/>
      </w:r>
      <w:r w:rsidRPr="00F70203">
        <w:rPr>
          <w:sz w:val="24"/>
          <w:lang w:val="en-GB"/>
        </w:rPr>
        <w:t>Draghi, M., The future of European competitiveness, 9 </w:t>
      </w:r>
      <w:r w:rsidRPr="00F70203">
        <w:rPr>
          <w:sz w:val="24"/>
          <w:lang w:val="en-GB"/>
        </w:rPr>
        <w:t>september</w:t>
      </w:r>
      <w:r w:rsidRPr="00F70203">
        <w:rPr>
          <w:sz w:val="24"/>
          <w:lang w:val="en-GB"/>
        </w:rPr>
        <w:t xml:space="preserve"> 2024.</w:t>
      </w:r>
    </w:p>
  </w:footnote>
  <w:footnote w:id="11">
    <w:p w:rsidR="009E43C2" w:rsidRPr="003B64C7" w:rsidP="003B64C7" w14:paraId="0B441957" w14:textId="2830377D">
      <w:pPr>
        <w:pStyle w:val="FootnoteText"/>
        <w:ind w:left="567" w:hanging="567"/>
        <w:rPr>
          <w:sz w:val="24"/>
          <w:lang w:val="nl-NL"/>
        </w:rPr>
      </w:pPr>
      <w:r w:rsidRPr="003B64C7">
        <w:rPr>
          <w:rStyle w:val="FootnoteReference"/>
          <w:sz w:val="24"/>
          <w:lang w:val="nl-NL"/>
        </w:rPr>
        <w:footnoteRef/>
      </w:r>
      <w:r w:rsidRPr="003B64C7" w:rsidR="003B64C7">
        <w:rPr>
          <w:sz w:val="24"/>
          <w:lang w:val="nl-NL"/>
        </w:rPr>
        <w:t xml:space="preserve"> </w:t>
      </w:r>
      <w:r w:rsidRPr="003B64C7" w:rsidR="003B64C7">
        <w:rPr>
          <w:sz w:val="24"/>
          <w:lang w:val="nl-NL"/>
        </w:rPr>
        <w:tab/>
      </w:r>
      <w:r w:rsidRPr="003B64C7">
        <w:rPr>
          <w:sz w:val="24"/>
          <w:lang w:val="nl-NL"/>
        </w:rPr>
        <w:t>Richtlijn (EU) 2024/825 van het Europees Parlement en de Raad van 28 februari 2024 tot wijziging van de Richtlijnen 2005/29/EG en 2011/83/EU wat betreft het versterken van de positie van de consument voor de groene transitie door middel van betere informatie en door middel van bescherming tegen oneerlijke praktijken (PB L, 2024/825, 6.3.2024, ELI: </w:t>
      </w:r>
      <w:hyperlink r:id="rId8" w:tgtFrame="_blank" w:tooltip="Geeft toegang tot dit document via de ELI URI." w:history="1">
        <w:r w:rsidRPr="003B64C7">
          <w:rPr>
            <w:rStyle w:val="Hyperlink"/>
            <w:sz w:val="24"/>
            <w:lang w:val="nl-NL"/>
          </w:rPr>
          <w:t>http://data.europa.eu/eli/dir/2024/825/oj</w:t>
        </w:r>
      </w:hyperlink>
      <w:r w:rsidRPr="003B64C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38A5D6A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032B75F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64C7" w14:paraId="091F668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2571836">
    <w:abstractNumId w:val="9"/>
  </w:num>
  <w:num w:numId="2" w16cid:durableId="642808033">
    <w:abstractNumId w:val="9"/>
  </w:num>
  <w:num w:numId="3" w16cid:durableId="79108890">
    <w:abstractNumId w:val="7"/>
  </w:num>
  <w:num w:numId="4" w16cid:durableId="1998456056">
    <w:abstractNumId w:val="7"/>
  </w:num>
  <w:num w:numId="5" w16cid:durableId="1840340025">
    <w:abstractNumId w:val="6"/>
  </w:num>
  <w:num w:numId="6" w16cid:durableId="1214268735">
    <w:abstractNumId w:val="6"/>
  </w:num>
  <w:num w:numId="7" w16cid:durableId="288048295">
    <w:abstractNumId w:val="5"/>
  </w:num>
  <w:num w:numId="8" w16cid:durableId="1224636249">
    <w:abstractNumId w:val="5"/>
  </w:num>
  <w:num w:numId="9" w16cid:durableId="517932425">
    <w:abstractNumId w:val="4"/>
  </w:num>
  <w:num w:numId="10" w16cid:durableId="812260701">
    <w:abstractNumId w:val="4"/>
  </w:num>
  <w:num w:numId="11" w16cid:durableId="366834644">
    <w:abstractNumId w:val="8"/>
  </w:num>
  <w:num w:numId="12" w16cid:durableId="1395852080">
    <w:abstractNumId w:val="8"/>
  </w:num>
  <w:num w:numId="13" w16cid:durableId="840505453">
    <w:abstractNumId w:val="3"/>
  </w:num>
  <w:num w:numId="14" w16cid:durableId="539710822">
    <w:abstractNumId w:val="3"/>
  </w:num>
  <w:num w:numId="15" w16cid:durableId="1904558311">
    <w:abstractNumId w:val="2"/>
  </w:num>
  <w:num w:numId="16" w16cid:durableId="2017725511">
    <w:abstractNumId w:val="2"/>
  </w:num>
  <w:num w:numId="17" w16cid:durableId="1410035132">
    <w:abstractNumId w:val="1"/>
  </w:num>
  <w:num w:numId="18" w16cid:durableId="1904675994">
    <w:abstractNumId w:val="1"/>
  </w:num>
  <w:num w:numId="19" w16cid:durableId="605773603">
    <w:abstractNumId w:val="0"/>
  </w:num>
  <w:num w:numId="20" w16cid:durableId="1617829135">
    <w:abstractNumId w:val="0"/>
  </w:num>
  <w:num w:numId="21" w16cid:durableId="621031782">
    <w:abstractNumId w:val="9"/>
  </w:num>
  <w:num w:numId="22" w16cid:durableId="439421549">
    <w:abstractNumId w:val="7"/>
  </w:num>
  <w:num w:numId="23" w16cid:durableId="1575361486">
    <w:abstractNumId w:val="6"/>
  </w:num>
  <w:num w:numId="24" w16cid:durableId="1225723735">
    <w:abstractNumId w:val="5"/>
  </w:num>
  <w:num w:numId="25" w16cid:durableId="171262334">
    <w:abstractNumId w:val="4"/>
  </w:num>
  <w:num w:numId="26" w16cid:durableId="946355117">
    <w:abstractNumId w:val="8"/>
  </w:num>
  <w:num w:numId="27" w16cid:durableId="560215221">
    <w:abstractNumId w:val="3"/>
  </w:num>
  <w:num w:numId="28" w16cid:durableId="1356345473">
    <w:abstractNumId w:val="2"/>
  </w:num>
  <w:num w:numId="29" w16cid:durableId="1858498810">
    <w:abstractNumId w:val="1"/>
  </w:num>
  <w:num w:numId="30" w16cid:durableId="1347442979">
    <w:abstractNumId w:val="0"/>
  </w:num>
  <w:num w:numId="31" w16cid:durableId="1249464957">
    <w:abstractNumId w:val="9"/>
  </w:num>
  <w:num w:numId="32" w16cid:durableId="542597904">
    <w:abstractNumId w:val="7"/>
  </w:num>
  <w:num w:numId="33" w16cid:durableId="472068256">
    <w:abstractNumId w:val="6"/>
  </w:num>
  <w:num w:numId="34" w16cid:durableId="838421749">
    <w:abstractNumId w:val="5"/>
  </w:num>
  <w:num w:numId="35" w16cid:durableId="921109049">
    <w:abstractNumId w:val="4"/>
  </w:num>
  <w:num w:numId="36" w16cid:durableId="961307106">
    <w:abstractNumId w:val="8"/>
  </w:num>
  <w:num w:numId="37" w16cid:durableId="1853833054">
    <w:abstractNumId w:val="3"/>
  </w:num>
  <w:num w:numId="38" w16cid:durableId="686490710">
    <w:abstractNumId w:val="2"/>
  </w:num>
  <w:num w:numId="39" w16cid:durableId="1418939717">
    <w:abstractNumId w:val="1"/>
  </w:num>
  <w:num w:numId="40" w16cid:durableId="1684936862">
    <w:abstractNumId w:val="0"/>
  </w:num>
  <w:num w:numId="41" w16cid:durableId="138227313">
    <w:abstractNumId w:val="10"/>
  </w:num>
  <w:num w:numId="42" w16cid:durableId="853346765">
    <w:abstractNumId w:val="10"/>
  </w:num>
  <w:num w:numId="43" w16cid:durableId="1687250599">
    <w:abstractNumId w:val="10"/>
  </w:num>
  <w:num w:numId="44" w16cid:durableId="20132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24"/>
    <w:rsid w:val="00002272"/>
    <w:rsid w:val="00064002"/>
    <w:rsid w:val="000677B9"/>
    <w:rsid w:val="000831BA"/>
    <w:rsid w:val="00085FBC"/>
    <w:rsid w:val="000A42CC"/>
    <w:rsid w:val="000E7DD9"/>
    <w:rsid w:val="0010095E"/>
    <w:rsid w:val="00125B37"/>
    <w:rsid w:val="00187494"/>
    <w:rsid w:val="001F32AE"/>
    <w:rsid w:val="002767FF"/>
    <w:rsid w:val="002B18FE"/>
    <w:rsid w:val="002B5493"/>
    <w:rsid w:val="00343214"/>
    <w:rsid w:val="00361C00"/>
    <w:rsid w:val="00395FA1"/>
    <w:rsid w:val="003B64C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324"/>
    <w:rsid w:val="005F1B17"/>
    <w:rsid w:val="006037C0"/>
    <w:rsid w:val="006631B6"/>
    <w:rsid w:val="00680577"/>
    <w:rsid w:val="006D794C"/>
    <w:rsid w:val="006F74FA"/>
    <w:rsid w:val="00731ADD"/>
    <w:rsid w:val="00734777"/>
    <w:rsid w:val="00747932"/>
    <w:rsid w:val="00751A4A"/>
    <w:rsid w:val="00756632"/>
    <w:rsid w:val="00762C74"/>
    <w:rsid w:val="00786EC0"/>
    <w:rsid w:val="007C53AA"/>
    <w:rsid w:val="007D1690"/>
    <w:rsid w:val="007E22AD"/>
    <w:rsid w:val="00817416"/>
    <w:rsid w:val="00842779"/>
    <w:rsid w:val="00865F67"/>
    <w:rsid w:val="00881A7B"/>
    <w:rsid w:val="008840E5"/>
    <w:rsid w:val="00887B3E"/>
    <w:rsid w:val="008C2AC6"/>
    <w:rsid w:val="00930C23"/>
    <w:rsid w:val="0093193B"/>
    <w:rsid w:val="009509D8"/>
    <w:rsid w:val="00950B64"/>
    <w:rsid w:val="009614A8"/>
    <w:rsid w:val="00981893"/>
    <w:rsid w:val="009E43C2"/>
    <w:rsid w:val="00A1687D"/>
    <w:rsid w:val="00A43E52"/>
    <w:rsid w:val="00A4678D"/>
    <w:rsid w:val="00A778C7"/>
    <w:rsid w:val="00A80A7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82D"/>
    <w:rsid w:val="00F50013"/>
    <w:rsid w:val="00F5134D"/>
    <w:rsid w:val="00F70203"/>
    <w:rsid w:val="00F74202"/>
    <w:rsid w:val="00F8544D"/>
    <w:rsid w:val="00F87713"/>
    <w:rsid w:val="00FB4360"/>
    <w:rsid w:val="00FD0C70"/>
  </w:rsids>
  <w:docVars>
    <w:docVar w:name="dvdocse" w:val="B10-0185/2026"/>
    <w:docVar w:name="dvlangue" w:val="NL"/>
    <w:docVar w:name="dvnumam" w:val="0"/>
    <w:docVar w:name="dvpe" w:val="779.388"/>
    <w:docVar w:name="dvtitre" w:val="Resolutie van het Europees Parlement van xx april 2026 over de bescherming van bedrijven, banen en producten in de EU tegen oneerlijke concurrentie uit niet-EU-landen(2025/295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46A672"/>
  <w15:chartTrackingRefBased/>
  <w15:docId w15:val="{A47E6EFD-4009-46E6-A429-BCDFEC29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43C2"/>
    <w:pPr>
      <w:spacing w:before="480" w:after="240"/>
    </w:pPr>
  </w:style>
  <w:style w:type="paragraph" w:customStyle="1" w:styleId="NormalHanging12a">
    <w:name w:val="NormalHanging12a"/>
    <w:basedOn w:val="Normal"/>
    <w:rsid w:val="009E43C2"/>
    <w:pPr>
      <w:spacing w:after="240"/>
      <w:ind w:left="567" w:hanging="567"/>
    </w:pPr>
  </w:style>
  <w:style w:type="character" w:styleId="Hyperlink">
    <w:name w:val="Hyperlink"/>
    <w:basedOn w:val="DefaultParagraphFont"/>
    <w:uiPriority w:val="99"/>
    <w:rsid w:val="009E43C2"/>
    <w:rPr>
      <w:color w:val="0563C1" w:themeColor="hyperlink"/>
      <w:u w:val="single"/>
    </w:rPr>
  </w:style>
  <w:style w:type="character" w:styleId="Strong">
    <w:name w:val="Strong"/>
    <w:basedOn w:val="DefaultParagraphFont"/>
    <w:uiPriority w:val="22"/>
    <w:qFormat/>
    <w:rsid w:val="009E43C2"/>
    <w:rPr>
      <w:b/>
      <w:bCs/>
    </w:rPr>
  </w:style>
  <w:style w:type="paragraph" w:styleId="Revision">
    <w:name w:val="Revision"/>
    <w:hidden/>
    <w:uiPriority w:val="99"/>
    <w:semiHidden/>
    <w:rsid w:val="006D794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952/oj" TargetMode="External" /><Relationship Id="rId2" Type="http://schemas.openxmlformats.org/officeDocument/2006/relationships/hyperlink" Target="http://data.europa.eu/eli/reg_impl/2025/512/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3/988/oj" TargetMode="External" /><Relationship Id="rId5" Type="http://schemas.openxmlformats.org/officeDocument/2006/relationships/hyperlink" Target="http://data.europa.eu/eli/reg/2019/1020/oj" TargetMode="External" /><Relationship Id="rId6" Type="http://schemas.openxmlformats.org/officeDocument/2006/relationships/hyperlink" Target="http://data.europa.eu/eli/reg/2008/765/oj" TargetMode="External" /><Relationship Id="rId7" Type="http://schemas.openxmlformats.org/officeDocument/2006/relationships/hyperlink" Target="http://data.europa.eu/eli/reg/2024/3015/oj" TargetMode="External" /><Relationship Id="rId8" Type="http://schemas.openxmlformats.org/officeDocument/2006/relationships/hyperlink" Target="http://data.europa.eu/eli/dir/2024/8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3050</Words>
  <Characters>18828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2026-05-29T11:27:00Z</dcterms:created>
  <dcterms:modified xsi:type="dcterms:W3CDTF">2026-09-21T10:26:00Z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B10-0185/2026</vt:lpwstr>
  </property>
  <property fmtid="{D5CDD505-2E9C-101B-9397-08002B2CF9AE}" pid="4" name="&lt;Type&gt;">
    <vt:lpwstr>RR</vt:lpwstr>
  </property>
</Properties>
</file>