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139FE" w14:paraId="3DC1576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2D6648A" w14:textId="77777777" w:rsidR="00751A4A" w:rsidRPr="001139FE" w:rsidRDefault="002E4AF6" w:rsidP="0010095E">
            <w:pPr>
              <w:pStyle w:val="EPName"/>
            </w:pPr>
            <w:r w:rsidRPr="001139FE">
              <w:t>Parlament Europejski</w:t>
            </w:r>
          </w:p>
          <w:p w14:paraId="25DC087B" w14:textId="77777777" w:rsidR="00751A4A" w:rsidRPr="001139F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139FE">
              <w:t>2024</w:t>
            </w:r>
            <w:r w:rsidR="00817416" w:rsidRPr="001139FE">
              <w:t>-202</w:t>
            </w:r>
            <w:r w:rsidRPr="001139FE">
              <w:t>9</w:t>
            </w:r>
          </w:p>
        </w:tc>
        <w:tc>
          <w:tcPr>
            <w:tcW w:w="2268" w:type="dxa"/>
            <w:shd w:val="clear" w:color="auto" w:fill="auto"/>
          </w:tcPr>
          <w:p w14:paraId="053E2FED" w14:textId="77777777" w:rsidR="00751A4A" w:rsidRPr="001139FE" w:rsidRDefault="00187494" w:rsidP="0010095E">
            <w:pPr>
              <w:pStyle w:val="EPLogo"/>
            </w:pPr>
            <w:r w:rsidRPr="001139FE">
              <w:rPr>
                <w:noProof/>
                <w:lang w:eastAsia="ja-JP"/>
              </w:rPr>
              <w:drawing>
                <wp:inline distT="0" distB="0" distL="0" distR="0" wp14:anchorId="43068AC5" wp14:editId="6D0680F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4244F6" w14:textId="77777777" w:rsidR="00D058B8" w:rsidRPr="001139FE" w:rsidRDefault="00D058B8" w:rsidP="004C5D52">
      <w:pPr>
        <w:pStyle w:val="LineTop"/>
      </w:pPr>
    </w:p>
    <w:p w14:paraId="325C5C99" w14:textId="77777777" w:rsidR="00680577" w:rsidRPr="001139FE" w:rsidRDefault="002E4AF6" w:rsidP="00680577">
      <w:pPr>
        <w:pStyle w:val="EPBodyTA1"/>
      </w:pPr>
      <w:r w:rsidRPr="001139FE">
        <w:t>TEKSTY PRZYJĘTE</w:t>
      </w:r>
    </w:p>
    <w:p w14:paraId="1C591B26" w14:textId="77777777" w:rsidR="00D058B8" w:rsidRPr="001139FE" w:rsidRDefault="00D058B8" w:rsidP="00D058B8">
      <w:pPr>
        <w:pStyle w:val="LineBottom"/>
      </w:pPr>
    </w:p>
    <w:p w14:paraId="217331CF" w14:textId="5EA1B87F" w:rsidR="002E4AF6" w:rsidRPr="001139FE" w:rsidRDefault="002E4AF6" w:rsidP="002E4AF6">
      <w:pPr>
        <w:pStyle w:val="ATHeading1"/>
      </w:pPr>
      <w:bookmarkStart w:id="0" w:name="TANumber"/>
      <w:r w:rsidRPr="001139FE">
        <w:t>P10_TA(2026)0</w:t>
      </w:r>
      <w:bookmarkEnd w:id="0"/>
      <w:r w:rsidR="002A7392">
        <w:t>149</w:t>
      </w:r>
    </w:p>
    <w:p w14:paraId="5B4AA418" w14:textId="1BBECD95" w:rsidR="002E4AF6" w:rsidRPr="001139FE" w:rsidRDefault="00C10163" w:rsidP="00C10163">
      <w:pPr>
        <w:pStyle w:val="ATHeading2"/>
      </w:pPr>
      <w:r w:rsidRPr="00C10163">
        <w:rPr>
          <w:bCs/>
        </w:rPr>
        <w:t>Ochrona unijnych przedsiębiorstw, miejsc pracy i produktów przed nieuczciwą konkurencją z państw</w:t>
      </w:r>
      <w:r>
        <w:rPr>
          <w:bCs/>
        </w:rPr>
        <w:t xml:space="preserve"> </w:t>
      </w:r>
      <w:r w:rsidRPr="00C10163">
        <w:rPr>
          <w:bCs/>
        </w:rPr>
        <w:t>trzecich</w:t>
      </w:r>
    </w:p>
    <w:p w14:paraId="59861B03" w14:textId="77777777" w:rsidR="002E4AF6" w:rsidRPr="001139FE" w:rsidRDefault="002E4AF6" w:rsidP="002E4AF6">
      <w:pPr>
        <w:rPr>
          <w:i/>
          <w:vanish/>
        </w:rPr>
      </w:pPr>
      <w:r w:rsidRPr="001139FE">
        <w:rPr>
          <w:i/>
        </w:rPr>
        <w:fldChar w:fldCharType="begin"/>
      </w:r>
      <w:r w:rsidRPr="001139FE">
        <w:rPr>
          <w:i/>
        </w:rPr>
        <w:instrText xml:space="preserve"> TC"(</w:instrText>
      </w:r>
      <w:bookmarkStart w:id="1" w:name="DocNumber"/>
      <w:r w:rsidRPr="001139FE">
        <w:rPr>
          <w:i/>
        </w:rPr>
        <w:instrText>B10-0185/2026</w:instrText>
      </w:r>
      <w:bookmarkEnd w:id="1"/>
      <w:r w:rsidRPr="001139FE">
        <w:rPr>
          <w:i/>
        </w:rPr>
        <w:instrText xml:space="preserve">)"\l3 \n&gt; \* MERGEFORMAT </w:instrText>
      </w:r>
      <w:r w:rsidRPr="001139FE">
        <w:rPr>
          <w:i/>
        </w:rPr>
        <w:fldChar w:fldCharType="end"/>
      </w:r>
    </w:p>
    <w:p w14:paraId="08C72A52" w14:textId="77777777" w:rsidR="002E4AF6" w:rsidRPr="001139FE" w:rsidRDefault="002E4AF6" w:rsidP="002E4AF6">
      <w:pPr>
        <w:rPr>
          <w:vanish/>
        </w:rPr>
      </w:pPr>
      <w:bookmarkStart w:id="2" w:name="PE"/>
      <w:r w:rsidRPr="001139FE">
        <w:rPr>
          <w:vanish/>
        </w:rPr>
        <w:t>PE779.388</w:t>
      </w:r>
      <w:bookmarkEnd w:id="2"/>
    </w:p>
    <w:p w14:paraId="5BAF324D" w14:textId="436FC3DE" w:rsidR="002E4AF6" w:rsidRPr="001139FE" w:rsidRDefault="002E4AF6" w:rsidP="002E4AF6">
      <w:pPr>
        <w:pStyle w:val="ATHeading3"/>
      </w:pPr>
      <w:bookmarkStart w:id="3" w:name="Sujet"/>
      <w:r w:rsidRPr="001139FE">
        <w:t xml:space="preserve">Rezolucja Parlamentu Europejskiego z dnia </w:t>
      </w:r>
      <w:r w:rsidR="00C10163">
        <w:t>29 kwietnia</w:t>
      </w:r>
      <w:r w:rsidRPr="001139FE">
        <w:t xml:space="preserve"> 2026 r. w sprawie ochrony unijnych przedsiębiorstw, miejsc pracy i produktów przed nieuczciwą konkurencją z państw trzecich</w:t>
      </w:r>
      <w:bookmarkEnd w:id="3"/>
      <w:r w:rsidRPr="001139FE">
        <w:t xml:space="preserve"> </w:t>
      </w:r>
      <w:bookmarkStart w:id="4" w:name="References"/>
      <w:r w:rsidRPr="001139FE">
        <w:t>(2025/2955(RSP))</w:t>
      </w:r>
      <w:bookmarkEnd w:id="4"/>
    </w:p>
    <w:p w14:paraId="6B299BBF" w14:textId="77777777" w:rsidR="002E4AF6" w:rsidRPr="001139FE" w:rsidRDefault="002E4AF6" w:rsidP="002E4AF6"/>
    <w:p w14:paraId="4E4B2E1A" w14:textId="77777777" w:rsidR="0037011D" w:rsidRPr="001139FE" w:rsidRDefault="0037011D" w:rsidP="0037011D">
      <w:pPr>
        <w:pStyle w:val="EPComma"/>
      </w:pPr>
      <w:bookmarkStart w:id="5" w:name="TextBodyBegin"/>
      <w:bookmarkEnd w:id="5"/>
      <w:r w:rsidRPr="001139FE">
        <w:rPr>
          <w:i/>
        </w:rPr>
        <w:t>Parlament Europejski</w:t>
      </w:r>
      <w:r w:rsidRPr="001139FE">
        <w:t>,</w:t>
      </w:r>
    </w:p>
    <w:p w14:paraId="353479EE" w14:textId="77777777" w:rsidR="0037011D" w:rsidRPr="001139FE" w:rsidRDefault="0037011D" w:rsidP="0037011D">
      <w:pPr>
        <w:pStyle w:val="NormalHanging12a"/>
        <w:rPr>
          <w:rFonts w:eastAsiaTheme="minorHAnsi"/>
        </w:rPr>
      </w:pPr>
      <w:r w:rsidRPr="001139FE">
        <w:t>–</w:t>
      </w:r>
      <w:r w:rsidRPr="001139FE">
        <w:tab/>
        <w:t>uwzględniając petycje nr 0072/2025 i 0956/2025,</w:t>
      </w:r>
    </w:p>
    <w:p w14:paraId="39367B2D" w14:textId="77777777" w:rsidR="0037011D" w:rsidRPr="001139FE" w:rsidRDefault="0037011D" w:rsidP="0037011D">
      <w:pPr>
        <w:pStyle w:val="NormalHanging12a"/>
      </w:pPr>
      <w:r w:rsidRPr="001139FE">
        <w:t>–</w:t>
      </w:r>
      <w:r w:rsidRPr="001139FE">
        <w:tab/>
        <w:t>uwzględniając rozporządzenie Parlamentu Europejskiego i Rady (UE) nr 952/2013 z dnia 9 października 2013 r. ustanawiające unijny kodeks celny</w:t>
      </w:r>
      <w:r w:rsidRPr="001139FE">
        <w:rPr>
          <w:rStyle w:val="FootnoteReference"/>
          <w:color w:val="000000"/>
        </w:rPr>
        <w:footnoteReference w:id="1"/>
      </w:r>
      <w:r w:rsidRPr="001139FE">
        <w:t xml:space="preserve"> oraz rozporządzenie wykonawcze Komisji (UE) 2025/512 z dnia 13 marca 2025 r. w sprawie warunków technicznych rozwijania, utrzymywania i użytkowania teleinformatycznych systemów wymiany i przechowywania informacji na podstawie rozporządzenia Parlamentu Europejskiego i Rady (UE) nr 952/2013</w:t>
      </w:r>
      <w:r w:rsidRPr="001139FE">
        <w:rPr>
          <w:rStyle w:val="FootnoteReference"/>
          <w:color w:val="000000"/>
        </w:rPr>
        <w:footnoteReference w:id="2"/>
      </w:r>
      <w:r w:rsidRPr="001139FE">
        <w:t>,</w:t>
      </w:r>
    </w:p>
    <w:p w14:paraId="7A202D68" w14:textId="77777777" w:rsidR="0037011D" w:rsidRPr="001139FE" w:rsidRDefault="0037011D" w:rsidP="0037011D">
      <w:pPr>
        <w:pStyle w:val="NormalHanging12a"/>
      </w:pPr>
      <w:r w:rsidRPr="001139FE">
        <w:t>–</w:t>
      </w:r>
      <w:r w:rsidRPr="001139FE">
        <w:tab/>
        <w:t>uwzględniając rozporządzenie Parlamentu Europejskiego i Rady (UE) 2022/2065 z dnia 19 października 2022 r. w sprawie jednolitego rynku usług cyfrowych oraz zmiany dyrektywy 2000/31/WE (akt o usługach cyfrowych)</w:t>
      </w:r>
      <w:r w:rsidRPr="001139FE">
        <w:rPr>
          <w:rStyle w:val="FootnoteReference"/>
          <w:color w:val="000000"/>
        </w:rPr>
        <w:footnoteReference w:id="3"/>
      </w:r>
      <w:r w:rsidRPr="001139FE">
        <w:t>,</w:t>
      </w:r>
    </w:p>
    <w:p w14:paraId="3F7AFA99" w14:textId="77777777" w:rsidR="0037011D" w:rsidRPr="001139FE" w:rsidRDefault="0037011D" w:rsidP="0037011D">
      <w:pPr>
        <w:pStyle w:val="NormalHanging12a"/>
      </w:pPr>
      <w:r w:rsidRPr="001139FE">
        <w:t>–</w:t>
      </w:r>
      <w:r w:rsidRPr="001139FE">
        <w:tab/>
        <w:t>uwzględniając rozporządzenie Parlamentu Europejskiego i Rady (UE) 2023/988 z dnia 10 maja 2023 r. w sprawie ogólnego bezpieczeństwa produktów, zmieniające rozporządzenie Parlamentu Europejskiego i Rady (UE) nr 1025/2012 i dyrektywę Parlamentu Europejskiego i Rady (UE) 2020/1828 oraz uchylające dyrektywę 2001/95/WE Parlamentu Europejskiego i Rady i dyrektywę Rady 87/357/EWG</w:t>
      </w:r>
      <w:r w:rsidRPr="001139FE">
        <w:rPr>
          <w:rStyle w:val="FootnoteReference"/>
          <w:color w:val="000000"/>
        </w:rPr>
        <w:footnoteReference w:id="4"/>
      </w:r>
      <w:r w:rsidRPr="001139FE">
        <w:t>,</w:t>
      </w:r>
    </w:p>
    <w:p w14:paraId="6BEC9752" w14:textId="77777777" w:rsidR="0037011D" w:rsidRPr="001139FE" w:rsidRDefault="0037011D" w:rsidP="0037011D">
      <w:pPr>
        <w:pStyle w:val="NormalHanging12a"/>
      </w:pPr>
      <w:r w:rsidRPr="001139FE">
        <w:t>–</w:t>
      </w:r>
      <w:r w:rsidRPr="001139FE">
        <w:tab/>
        <w:t>uwzględniając rozporządzenie Parlamentu Europejskiego i Rady (UE) 2019/1020 z dnia 20 czerwca 2019 r. w sprawie nadzoru rynku i zgodności produktów oraz zmieniające dyrektywę 2004/42/WE oraz rozporządzenia (WE) nr 765/2008 i (UE) nr 305/2011</w:t>
      </w:r>
      <w:r w:rsidRPr="001139FE">
        <w:rPr>
          <w:rStyle w:val="FootnoteReference"/>
          <w:color w:val="000000"/>
        </w:rPr>
        <w:footnoteReference w:id="5"/>
      </w:r>
      <w:r w:rsidRPr="001139FE">
        <w:t>,</w:t>
      </w:r>
    </w:p>
    <w:p w14:paraId="6E761986" w14:textId="77777777" w:rsidR="0037011D" w:rsidRPr="001139FE" w:rsidRDefault="0037011D" w:rsidP="0037011D">
      <w:pPr>
        <w:pStyle w:val="NormalHanging12a"/>
      </w:pPr>
      <w:r w:rsidRPr="001139FE">
        <w:lastRenderedPageBreak/>
        <w:t>–</w:t>
      </w:r>
      <w:r w:rsidRPr="001139FE">
        <w:tab/>
        <w:t>uwzględniając rozporządzenie Parlamentu Europejskiego i Rady (WE) nr 765/2008 z dnia 9 lipca 2008 r. ustanawiające wymagania w zakresie akredytacji i nadzoru rynku odnoszące się do warunków wprowadzania produktów do obrotu i uchylające rozporządzenie (EWG) nr 339/93</w:t>
      </w:r>
      <w:r w:rsidRPr="001139FE">
        <w:rPr>
          <w:rStyle w:val="FootnoteReference"/>
          <w:color w:val="000000"/>
        </w:rPr>
        <w:footnoteReference w:id="6"/>
      </w:r>
      <w:r w:rsidRPr="001139FE">
        <w:t>,</w:t>
      </w:r>
    </w:p>
    <w:p w14:paraId="43BE29E2" w14:textId="77777777" w:rsidR="0037011D" w:rsidRPr="001139FE" w:rsidRDefault="0037011D" w:rsidP="0037011D">
      <w:pPr>
        <w:pStyle w:val="NormalHanging12a"/>
      </w:pPr>
      <w:r w:rsidRPr="001139FE">
        <w:t>–</w:t>
      </w:r>
      <w:r w:rsidRPr="001139FE">
        <w:tab/>
        <w:t>uwzględniając rozporządzenie Parlamentu Europejskiego i Rady (UE) 2024/3015 z dnia 27 listopada 2024 r. w sprawie zakazu produktów wytwarzanych z wykorzystaniem pracy przymusowej na rynku unijnym i zmiany dyrektywy (UE) 2019/1937</w:t>
      </w:r>
      <w:r w:rsidRPr="001139FE">
        <w:rPr>
          <w:rStyle w:val="FootnoteReference"/>
          <w:color w:val="000000"/>
        </w:rPr>
        <w:footnoteReference w:id="7"/>
      </w:r>
      <w:r w:rsidRPr="001139FE">
        <w:t>,</w:t>
      </w:r>
    </w:p>
    <w:p w14:paraId="715994D8" w14:textId="77777777" w:rsidR="0037011D" w:rsidRPr="001139FE" w:rsidRDefault="0037011D" w:rsidP="0037011D">
      <w:pPr>
        <w:pStyle w:val="NormalHanging12a"/>
      </w:pPr>
      <w:r w:rsidRPr="001139FE">
        <w:t>–</w:t>
      </w:r>
      <w:r w:rsidRPr="001139FE">
        <w:tab/>
        <w:t>uwzględniając komunikat Komisji z dnia 5 lutego 2025 r. zatytułowany „Kompleksowy unijny zestaw narzędzi na rzecz bezpiecznego i zrównoważonego handlu elektronicznego” (COM(2025)0037),</w:t>
      </w:r>
    </w:p>
    <w:p w14:paraId="14B02931" w14:textId="77777777" w:rsidR="0037011D" w:rsidRPr="001139FE" w:rsidRDefault="0037011D" w:rsidP="0037011D">
      <w:pPr>
        <w:pStyle w:val="NormalHanging12a"/>
      </w:pPr>
      <w:r w:rsidRPr="001139FE">
        <w:t>–</w:t>
      </w:r>
      <w:r w:rsidRPr="001139FE">
        <w:tab/>
        <w:t>uwzględniając swoją rezolucję z dnia 9 lipca 2025 r. w sprawie bezpieczeństwa produktów i zgodności regulacyjnej w handlu internetowym i przywozie spoza UE</w:t>
      </w:r>
      <w:r w:rsidRPr="001139FE">
        <w:rPr>
          <w:rStyle w:val="FootnoteReference"/>
          <w:color w:val="000000"/>
        </w:rPr>
        <w:footnoteReference w:id="8"/>
      </w:r>
      <w:r w:rsidRPr="001139FE">
        <w:t>,</w:t>
      </w:r>
    </w:p>
    <w:p w14:paraId="4529070E" w14:textId="77777777" w:rsidR="0037011D" w:rsidRPr="001139FE" w:rsidRDefault="0037011D" w:rsidP="0037011D">
      <w:pPr>
        <w:pStyle w:val="NormalHanging12a"/>
      </w:pPr>
      <w:r w:rsidRPr="001139FE">
        <w:t>–</w:t>
      </w:r>
      <w:r w:rsidRPr="001139FE">
        <w:tab/>
        <w:t>uwzględniając art. 233 ust. 2 Regulaminu,</w:t>
      </w:r>
    </w:p>
    <w:p w14:paraId="52007E26" w14:textId="77777777" w:rsidR="0037011D" w:rsidRPr="001139FE" w:rsidRDefault="0037011D" w:rsidP="0037011D">
      <w:pPr>
        <w:pStyle w:val="NormalHanging12a"/>
      </w:pPr>
      <w:r w:rsidRPr="001139FE">
        <w:t>A.</w:t>
      </w:r>
      <w:r w:rsidRPr="001139FE">
        <w:rPr>
          <w:i/>
        </w:rPr>
        <w:tab/>
      </w:r>
      <w:r w:rsidRPr="001139FE">
        <w:t>mając na uwadze, że o nieuczciwej konkurencji ze strony przywozu wprowadzanego na rynek UE można mówić w sytuacji, w której produkty są sprzedawane po sztucznie zaniżonych cenach w wyniku dumpingu, subsydiów zakłócających handel, strukturalnej nadwyżki mocy produkcyjnych, asymetrii regulacyjnej, w tym niższych norm środowiskowych, norm zrównoważonego rozwoju i norm pracy, wprowadzających w błąd praktyk handlowych lub obchodzenia obowiązujących norm bezpieczeństwa i higieny pracy; mając na uwadze, że takie praktyki są sprzeczne z zobowiązaniem UE do zapewnienia sprawiedliwego i zrównoważonego światowego systemu handlu, osłabiają pozycję unijnych producentów działających zgodnie z rygorystycznymi wymogami regulacyjnymi i wymogami w zakresie zrównoważonego rozwoju oraz mogą powodować znaczne szkody gospodarcze dla strategicznych ekosystemów przemysłowych na rynku wewnętrznym, a jednocześnie negatywnie wpływać na konsumentów;</w:t>
      </w:r>
    </w:p>
    <w:p w14:paraId="77F45E61" w14:textId="77777777" w:rsidR="0037011D" w:rsidRPr="001139FE" w:rsidRDefault="0037011D" w:rsidP="0037011D">
      <w:pPr>
        <w:pStyle w:val="NormalHanging12a"/>
      </w:pPr>
      <w:r w:rsidRPr="001139FE">
        <w:t>B.</w:t>
      </w:r>
      <w:r w:rsidRPr="001139FE">
        <w:tab/>
        <w:t>mając na uwadze, że niedawne zakłócenia w globalnym systemie handlu grożą przekierowaniem nadwyżki produkcji na rynek UE i zakłóceniem warunków konkurencji;</w:t>
      </w:r>
    </w:p>
    <w:p w14:paraId="74D5A2A0" w14:textId="77777777" w:rsidR="0037011D" w:rsidRPr="001139FE" w:rsidRDefault="0037011D" w:rsidP="0037011D">
      <w:pPr>
        <w:pStyle w:val="NormalHanging12a"/>
      </w:pPr>
      <w:r w:rsidRPr="001139FE">
        <w:t>C.</w:t>
      </w:r>
      <w:r w:rsidRPr="001139FE">
        <w:tab/>
        <w:t>mając na uwadze, że dotacje państwowe i nadwyżka mocy produkcyjnych w przemyśle w Chinach w sektorach takich jak stal, elektronika i panele słoneczne stwarzają ryzyko podcięcia cenowego dla przedsiębiorstw z UE, co coraz bardziej utrudnia producentom z UE konkurowanie pod względem cen; mając na uwadze, że – jak wskazano w sprawozdaniu Draghiego</w:t>
      </w:r>
      <w:r w:rsidRPr="001139FE">
        <w:rPr>
          <w:rStyle w:val="FootnoteReference"/>
          <w:color w:val="000000"/>
        </w:rPr>
        <w:footnoteReference w:id="9"/>
      </w:r>
      <w:r w:rsidRPr="001139FE">
        <w:t xml:space="preserve"> – Chiny już teraz dominują w światowym eksporcie czystych technologii i w przyszłości mają utrzymać znaczną nadwyżkę mocy produkcyjnych w zakresie fotowoltaiki, ogniw akumulatorowych i pojazdów elektrycznych, napędzaną częściowo dotacjami państwowymi, które są czterokrotnie wyższe niż w innych największych gospodarkach, w połączeniu z niskimi kosztami produkcji;</w:t>
      </w:r>
    </w:p>
    <w:p w14:paraId="42CCC9D6" w14:textId="77777777" w:rsidR="0037011D" w:rsidRPr="001139FE" w:rsidRDefault="0037011D" w:rsidP="0037011D">
      <w:pPr>
        <w:pStyle w:val="NormalHanging12a"/>
      </w:pPr>
      <w:r w:rsidRPr="001139FE">
        <w:lastRenderedPageBreak/>
        <w:t>D.</w:t>
      </w:r>
      <w:r w:rsidRPr="001139FE">
        <w:tab/>
        <w:t>mając na uwadze, że Komisja dysponuje już szeregiem instrumentów ochrony handlu, w tym środkami ochronnymi, które umożliwiają jej ochronę miejsc pracy i przedsiębiorstw w UE w przypadku nieuczciwej konkurencji, zakłóceń na rynku lub dumpingu; mając na uwadze, że UE zastosowała te środki w szczególności wobec chińskich pojazdów elektrycznych po odkryciu nieuczciwego subsydiowania przez państwo;</w:t>
      </w:r>
    </w:p>
    <w:p w14:paraId="4567FE5E" w14:textId="77777777" w:rsidR="0037011D" w:rsidRPr="001139FE" w:rsidRDefault="0037011D" w:rsidP="0037011D">
      <w:pPr>
        <w:pStyle w:val="NormalHanging12a"/>
      </w:pPr>
      <w:r w:rsidRPr="001139FE">
        <w:t>E.</w:t>
      </w:r>
      <w:r w:rsidRPr="001139FE">
        <w:tab/>
        <w:t>mając na uwadze, że na rynku UE szybko rozwijają się niektóre platformy internetowe spoza UE, które w pewnych przypadkach korzystają ze wsparcia państwa i oferują towary po bardzo niskich cenach, podcinając unijne przedsiębiorstwa, w szczególności małe i średnie (MŚP), a jednocześnie wprowadzają do obrotu znaczne ilości produktów, które nie spełniają unijnych norm bezpieczeństwa, środowiskowych i chemicznych, stwarzając przez to zagrożenie dla konsumentów i powodując szkody gospodarcze;</w:t>
      </w:r>
    </w:p>
    <w:p w14:paraId="41963E01" w14:textId="549A229A" w:rsidR="0037011D" w:rsidRPr="00C10163" w:rsidRDefault="0037011D" w:rsidP="0037011D">
      <w:pPr>
        <w:pStyle w:val="NormalHanging12a"/>
        <w:rPr>
          <w:b/>
          <w:bCs/>
        </w:rPr>
      </w:pPr>
      <w:r w:rsidRPr="00C10163">
        <w:rPr>
          <w:rStyle w:val="Strong"/>
          <w:b w:val="0"/>
          <w:bCs w:val="0"/>
          <w:color w:val="000000"/>
        </w:rPr>
        <w:t>F</w:t>
      </w:r>
      <w:r w:rsidR="009F5FA9">
        <w:rPr>
          <w:rStyle w:val="Strong"/>
          <w:b w:val="0"/>
          <w:bCs w:val="0"/>
          <w:color w:val="000000"/>
        </w:rPr>
        <w:t>.</w:t>
      </w:r>
      <w:r w:rsidRPr="00C10163">
        <w:rPr>
          <w:rStyle w:val="Strong"/>
          <w:b w:val="0"/>
          <w:bCs w:val="0"/>
          <w:color w:val="000000"/>
        </w:rPr>
        <w:tab/>
        <w:t>mając na uwadze, że taka nieuczciwa konkurencja jest często związana z niższymi normami pracy, słabą ochroną środowiska i naruszeniami praw pracowniczych, które są sprzeczne z zaangażowaniem UE na rzecz sprawiedliwego i zrównoważonego handlu oraz osłabiają konkurencyjność i odporność innowacyjnych mikroprzedsiębiorstw oraz małych i średnich przedsiębiorstw (MMŚP) w Unii, które przestrzegają przepisów UE</w:t>
      </w:r>
      <w:r w:rsidRPr="00C10163">
        <w:rPr>
          <w:b/>
          <w:bCs/>
        </w:rPr>
        <w:t>;</w:t>
      </w:r>
    </w:p>
    <w:p w14:paraId="3BD58EBF" w14:textId="77777777" w:rsidR="0037011D" w:rsidRPr="001139FE" w:rsidRDefault="0037011D" w:rsidP="0037011D">
      <w:pPr>
        <w:pStyle w:val="NormalHanging12a"/>
      </w:pPr>
      <w:r w:rsidRPr="001139FE">
        <w:t>G.</w:t>
      </w:r>
      <w:r w:rsidRPr="001139FE">
        <w:tab/>
        <w:t>mając na uwadze, że gwałtowny wzrost przywozu niskiej wartości towarów w handlu elektronicznym, w szczególności ułatwiony dzięki zwolnieniu z cła przesyłek o wartości poniżej 150 EUR, pochodzących w dużej mierze z Chin, stanowi poważne obciążenie dla organów celnych i organów nadzoru rynku, ograniczając tym samym ich zdolność do skutecznego egzekwowania przepisów UE dotyczących sprzedaży przez internet;</w:t>
      </w:r>
    </w:p>
    <w:p w14:paraId="0AD1FBD3" w14:textId="77777777" w:rsidR="0037011D" w:rsidRPr="001139FE" w:rsidRDefault="0037011D" w:rsidP="0037011D">
      <w:pPr>
        <w:pStyle w:val="NormalHanging12a"/>
      </w:pPr>
      <w:r w:rsidRPr="00C10163">
        <w:rPr>
          <w:rStyle w:val="Strong"/>
          <w:b w:val="0"/>
          <w:bCs w:val="0"/>
          <w:color w:val="000000"/>
        </w:rPr>
        <w:t>H.</w:t>
      </w:r>
      <w:r w:rsidRPr="00C10163">
        <w:rPr>
          <w:rStyle w:val="Strong"/>
          <w:b w:val="0"/>
          <w:bCs w:val="0"/>
          <w:color w:val="000000"/>
        </w:rPr>
        <w:tab/>
        <w:t>mając na uwadze</w:t>
      </w:r>
      <w:r w:rsidRPr="001139FE">
        <w:t>, że coraz większa liczba towarów importowanych do UE kanałami handlu elektronicznego nie spełnia unijnych norm bezpieczeństwa, środowiskowych lub norm pracy, co naraża konsumentów, w szczególności użytkowników podatnych na zagrożenia i małoletnich, na produkty niebezpieczne lub podrobione, a to powoduje szkody gospodarcze, zakłóca uczciwą konkurencję i osłabia zaufanie do jednolitego rynku, ze szkodą szczególnie dla unijnych przedsiębiorstw przestrzegających przepisów, zwłaszcza MŚP, które inwestują w jakość, bezpieczeństwo i zrównoważony rozwój;</w:t>
      </w:r>
    </w:p>
    <w:p w14:paraId="34B6773D" w14:textId="77777777" w:rsidR="0037011D" w:rsidRPr="001139FE" w:rsidRDefault="0037011D" w:rsidP="0037011D">
      <w:pPr>
        <w:pStyle w:val="NormalHanging12a"/>
        <w:rPr>
          <w:rStyle w:val="Strong"/>
          <w:b w:val="0"/>
          <w:bCs w:val="0"/>
          <w:color w:val="000000"/>
        </w:rPr>
      </w:pPr>
      <w:r w:rsidRPr="00C10163">
        <w:rPr>
          <w:rStyle w:val="Strong"/>
          <w:b w:val="0"/>
          <w:bCs w:val="0"/>
          <w:color w:val="000000"/>
        </w:rPr>
        <w:t>I.</w:t>
      </w:r>
      <w:r w:rsidRPr="00C10163">
        <w:rPr>
          <w:rStyle w:val="Strong"/>
          <w:b w:val="0"/>
          <w:bCs w:val="0"/>
          <w:color w:val="000000"/>
        </w:rPr>
        <w:tab/>
        <w:t>mając na uwadze,</w:t>
      </w:r>
      <w:r w:rsidRPr="001139FE">
        <w:t xml:space="preserve"> że niektórzy sprzedawcy spoza UE przy sprzedaży towarów konsumentom w UE omijają wymogi regulacyjne i administracyjne, tworząc nierówne warunki działania, które mają negatywny wpływ na unijne przedsiębiorstwa, w szczególności MŚP i spółki o średniej kapitalizacji, co wpływa na ich konkurencyjność i zdolność rozwoju, zwłaszcza gdy te same obowiązki nie są skutecznie egzekwowane w odniesieniu do produktów przywożonych;</w:t>
      </w:r>
    </w:p>
    <w:p w14:paraId="570931BB" w14:textId="77777777" w:rsidR="0037011D" w:rsidRPr="001139FE" w:rsidRDefault="0037011D" w:rsidP="0037011D">
      <w:pPr>
        <w:pStyle w:val="NormalHanging12a"/>
      </w:pPr>
      <w:r w:rsidRPr="00C10163">
        <w:rPr>
          <w:rStyle w:val="Strong"/>
          <w:b w:val="0"/>
          <w:bCs w:val="0"/>
          <w:color w:val="000000"/>
        </w:rPr>
        <w:t>J.</w:t>
      </w:r>
      <w:r w:rsidRPr="001139FE">
        <w:rPr>
          <w:rStyle w:val="Strong"/>
          <w:color w:val="000000"/>
        </w:rPr>
        <w:tab/>
      </w:r>
      <w:r w:rsidRPr="001139FE">
        <w:t>mając na uwadze, że w sprawozdaniu Draghiego podkreślono, iż w porównaniu z konkurentami w Chinach i Stanach Zjednoczonych przedsiębiorstwa z UE borykają się ze zbędną złożonością regulacyjną, oraz opisano biurokrację UE jako ciężką i coraz większą; mając na uwadze, że ponad 60 % przedsiębiorstw w UE postrzega obowiązki sprawozdawcze jako przeszkodę dla inwestycji, a 55 % MŚP uważa, że największym wyzwaniem są przeszkody regulacyjne i obciążenia administracyjne; mając na uwadze, że UE nie dysponuje narzędziami ilościowymi umożliwiającymi analizę kosztów i korzyści nowych przepisów;</w:t>
      </w:r>
    </w:p>
    <w:p w14:paraId="16C5B338" w14:textId="77777777" w:rsidR="0037011D" w:rsidRPr="00C10163" w:rsidRDefault="0037011D" w:rsidP="0037011D">
      <w:pPr>
        <w:pStyle w:val="NormalHanging12a"/>
        <w:rPr>
          <w:b/>
          <w:bCs/>
        </w:rPr>
      </w:pPr>
      <w:r w:rsidRPr="00C10163">
        <w:rPr>
          <w:rStyle w:val="Strong"/>
          <w:b w:val="0"/>
          <w:bCs w:val="0"/>
          <w:color w:val="000000"/>
        </w:rPr>
        <w:lastRenderedPageBreak/>
        <w:t>K.</w:t>
      </w:r>
      <w:r w:rsidRPr="00C10163">
        <w:rPr>
          <w:rStyle w:val="Strong"/>
          <w:b w:val="0"/>
          <w:bCs w:val="0"/>
          <w:color w:val="000000"/>
        </w:rPr>
        <w:tab/>
        <w:t>mając na uwadze, że niewystarczająca przejrzystość pochodzenia produktów wprowadzanych na rynek wewnętrzny szkodzi świadomemu wyborowi konsumentów i uczciwej konkurencji, a także mając na uwadze, że obecnie nie ma obowiązkowego oznaczania pochodzenia produktów niespożywczych przywożonych do UE</w:t>
      </w:r>
      <w:r w:rsidRPr="00C10163">
        <w:rPr>
          <w:b/>
          <w:bCs/>
        </w:rPr>
        <w:t>;</w:t>
      </w:r>
    </w:p>
    <w:p w14:paraId="39792E7B" w14:textId="77777777" w:rsidR="0037011D" w:rsidRPr="001139FE" w:rsidRDefault="0037011D" w:rsidP="0037011D">
      <w:pPr>
        <w:pStyle w:val="NormalHanging12a"/>
      </w:pPr>
      <w:r w:rsidRPr="00C10163">
        <w:rPr>
          <w:rStyle w:val="Strong"/>
          <w:b w:val="0"/>
          <w:bCs w:val="0"/>
          <w:color w:val="000000"/>
        </w:rPr>
        <w:t>L.</w:t>
      </w:r>
      <w:r w:rsidRPr="00C10163">
        <w:rPr>
          <w:rStyle w:val="Strong"/>
          <w:b w:val="0"/>
          <w:bCs w:val="0"/>
          <w:color w:val="000000"/>
        </w:rPr>
        <w:tab/>
        <w:t>mając na uwadze, że konsumenci, w szczególności nabywcy</w:t>
      </w:r>
      <w:r w:rsidRPr="001139FE">
        <w:t xml:space="preserve"> podatni na zagrożenia lub kupujący przez internet po raz pierwszy, którzy nie otrzymują jasnych i wiarygodnych informacji na temat pochodzenia produktów, zgodności z przepisami i podmiotu gospodarczego odpowiedzialnego za produkt, są narażeni na wprowadzające w błąd praktyki sprzedawców spoza UE;</w:t>
      </w:r>
    </w:p>
    <w:p w14:paraId="78F8F4EE" w14:textId="77777777" w:rsidR="0037011D" w:rsidRPr="001139FE" w:rsidRDefault="0037011D" w:rsidP="0037011D">
      <w:pPr>
        <w:pStyle w:val="NormalHanging12a"/>
      </w:pPr>
      <w:r w:rsidRPr="001139FE">
        <w:t>M.</w:t>
      </w:r>
      <w:r w:rsidRPr="001139FE">
        <w:tab/>
        <w:t>mając na uwadze, że rolnicy w UE są często narażeni na konkurencję ze strony produktów rolnych przywożonych z państw trzecich, w których nie istnieją równoważne normy środowiskowe, fitosanitarne lub normy pracy ani wystarczająca identyfikowalność; mając na uwadze, że stwarza to potencjalne zagrożenie dla zdrowia publicznego, zdrowia roślin i zwierząt, w tym ze względu na rozprzestrzenianie się szkodników i chorób; mając na uwadze, że takie praktyki osłabiają uczciwą konkurencję i bezpośrednio zagrażają zatrudnieniu w rolnictwie, bezpieczeństwu żywnościowemu i rentowności gospodarek wiejskich w UE;</w:t>
      </w:r>
    </w:p>
    <w:p w14:paraId="01D93CE9" w14:textId="77777777" w:rsidR="0037011D" w:rsidRPr="00C10163" w:rsidRDefault="0037011D" w:rsidP="0037011D">
      <w:pPr>
        <w:pStyle w:val="NormalHanging12a"/>
        <w:rPr>
          <w:b/>
          <w:bCs/>
        </w:rPr>
      </w:pPr>
      <w:r w:rsidRPr="00C10163">
        <w:rPr>
          <w:rStyle w:val="Strong"/>
          <w:b w:val="0"/>
          <w:bCs w:val="0"/>
          <w:color w:val="000000"/>
        </w:rPr>
        <w:t>N.</w:t>
      </w:r>
      <w:r w:rsidRPr="00C10163">
        <w:rPr>
          <w:rStyle w:val="Strong"/>
          <w:b w:val="0"/>
          <w:bCs w:val="0"/>
          <w:color w:val="000000"/>
        </w:rPr>
        <w:tab/>
        <w:t>mając na uwadze, że UE zaczęła eliminować nieuczciwą konkurencję i luki regulacyjne w handlu elektronicznym za pomocą przepisów dotyczących platform cyfrowych, bezpieczeństwa produktów, nadzoru rynku i reformy celnej</w:t>
      </w:r>
      <w:r w:rsidRPr="00C10163">
        <w:rPr>
          <w:b/>
          <w:bCs/>
        </w:rPr>
        <w:t xml:space="preserve">; </w:t>
      </w:r>
      <w:r w:rsidRPr="00C10163">
        <w:rPr>
          <w:rStyle w:val="Strong"/>
          <w:b w:val="0"/>
          <w:bCs w:val="0"/>
          <w:color w:val="000000"/>
        </w:rPr>
        <w:t>mając na uwadze, że skuteczne wdrożenie tych środków ma zasadnicze znaczenie dla ochrony konkurencyjności i miejsc pracy w UE;</w:t>
      </w:r>
    </w:p>
    <w:p w14:paraId="0602603C" w14:textId="77777777" w:rsidR="0037011D" w:rsidRPr="001139FE" w:rsidRDefault="0037011D" w:rsidP="0037011D">
      <w:pPr>
        <w:pStyle w:val="NormalHanging12a"/>
        <w:rPr>
          <w:bCs/>
        </w:rPr>
      </w:pPr>
      <w:r w:rsidRPr="001139FE">
        <w:t>O.</w:t>
      </w:r>
      <w:r w:rsidRPr="001139FE">
        <w:tab/>
        <w:t>mając na uwadze, że dyrektywa (UE) 2024/825 w sprawie wzmocnienia pozycji konsumentów w procesie transformacji ekologicznej</w:t>
      </w:r>
      <w:r w:rsidRPr="001139FE">
        <w:rPr>
          <w:rStyle w:val="FootnoteReference"/>
          <w:rFonts w:eastAsiaTheme="minorHAnsi"/>
          <w:color w:val="000000"/>
          <w:szCs w:val="24"/>
          <w:lang w:eastAsia="en-US"/>
        </w:rPr>
        <w:footnoteReference w:id="10"/>
      </w:r>
      <w:r w:rsidRPr="001139FE">
        <w:t xml:space="preserve"> wzmacnia ochronę przed nieuczciwymi praktykami handlowymi i poprawia informacje na temat takich aspektów zrównoważonego rozwoju jak wpływ na środowisko, zużycie energii oraz możliwość naprawy i trwałość produktów, w tym produktów sprzedawanych za pośrednictwem internetowych platform handlowych, a jej szybkie i spójne wdrożenie ma zasadnicze znaczenie dla zapewnienia konsumentom świadomego wyboru i uczciwej konkurencji;</w:t>
      </w:r>
    </w:p>
    <w:p w14:paraId="24328A02" w14:textId="77777777" w:rsidR="0037011D" w:rsidRPr="001139FE" w:rsidRDefault="0037011D" w:rsidP="0037011D">
      <w:pPr>
        <w:pStyle w:val="NormalHanging12a"/>
      </w:pPr>
      <w:r w:rsidRPr="001139FE">
        <w:t>1.</w:t>
      </w:r>
      <w:r w:rsidRPr="001139FE">
        <w:tab/>
        <w:t>ubolewa nad faktem, że nieuczciwa konkurencja ze strony przedsiębiorstw spoza UE, w tym w niektórych przypadkach przedsiębiorstw korzystających z dużych dotacji państwowych, prowadzi do likwidacji miejsc pracy w UE i stanowi poważne zagrożenie dla europejskich przedsiębiorstw, które często są MŚP i przedsiębiorstwami rodzinnymi, realizujących międzypokoleniowy transfer umiejętności, wiedzy i kapitału; przypomina, że Komisja często otrzymuje wnioski o wsparcie z Europejskiego Funduszu Dostosowania do Globalizacji dla Zwalnianych Pracowników, które wynikają ze zwolnień pracowników i zamykania unijnych przedsiębiorstw z powodu niemożności konkurowania z przywozem z państw trzecich niezgodnym z unijnymi normami bezpieczeństwa, ochrony środowiska lub pracy;</w:t>
      </w:r>
    </w:p>
    <w:p w14:paraId="41E53FA4" w14:textId="77777777" w:rsidR="0037011D" w:rsidRPr="001139FE" w:rsidRDefault="0037011D" w:rsidP="0037011D">
      <w:pPr>
        <w:pStyle w:val="NormalHanging12a"/>
      </w:pPr>
      <w:r w:rsidRPr="001139FE">
        <w:lastRenderedPageBreak/>
        <w:t>2.</w:t>
      </w:r>
      <w:r w:rsidRPr="001139FE">
        <w:tab/>
        <w:t>wyraża poważne zaniepokojenie nieuczciwą konkurencją ze strony platform handlu elektronicznego spoza UE, które wykorzystują luki regulacyjne, zagrażają bezpieczeństwu konsumentów i zakłócają jednolity rynek; apeluje o jaśniejsze przepisy dotyczące pochodzenia produktów i ich identyfikowalności oraz identyfikacji odpowiedzialnych za nie podmiotów gospodarczych, w tym o bardziej rygorystyczne egzekwowanie oznakowania CE oraz definicji „producenta” i „importera”, aby wspierać uczciwość konkurencji dla unijnych przedsiębiorstw, w szczególności MŚP;</w:t>
      </w:r>
    </w:p>
    <w:p w14:paraId="12C747C4" w14:textId="77777777" w:rsidR="0037011D" w:rsidRPr="001139FE" w:rsidRDefault="0037011D" w:rsidP="0037011D">
      <w:pPr>
        <w:pStyle w:val="NormalHanging12a"/>
      </w:pPr>
      <w:r w:rsidRPr="001139FE">
        <w:t>3.</w:t>
      </w:r>
      <w:r w:rsidRPr="001139FE">
        <w:tab/>
        <w:t>zwraca uwagę, że gwałtownemu wzrostowi zakupów dokonywanych za pośrednictwem platform internetowych spoza UE towarzyszą poważne wyzwania związane z przestrzeganiem przepisów dotyczących bezpieczeństwa produktów i zgodności z zasadami rynku wewnętrznego; podkreśla, że praktyki te dają nieuczciwą przewagę platformom spoza UE i stanowią obciążenie dla unijnych przedsiębiorstw, zwłaszcza MŚP i mikroprzedsiębiorstw; zwraca uwagę, że producenci z UE podlegają bardziej rygorystycznym wymogom nadzoru rynku niż sprzedawcy w e-handlu spoza UE; podkreśla, że tani przywóz niezgodny z przepisami zmniejsza udział UE w rynku i prowadzi do utraty miejsc pracy;</w:t>
      </w:r>
    </w:p>
    <w:p w14:paraId="0218E972" w14:textId="77777777" w:rsidR="0037011D" w:rsidRPr="001139FE" w:rsidRDefault="0037011D" w:rsidP="0037011D">
      <w:pPr>
        <w:pStyle w:val="NormalHanging12a"/>
      </w:pPr>
      <w:r w:rsidRPr="001139FE">
        <w:t>4.</w:t>
      </w:r>
      <w:r w:rsidRPr="001139FE">
        <w:tab/>
        <w:t>przypomina o prawie konsumentów do wiarygodnych informacji o pochodzeniu produktów i jest zdania, że większość konsumentów na rynku wewnętrznym uznałaby obowiązkowe oznaczanie kraju pochodzenia za przydatne w celu szybkiego podejmowania świadomych decyzji dotyczących ich zakupów;</w:t>
      </w:r>
    </w:p>
    <w:p w14:paraId="10C07995" w14:textId="77777777" w:rsidR="0037011D" w:rsidRPr="001139FE" w:rsidRDefault="0037011D" w:rsidP="0037011D">
      <w:pPr>
        <w:pStyle w:val="NormalHanging12a"/>
      </w:pPr>
      <w:r w:rsidRPr="001139FE">
        <w:t>5.</w:t>
      </w:r>
      <w:r w:rsidRPr="001139FE">
        <w:tab/>
        <w:t>uważa, że konsekwentne i terminowe wdrażanie dorobku prawnego UE, mającego zastosowanie zarówno do przedsiębiorstw działających w internecie, jak i poza nim, ma kluczowe znaczenie dla przeciwdziałania poważnym szkodliwym skutkom produktów niezgodnych z przepisami, niebezpiecznych i podrobionych, oferowanych konsumentom przez przedsiębiorstwa spoza UE; podkreśla znaczenie narzędzi egzekwowania prawa, w tym odpowiednich sankcji i szybszego stosowania środków tymczasowych, zwłaszcza w przypadkach powtarzających się, poważnych i systemowych naruszeń prawa UE;</w:t>
      </w:r>
    </w:p>
    <w:p w14:paraId="43050154" w14:textId="77777777" w:rsidR="0037011D" w:rsidRPr="001139FE" w:rsidRDefault="0037011D" w:rsidP="0037011D">
      <w:pPr>
        <w:pStyle w:val="NormalHanging12a"/>
      </w:pPr>
      <w:r w:rsidRPr="001139FE">
        <w:t>6.</w:t>
      </w:r>
      <w:r w:rsidRPr="001139FE">
        <w:tab/>
        <w:t>podkreśla, że reforma systemu celnego i nadzoru rynku musi eliminować nieuczciwe praktyki handlowe przez usunięcie luk regulacyjnych w obecnym stanie prawnym i wyraźne wspieranie MŚP dzięki zmniejszeniu zbędnych obciążeń administracyjnych, przyspieszeniu procedur odprawy celnej dla podmiotów z UE przestrzegających przepisów oraz skupieniu zasobów na przesyłkach wysokiego ryzyka pochodzących z platform lub od sprzedawców, którzy wielokrotnie dopuścili się naruszeń; podkreśla, że w porównaniu z dużymi platformami lub eksporterami spoza UE MŚP nie powinny znajdować się w niekorzystnej sytuacji;</w:t>
      </w:r>
    </w:p>
    <w:p w14:paraId="3210C6D6" w14:textId="77777777" w:rsidR="0037011D" w:rsidRPr="001139FE" w:rsidRDefault="0037011D" w:rsidP="0037011D">
      <w:pPr>
        <w:pStyle w:val="NormalHanging12a"/>
      </w:pPr>
      <w:r w:rsidRPr="001139FE">
        <w:t>7.</w:t>
      </w:r>
      <w:r w:rsidRPr="001139FE">
        <w:tab/>
        <w:t>odnotowuje najnowsze wysiłki Komisji na rzecz zmniejszenia istniejących obciążeń administracyjnych dla przedsiębiorstw z UE; wzywa Komisję do wzmożenia wysiłków na rzecz poprawy ram regulacyjnych, aby unikać szkodliwego wpływu na konkurencyjność gospodarczą UE, oraz wzywa do dalszych wysiłków na rzecz wspierania przemysłu UE, suwerenności technologicznej i zatrudnienia;</w:t>
      </w:r>
    </w:p>
    <w:p w14:paraId="48A8D8FB" w14:textId="77777777" w:rsidR="0037011D" w:rsidRPr="001139FE" w:rsidRDefault="0037011D" w:rsidP="0037011D">
      <w:pPr>
        <w:pStyle w:val="NormalHanging12a"/>
      </w:pPr>
      <w:r w:rsidRPr="001139FE">
        <w:t>8.</w:t>
      </w:r>
      <w:r w:rsidRPr="001139FE">
        <w:tab/>
        <w:t>zaleca wzmocnienie, lepszą koordynację i zwiększenie zasobów organów celnych i organów nadzoru rynku, w tym ukierunkowanie kontroli na kategorie produktów wysokiego ryzyka, inwestowanie w nowe narzędzia (np. sztuczną inteligencję, blockchain), lepsze testy i niezbędne szkolenia personelu;</w:t>
      </w:r>
    </w:p>
    <w:p w14:paraId="1098FBD7" w14:textId="77777777" w:rsidR="0037011D" w:rsidRPr="001139FE" w:rsidRDefault="0037011D" w:rsidP="0037011D">
      <w:pPr>
        <w:pStyle w:val="NormalHanging12a"/>
      </w:pPr>
      <w:r w:rsidRPr="001139FE">
        <w:lastRenderedPageBreak/>
        <w:t>9.</w:t>
      </w:r>
      <w:r w:rsidRPr="001139FE">
        <w:tab/>
        <w:t>z zadowoleniem przyjmuje uzgodnione niedawno w Radzie zniesienie zwolnienia z podatku od wartości dodanej i cła dla przesyłek o niskiej wartości w odniesieniu do paczek o wartości poniżej 150 EUR wysyłanych z państwa spoza UE do konsumenta w UE; podkreśla znaczenie Prokuratury Europejskiej w zwalczaniu przestępstw celnych – przy wsparciu organów celnych – w śledztwach transgranicznych, w tym dotyczących fałszywych deklaracji w handlu elektronicznym i zaniżania wartości, a także unikania kontroli i wyboru jurysdykcji ze względu na możliwość korzystniejszego rozstrzygnięcia sporu;</w:t>
      </w:r>
    </w:p>
    <w:p w14:paraId="580214BC" w14:textId="77777777" w:rsidR="0037011D" w:rsidRPr="001139FE" w:rsidRDefault="0037011D" w:rsidP="0037011D">
      <w:pPr>
        <w:pStyle w:val="NormalHanging12a"/>
      </w:pPr>
      <w:r w:rsidRPr="001139FE">
        <w:t>10.</w:t>
      </w:r>
      <w:r w:rsidRPr="001139FE">
        <w:tab/>
        <w:t>podkreśla, że szybkie wdrożenie cyfrowego paszportu produktu, w szczególności dla pewnej liczby krytycznych produktów sprzedawanych przez internet, ma kapitalne znaczenie dla lepszego egzekwowania obecnych przepisów; wzywa Komisję do niezwłocznego przyjęcia niezbędnego prawa wtórnego dotyczącego cyfrowego paszportu produktu, zwłaszcza w odniesieniu do wyrobów włókienniczych, obuwia, w tym wytworzonego z wykorzystaniem skóry ekologicznej, produktów dla dzieci, kosmetyków, elektroniki i innych produktów o wysokim wskaźniku niezgodności z przepisami i związanym z tym ryzyku;</w:t>
      </w:r>
    </w:p>
    <w:p w14:paraId="62E261E3" w14:textId="77777777" w:rsidR="0037011D" w:rsidRPr="001139FE" w:rsidRDefault="0037011D" w:rsidP="0037011D">
      <w:pPr>
        <w:pStyle w:val="NormalHanging12a"/>
      </w:pPr>
      <w:r w:rsidRPr="001139FE">
        <w:t>11.</w:t>
      </w:r>
      <w:r w:rsidRPr="001139FE">
        <w:tab/>
        <w:t>wzywa Komisję do ochrony unijnych przedsiębiorstw przed nieuczciwą konkurencją ze strony producentów z państw trzecich, aby utrzymać miejsca pracy w UE i zwiększyć strategiczną niezależność i dzięki temu móc reagować na kryzysy takie jak pandemia COVID-19; ubolewa nad utratą miejsc pracy wynikającą z nieuczciwej konkurencji ze strony przedsiębiorstw spoza UE, które działają z naruszeniem unijnych norm bezpieczeństwa, ochrony środowiska i pracy, przy czym konkurencję taką często ułatwiają platformy internetowe, które umożliwiają łatwiejsze wprowadzanie na rynek UE produktów niezgodnych z wymogami; podkreśla, że bezpieczeństwo produktów, zwłaszcza produktów dla dzieci, musi pozostać kwestią nadrzędną;</w:t>
      </w:r>
    </w:p>
    <w:p w14:paraId="21D22964" w14:textId="77777777" w:rsidR="0037011D" w:rsidRPr="001139FE" w:rsidRDefault="0037011D" w:rsidP="0037011D">
      <w:pPr>
        <w:pStyle w:val="NormalHanging12a"/>
      </w:pPr>
      <w:r w:rsidRPr="001139FE">
        <w:t>12.</w:t>
      </w:r>
      <w:r w:rsidRPr="001139FE">
        <w:tab/>
        <w:t>jest zaniepokojony faktem, że sprzedawcy nieprzestrzegający przepisów często unikają znaczących sankcji; wzywa Komisję i państwa członkowskie do wzmocnienia skoordynowanego egzekwowania obecnego prawa UE, w tym grzywien i zakazów, we wszystkich kanałach sprzedaży, w celu zapewnienia szybkiego usuwania towarów niebezpiecznych lub niezgodnych z wymogami oraz karania sprawców; podkreśla, że skuteczniejsze egzekwowanie przepisów ma zasadnicze znaczenie dla uniemożliwienia sprzedawcom spoza UE systematycznego podcinania cen przedsiębiorstw przestrzegających przepisów, w szczególności MŚP, inwestujących zgodnie z obowiązkowymi unijnymi przepisami dotyczącymi bezpieczeństwa, zrównoważonego rozwoju i jakości, a które sprzedawcy spoza UE mogą obejść;</w:t>
      </w:r>
    </w:p>
    <w:p w14:paraId="168AB8B3" w14:textId="77777777" w:rsidR="0037011D" w:rsidRPr="001139FE" w:rsidRDefault="0037011D" w:rsidP="0037011D">
      <w:pPr>
        <w:pStyle w:val="NormalHanging12a"/>
      </w:pPr>
      <w:r w:rsidRPr="001139FE">
        <w:t>13.</w:t>
      </w:r>
      <w:r w:rsidRPr="001139FE">
        <w:tab/>
        <w:t>ubolewa nad modelem biznesowym niektórych dużych platform internetowych spoza UE opartym na szybkiej produkcji i dystrybucji na dużą skalę towarów, które są niezgodne z unijnymi normami bezpieczeństwa i ochrony środowiska; podkreśla, że takie praktyki stanowią dumping socjalny i środowiskowy; wzywa Komisję do zapewnienia ścisłego przestrzegania unijnych przepisów socjalnych i środowiskowych oraz do podnoszenia świadomości na temat środowiskowych, zdrowotnych i społecznych skutków nieuczciwych praktyk biznesowych;</w:t>
      </w:r>
    </w:p>
    <w:p w14:paraId="62DC568F" w14:textId="77777777" w:rsidR="0037011D" w:rsidRPr="001139FE" w:rsidRDefault="0037011D" w:rsidP="0037011D">
      <w:pPr>
        <w:pStyle w:val="NormalHanging12a"/>
      </w:pPr>
      <w:r w:rsidRPr="001139FE">
        <w:t>14.</w:t>
      </w:r>
      <w:r w:rsidRPr="001139FE">
        <w:tab/>
        <w:t xml:space="preserve">podkreśla, że internetowe platformy handlowe muszą zapewniać przejrzystość i rozliczalność w całym łańcuchu dostaw importowanych w handlu elektronicznym, również w przypadku sprzedawców zewnętrznych ukierunkowanych na konsumentów w UE, oraz zapewniać przestrzeganie przepisów unijnych dotyczących bezpieczeństwa i </w:t>
      </w:r>
      <w:r w:rsidRPr="001139FE">
        <w:lastRenderedPageBreak/>
        <w:t>produktów; wyraża poparcie dla koncepcji „importera domniemanego”, która zapewniłaby zgodność produktów wprowadzanych do UE z przepisami UE, nawet jeśli pierwotny eksporter znajduje się poza UE;</w:t>
      </w:r>
    </w:p>
    <w:p w14:paraId="39F19A3F" w14:textId="77777777" w:rsidR="0037011D" w:rsidRPr="001139FE" w:rsidRDefault="0037011D" w:rsidP="0037011D">
      <w:pPr>
        <w:pStyle w:val="NormalHanging12a"/>
      </w:pPr>
      <w:r w:rsidRPr="001139FE">
        <w:t>15.</w:t>
      </w:r>
      <w:r w:rsidRPr="001139FE">
        <w:tab/>
        <w:t>podkreśla znaczenie weryfikacji tożsamości sprzedawcy i udostępniania wymaganych informacji dotyczących zgodności z wymogami, w tym oznakowania CE i identyfikacji odpowiedzialnego podmiotu gospodarczego mającego siedzibę w UE, a także znaczenie niezwłocznego usuwania produktów niezgodnych z wymogami lub fałszywie oznakowanych; domaga się, aby platformy w pełni współpracowały z właściwymi organami, w tym poprzez dostarczanie odpowiednich danych na temat sprzedawców spoza UE oraz ułatwianie inspekcji, wycofywania produktów i dochodzenia roszczeń przez konsumentów; zauważa, że realizacja zamówień za pośrednictwem zakładów z siedzibą w UE może przyczynić się do zwiększenia skuteczności kontroli;</w:t>
      </w:r>
    </w:p>
    <w:p w14:paraId="04B724C1" w14:textId="77777777" w:rsidR="0037011D" w:rsidRPr="001139FE" w:rsidRDefault="0037011D" w:rsidP="0037011D">
      <w:pPr>
        <w:pStyle w:val="NormalHanging12a"/>
      </w:pPr>
      <w:r w:rsidRPr="001139FE">
        <w:t>16.</w:t>
      </w:r>
      <w:r w:rsidRPr="001139FE">
        <w:tab/>
        <w:t>wzywa Komisję do podjęcia proaktywnych kroków i szybkiego wprowadzenia ukierunkowanych instrumentów ochrony handlu, w tym dochodzeń antydumpingowych i antysubsydyjnych, w celu przeciwdziałania negatywnym skutkom nieuczciwej konkurencji dla unijnych detalistów, MŚP i przemysłu, ponieważ nie mogą oni konkurować ze sztucznie zaniżonymi cenami wynikającymi ze wspieranych przez państwo praktyk dumpingowych w państwach trzecich; wzywa Komisję do zapewnienia pełnego wsparcia skarżącym w przypadku przedstawienia dowodów dumpingu i subsydiowania oraz do zapewnienia uproszczonych procedur dla drobnych producentów;</w:t>
      </w:r>
    </w:p>
    <w:p w14:paraId="0109A6A1" w14:textId="77777777" w:rsidR="0037011D" w:rsidRPr="001139FE" w:rsidRDefault="0037011D" w:rsidP="0037011D">
      <w:pPr>
        <w:pStyle w:val="NormalHanging12a"/>
      </w:pPr>
      <w:r w:rsidRPr="001139FE">
        <w:t>17.</w:t>
      </w:r>
      <w:r w:rsidRPr="001139FE">
        <w:tab/>
        <w:t>wzywa Komisję do przyspieszenia reformy celnej, w tym przez zniesienie zwolnień przywozowych dla towarów o niskiej wartości oraz wprowadzenie opłat manipulacyjnych lub opłat za odprawę celną zgodnych z zasadami Światowej Organizacji Handlu; podkreśla, że takie opłaty powinny przyczyniać się do pokrycia zwiększonych kosztów nadzoru ponoszonych przez organy celne; podkreśla znaczenie podejścia na szczeblu UE w celu uniknięcia fragmentacji i manipulowania wyborem państw docelowych oraz w celu zapewnienia uczciwej konkurencji; podkreśla, że zasadnicze znaczenie dla rozwiązania problemu nieuczciwego przywozu przy jednoczesnej ochronie praw konsumentów i przystępności cenowej ma wzmocniona reforma celna, w tym ulepszone narzędzia monitorowania i kontrole ukierunkowane; wzywa Komisję do wzmocnienia ukierunkowanych unijnych środków wsparcia dla sektorów silnie dotkniętych nieuczciwym przywozem, takich jak dostęp do funduszy UE, wsparcie innowacji, rozwój umiejętności i programy dywersyfikacji wywozu;</w:t>
      </w:r>
    </w:p>
    <w:p w14:paraId="6A4A2FE6" w14:textId="77777777" w:rsidR="0037011D" w:rsidRPr="001139FE" w:rsidRDefault="0037011D" w:rsidP="0037011D">
      <w:pPr>
        <w:pStyle w:val="NormalHanging12a"/>
      </w:pPr>
      <w:r w:rsidRPr="001139FE">
        <w:t>18.</w:t>
      </w:r>
      <w:r w:rsidRPr="001139FE">
        <w:tab/>
        <w:t>apeluje o wzmocnienie mechanizmów dochodzenia roszczeń konsumenckich umożliwiających konsumentom w UE uzyskanie zwrotu pieniędzy, wymiany lub środków zaradczych w przypadku niebezpiecznych lub niezgodnych z przepisami towarów zakupionych od sprzedawców spoza UE; popiera utworzenie łatwego w użyciu unijnego internetowego interfejsu skarg konsumenckich dostępnego we wszystkich językach UE, który zapewni obywatelom możliwość szybkiego działania w przypadku naruszenia ich praw; zachęca do opracowania ogólnounijnej kampanii uświadamiającej, promującej odpowiedzialną konsumpcję i produkty wytworzone w UE, podkreślającej ich zalety społeczne, środowiskowe i związane z bezpieczeństwem, a jednocześnie zachęca Komisję do zwiększenia wsparcia dla regionów wyspiarskich, aby umożliwić im dostęp do produktów UE;</w:t>
      </w:r>
    </w:p>
    <w:p w14:paraId="3B1C7A59" w14:textId="05B3F775" w:rsidR="001139FE" w:rsidRPr="001139FE" w:rsidRDefault="0037011D" w:rsidP="001139FE">
      <w:pPr>
        <w:pStyle w:val="NormalHanging12a"/>
      </w:pPr>
      <w:r w:rsidRPr="001139FE">
        <w:t>19.</w:t>
      </w:r>
      <w:r w:rsidRPr="001139FE">
        <w:tab/>
        <w:t xml:space="preserve">zobowiązuje swoją przewodniczącą do przekazania niniejszej rezolucji Komisji </w:t>
      </w:r>
      <w:r w:rsidRPr="001139FE">
        <w:lastRenderedPageBreak/>
        <w:t>i Radzie oraz rządom i parlamentom państw członkowskich.</w:t>
      </w:r>
    </w:p>
    <w:p w14:paraId="248064DA" w14:textId="2C8C8CDF" w:rsidR="00E365E1" w:rsidRPr="001139FE" w:rsidRDefault="00E365E1" w:rsidP="002E4AF6"/>
    <w:sectPr w:rsidR="00E365E1" w:rsidRPr="001139FE" w:rsidSect="001139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5B5F0" w14:textId="77777777" w:rsidR="002E4AF6" w:rsidRPr="001139FE" w:rsidRDefault="002E4AF6">
      <w:r w:rsidRPr="001139FE">
        <w:separator/>
      </w:r>
    </w:p>
  </w:endnote>
  <w:endnote w:type="continuationSeparator" w:id="0">
    <w:p w14:paraId="6761CD50" w14:textId="77777777" w:rsidR="002E4AF6" w:rsidRPr="001139FE" w:rsidRDefault="002E4AF6">
      <w:r w:rsidRPr="001139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43AE0" w14:textId="77777777" w:rsidR="00064002" w:rsidRPr="001139F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AC459" w14:textId="77777777" w:rsidR="00064002" w:rsidRPr="001139F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44D3C" w14:textId="77777777" w:rsidR="00064002" w:rsidRPr="001139F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B7430" w14:textId="77777777" w:rsidR="002E4AF6" w:rsidRPr="001139FE" w:rsidRDefault="002E4AF6">
      <w:r w:rsidRPr="001139FE">
        <w:separator/>
      </w:r>
    </w:p>
  </w:footnote>
  <w:footnote w:type="continuationSeparator" w:id="0">
    <w:p w14:paraId="39EFC064" w14:textId="77777777" w:rsidR="002E4AF6" w:rsidRPr="001139FE" w:rsidRDefault="002E4AF6">
      <w:r w:rsidRPr="001139FE">
        <w:continuationSeparator/>
      </w:r>
    </w:p>
  </w:footnote>
  <w:footnote w:id="1">
    <w:p w14:paraId="55D62E41" w14:textId="1DB4B328" w:rsidR="0037011D" w:rsidRPr="001139FE" w:rsidRDefault="0037011D" w:rsidP="001139FE">
      <w:pPr>
        <w:pStyle w:val="FootnoteText"/>
        <w:ind w:left="567" w:hanging="567"/>
        <w:rPr>
          <w:sz w:val="24"/>
          <w:lang w:val="pl-PL"/>
        </w:rPr>
      </w:pPr>
      <w:r w:rsidRPr="001139FE">
        <w:rPr>
          <w:rStyle w:val="FootnoteReference"/>
          <w:sz w:val="24"/>
          <w:lang w:val="pl-PL"/>
        </w:rPr>
        <w:footnoteRef/>
      </w:r>
      <w:r w:rsidR="001139FE" w:rsidRPr="001139FE">
        <w:rPr>
          <w:sz w:val="24"/>
          <w:lang w:val="pl-PL"/>
        </w:rPr>
        <w:t xml:space="preserve"> </w:t>
      </w:r>
      <w:r w:rsidR="001139FE" w:rsidRPr="001139FE">
        <w:rPr>
          <w:sz w:val="24"/>
          <w:lang w:val="pl-PL"/>
        </w:rPr>
        <w:tab/>
      </w:r>
      <w:r w:rsidRPr="001139FE">
        <w:rPr>
          <w:sz w:val="24"/>
          <w:lang w:val="pl-PL"/>
        </w:rPr>
        <w:t>Dz.U. L 269 z 10.10.2013, s. 1, ELI: </w:t>
      </w:r>
      <w:hyperlink r:id="rId1" w:history="1">
        <w:r w:rsidRPr="001139FE">
          <w:rPr>
            <w:rStyle w:val="Hyperlink"/>
            <w:sz w:val="24"/>
            <w:lang w:val="pl-PL"/>
          </w:rPr>
          <w:t>http://data.europa.eu/eli/reg/2013/952/oj</w:t>
        </w:r>
      </w:hyperlink>
      <w:r w:rsidRPr="001139FE">
        <w:rPr>
          <w:sz w:val="24"/>
          <w:lang w:val="pl-PL"/>
        </w:rPr>
        <w:t>.</w:t>
      </w:r>
    </w:p>
  </w:footnote>
  <w:footnote w:id="2">
    <w:p w14:paraId="14B9564C" w14:textId="0275EEEF" w:rsidR="0037011D" w:rsidRPr="001139FE" w:rsidRDefault="0037011D" w:rsidP="001139FE">
      <w:pPr>
        <w:pStyle w:val="FootnoteText"/>
        <w:ind w:left="567" w:hanging="567"/>
        <w:rPr>
          <w:sz w:val="24"/>
          <w:lang w:val="pl-PL"/>
        </w:rPr>
      </w:pPr>
      <w:r w:rsidRPr="001139FE">
        <w:rPr>
          <w:rStyle w:val="FootnoteReference"/>
          <w:sz w:val="24"/>
          <w:lang w:val="pl-PL"/>
        </w:rPr>
        <w:footnoteRef/>
      </w:r>
      <w:r w:rsidR="001139FE" w:rsidRPr="001139FE">
        <w:rPr>
          <w:sz w:val="24"/>
          <w:lang w:val="pl-PL"/>
        </w:rPr>
        <w:t xml:space="preserve"> </w:t>
      </w:r>
      <w:r w:rsidR="001139FE" w:rsidRPr="001139FE">
        <w:rPr>
          <w:sz w:val="24"/>
          <w:lang w:val="pl-PL"/>
        </w:rPr>
        <w:tab/>
      </w:r>
      <w:r w:rsidRPr="001139FE">
        <w:rPr>
          <w:sz w:val="24"/>
          <w:lang w:val="pl-PL"/>
        </w:rPr>
        <w:t>Dz.U. L, 2025/512, 20.3.2025, ELI: </w:t>
      </w:r>
      <w:hyperlink r:id="rId2" w:tgtFrame="_blank" w:tooltip="Dostęp do dokumentu poprzez identyfikator URI w systemie ELI." w:history="1">
        <w:r w:rsidRPr="001139FE">
          <w:rPr>
            <w:rStyle w:val="Hyperlink"/>
            <w:sz w:val="24"/>
            <w:lang w:val="pl-PL"/>
          </w:rPr>
          <w:t>http://data.europa.eu/eli/reg_impl/2025/512/oj</w:t>
        </w:r>
      </w:hyperlink>
      <w:r w:rsidRPr="001139FE">
        <w:rPr>
          <w:sz w:val="24"/>
          <w:lang w:val="pl-PL"/>
        </w:rPr>
        <w:t xml:space="preserve">. </w:t>
      </w:r>
    </w:p>
  </w:footnote>
  <w:footnote w:id="3">
    <w:p w14:paraId="25305D8E" w14:textId="3EDDC1D2" w:rsidR="0037011D" w:rsidRPr="001139FE" w:rsidRDefault="0037011D" w:rsidP="001139FE">
      <w:pPr>
        <w:pStyle w:val="FootnoteText"/>
        <w:ind w:left="567" w:hanging="567"/>
        <w:rPr>
          <w:sz w:val="24"/>
          <w:lang w:val="pl-PL"/>
        </w:rPr>
      </w:pPr>
      <w:r w:rsidRPr="001139FE">
        <w:rPr>
          <w:rStyle w:val="FootnoteReference"/>
          <w:sz w:val="24"/>
          <w:lang w:val="pl-PL"/>
        </w:rPr>
        <w:footnoteRef/>
      </w:r>
      <w:r w:rsidR="001139FE" w:rsidRPr="001139FE">
        <w:rPr>
          <w:sz w:val="24"/>
          <w:lang w:val="pl-PL"/>
        </w:rPr>
        <w:t xml:space="preserve"> </w:t>
      </w:r>
      <w:r w:rsidR="001139FE" w:rsidRPr="001139FE">
        <w:rPr>
          <w:sz w:val="24"/>
          <w:lang w:val="pl-PL"/>
        </w:rPr>
        <w:tab/>
      </w:r>
      <w:r w:rsidRPr="001139FE">
        <w:rPr>
          <w:sz w:val="24"/>
          <w:lang w:val="pl-PL"/>
        </w:rPr>
        <w:t>Dz.U. L 277 z 27.10.2022, s. 1, ELI: </w:t>
      </w:r>
      <w:hyperlink r:id="rId3" w:tooltip="Dostęp do dokumentu poprzez identyfikator URI w systemie ELI." w:history="1">
        <w:r w:rsidRPr="001139FE">
          <w:rPr>
            <w:rStyle w:val="Hyperlink"/>
            <w:sz w:val="24"/>
            <w:lang w:val="pl-PL"/>
          </w:rPr>
          <w:t>http://data.europa.eu/eli/reg/2022/2065/oj</w:t>
        </w:r>
      </w:hyperlink>
      <w:r w:rsidRPr="001139FE">
        <w:rPr>
          <w:sz w:val="24"/>
          <w:lang w:val="pl-PL"/>
        </w:rPr>
        <w:t xml:space="preserve">. </w:t>
      </w:r>
    </w:p>
  </w:footnote>
  <w:footnote w:id="4">
    <w:p w14:paraId="4B81D00D" w14:textId="22EDA64D" w:rsidR="0037011D" w:rsidRPr="001139FE" w:rsidRDefault="0037011D" w:rsidP="001139FE">
      <w:pPr>
        <w:pStyle w:val="FootnoteText"/>
        <w:ind w:left="567" w:hanging="567"/>
        <w:rPr>
          <w:sz w:val="24"/>
          <w:lang w:val="pl-PL"/>
        </w:rPr>
      </w:pPr>
      <w:r w:rsidRPr="001139FE">
        <w:rPr>
          <w:rStyle w:val="FootnoteReference"/>
          <w:sz w:val="24"/>
          <w:lang w:val="pl-PL"/>
        </w:rPr>
        <w:footnoteRef/>
      </w:r>
      <w:r w:rsidR="001139FE" w:rsidRPr="001139FE">
        <w:rPr>
          <w:sz w:val="24"/>
          <w:lang w:val="pl-PL"/>
        </w:rPr>
        <w:t xml:space="preserve"> </w:t>
      </w:r>
      <w:r w:rsidR="001139FE" w:rsidRPr="001139FE">
        <w:rPr>
          <w:sz w:val="24"/>
          <w:lang w:val="pl-PL"/>
        </w:rPr>
        <w:tab/>
      </w:r>
      <w:r w:rsidRPr="001139FE">
        <w:rPr>
          <w:sz w:val="24"/>
          <w:lang w:val="pl-PL"/>
        </w:rPr>
        <w:t>Dz.U. L 135 z 23.5.2023, s. 1, ELI: </w:t>
      </w:r>
      <w:hyperlink r:id="rId4" w:tooltip="Dostęp do dokumentu poprzez identyfikator URI w systemie ELI." w:history="1">
        <w:r w:rsidRPr="001139FE">
          <w:rPr>
            <w:rStyle w:val="Hyperlink"/>
            <w:sz w:val="24"/>
            <w:lang w:val="pl-PL"/>
          </w:rPr>
          <w:t>http://data.europa.eu/eli/reg/2023/988/oj</w:t>
        </w:r>
      </w:hyperlink>
      <w:r w:rsidRPr="001139FE">
        <w:rPr>
          <w:sz w:val="24"/>
          <w:lang w:val="pl-PL"/>
        </w:rPr>
        <w:t xml:space="preserve">. </w:t>
      </w:r>
    </w:p>
  </w:footnote>
  <w:footnote w:id="5">
    <w:p w14:paraId="4E1756CB" w14:textId="49E560FF" w:rsidR="0037011D" w:rsidRPr="001139FE" w:rsidRDefault="0037011D" w:rsidP="001139FE">
      <w:pPr>
        <w:pStyle w:val="FootnoteText"/>
        <w:ind w:left="567" w:hanging="567"/>
        <w:rPr>
          <w:sz w:val="24"/>
          <w:lang w:val="pl-PL"/>
        </w:rPr>
      </w:pPr>
      <w:r w:rsidRPr="001139FE">
        <w:rPr>
          <w:rStyle w:val="FootnoteReference"/>
          <w:sz w:val="24"/>
          <w:lang w:val="pl-PL"/>
        </w:rPr>
        <w:footnoteRef/>
      </w:r>
      <w:r w:rsidR="001139FE" w:rsidRPr="001139FE">
        <w:rPr>
          <w:sz w:val="24"/>
          <w:lang w:val="pl-PL"/>
        </w:rPr>
        <w:t xml:space="preserve"> </w:t>
      </w:r>
      <w:r w:rsidR="001139FE" w:rsidRPr="001139FE">
        <w:rPr>
          <w:sz w:val="24"/>
          <w:lang w:val="pl-PL"/>
        </w:rPr>
        <w:tab/>
      </w:r>
      <w:r w:rsidRPr="001139FE">
        <w:rPr>
          <w:sz w:val="24"/>
          <w:lang w:val="pl-PL"/>
        </w:rPr>
        <w:t>Dz.U. L 169 z 25.6.2019, s. 1, ELI: </w:t>
      </w:r>
      <w:hyperlink r:id="rId5" w:tooltip="Dostęp do dokumentu poprzez identyfikator URI w systemie ELI." w:history="1">
        <w:r w:rsidRPr="001139FE">
          <w:rPr>
            <w:rStyle w:val="Hyperlink"/>
            <w:sz w:val="24"/>
            <w:lang w:val="pl-PL"/>
          </w:rPr>
          <w:t>http://data.europa.eu/eli/reg/2019/1020/oj</w:t>
        </w:r>
      </w:hyperlink>
      <w:r w:rsidRPr="001139FE">
        <w:rPr>
          <w:sz w:val="24"/>
          <w:lang w:val="pl-PL"/>
        </w:rPr>
        <w:t>.</w:t>
      </w:r>
    </w:p>
  </w:footnote>
  <w:footnote w:id="6">
    <w:p w14:paraId="70697BF1" w14:textId="0D6910FB" w:rsidR="0037011D" w:rsidRPr="001139FE" w:rsidRDefault="0037011D" w:rsidP="001139FE">
      <w:pPr>
        <w:pStyle w:val="FootnoteText"/>
        <w:ind w:left="567" w:hanging="567"/>
        <w:rPr>
          <w:sz w:val="24"/>
          <w:lang w:val="pl-PL"/>
        </w:rPr>
      </w:pPr>
      <w:r w:rsidRPr="001139FE">
        <w:rPr>
          <w:rStyle w:val="FootnoteReference"/>
          <w:sz w:val="24"/>
          <w:lang w:val="pl-PL"/>
        </w:rPr>
        <w:footnoteRef/>
      </w:r>
      <w:r w:rsidR="001139FE" w:rsidRPr="001139FE">
        <w:rPr>
          <w:sz w:val="24"/>
          <w:lang w:val="pl-PL"/>
        </w:rPr>
        <w:t xml:space="preserve"> </w:t>
      </w:r>
      <w:r w:rsidR="001139FE" w:rsidRPr="001139FE">
        <w:rPr>
          <w:sz w:val="24"/>
          <w:lang w:val="pl-PL"/>
        </w:rPr>
        <w:tab/>
      </w:r>
      <w:r w:rsidRPr="001139FE">
        <w:rPr>
          <w:sz w:val="24"/>
          <w:lang w:val="pl-PL"/>
        </w:rPr>
        <w:t>Dz.U. L 218 z 13.8.2008, s. 30, ELI: </w:t>
      </w:r>
      <w:hyperlink r:id="rId6" w:tooltip="Dostęp do dokumentu poprzez identyfikator URI w systemie ELI." w:history="1">
        <w:r w:rsidRPr="001139FE">
          <w:rPr>
            <w:rStyle w:val="Hyperlink"/>
            <w:sz w:val="24"/>
            <w:lang w:val="pl-PL"/>
          </w:rPr>
          <w:t>http://data.europa.eu/eli/reg/2008/765/oj</w:t>
        </w:r>
      </w:hyperlink>
      <w:r w:rsidRPr="001139FE">
        <w:rPr>
          <w:sz w:val="24"/>
          <w:lang w:val="pl-PL"/>
        </w:rPr>
        <w:t xml:space="preserve">. </w:t>
      </w:r>
    </w:p>
  </w:footnote>
  <w:footnote w:id="7">
    <w:p w14:paraId="19C4B05C" w14:textId="7B645308" w:rsidR="0037011D" w:rsidRPr="002A7392" w:rsidRDefault="0037011D" w:rsidP="001139FE">
      <w:pPr>
        <w:pStyle w:val="FootnoteText"/>
        <w:ind w:left="567" w:hanging="567"/>
        <w:rPr>
          <w:sz w:val="24"/>
          <w:lang w:val="fi-FI"/>
        </w:rPr>
      </w:pPr>
      <w:r w:rsidRPr="001139FE">
        <w:rPr>
          <w:rStyle w:val="FootnoteReference"/>
          <w:sz w:val="24"/>
          <w:lang w:val="pl-PL"/>
        </w:rPr>
        <w:footnoteRef/>
      </w:r>
      <w:r w:rsidR="001139FE" w:rsidRPr="002A7392">
        <w:rPr>
          <w:sz w:val="24"/>
          <w:lang w:val="fi-FI"/>
        </w:rPr>
        <w:t xml:space="preserve"> </w:t>
      </w:r>
      <w:r w:rsidR="001139FE" w:rsidRPr="002A7392">
        <w:rPr>
          <w:sz w:val="24"/>
          <w:lang w:val="fi-FI"/>
        </w:rPr>
        <w:tab/>
      </w:r>
      <w:r w:rsidRPr="002A7392">
        <w:rPr>
          <w:sz w:val="24"/>
          <w:lang w:val="fi-FI"/>
        </w:rPr>
        <w:t xml:space="preserve">Dz.U. L, 2024/3015, 12.12.2024, ELI: </w:t>
      </w:r>
      <w:hyperlink r:id="rId7" w:history="1">
        <w:r w:rsidRPr="002A7392">
          <w:rPr>
            <w:rStyle w:val="Hyperlink"/>
            <w:sz w:val="24"/>
            <w:lang w:val="fi-FI"/>
          </w:rPr>
          <w:t>http://data.europa.eu/eli/reg/2024/3015/oj</w:t>
        </w:r>
      </w:hyperlink>
      <w:r w:rsidRPr="002A7392">
        <w:rPr>
          <w:rStyle w:val="Hyperlink"/>
          <w:sz w:val="24"/>
          <w:lang w:val="fi-FI"/>
        </w:rPr>
        <w:t>.</w:t>
      </w:r>
    </w:p>
  </w:footnote>
  <w:footnote w:id="8">
    <w:p w14:paraId="29AE6ACD" w14:textId="687C1113" w:rsidR="0037011D" w:rsidRPr="001139FE" w:rsidRDefault="0037011D" w:rsidP="001139FE">
      <w:pPr>
        <w:pStyle w:val="FootnoteText"/>
        <w:ind w:left="567" w:hanging="567"/>
        <w:rPr>
          <w:sz w:val="24"/>
          <w:lang w:val="pl-PL"/>
        </w:rPr>
      </w:pPr>
      <w:r w:rsidRPr="001139FE">
        <w:rPr>
          <w:rStyle w:val="FootnoteReference"/>
          <w:sz w:val="24"/>
          <w:lang w:val="pl-PL"/>
        </w:rPr>
        <w:footnoteRef/>
      </w:r>
      <w:r w:rsidR="001139FE" w:rsidRPr="001139FE">
        <w:rPr>
          <w:sz w:val="24"/>
          <w:lang w:val="pl-PL"/>
        </w:rPr>
        <w:t xml:space="preserve"> </w:t>
      </w:r>
      <w:r w:rsidR="001139FE" w:rsidRPr="001139FE">
        <w:rPr>
          <w:sz w:val="24"/>
          <w:lang w:val="pl-PL"/>
        </w:rPr>
        <w:tab/>
      </w:r>
      <w:r w:rsidRPr="001139FE">
        <w:rPr>
          <w:sz w:val="24"/>
          <w:lang w:val="pl-PL"/>
        </w:rPr>
        <w:t xml:space="preserve">Teksty przyjęte, P10_TA(2025)0154. </w:t>
      </w:r>
    </w:p>
  </w:footnote>
  <w:footnote w:id="9">
    <w:p w14:paraId="234408DA" w14:textId="196F7D76" w:rsidR="0037011D" w:rsidRPr="001139FE" w:rsidRDefault="0037011D" w:rsidP="001139FE">
      <w:pPr>
        <w:pStyle w:val="FootnoteText"/>
        <w:ind w:left="567" w:hanging="567"/>
        <w:rPr>
          <w:sz w:val="24"/>
          <w:lang w:val="pl-PL"/>
        </w:rPr>
      </w:pPr>
      <w:r w:rsidRPr="001139FE">
        <w:rPr>
          <w:rStyle w:val="FootnoteReference"/>
          <w:sz w:val="24"/>
          <w:lang w:val="pl-PL"/>
        </w:rPr>
        <w:footnoteRef/>
      </w:r>
      <w:r w:rsidR="001139FE" w:rsidRPr="001139FE">
        <w:rPr>
          <w:sz w:val="24"/>
          <w:lang w:val="pl-PL"/>
        </w:rPr>
        <w:t xml:space="preserve"> </w:t>
      </w:r>
      <w:r w:rsidR="001139FE" w:rsidRPr="001139FE">
        <w:rPr>
          <w:sz w:val="24"/>
          <w:lang w:val="pl-PL"/>
        </w:rPr>
        <w:tab/>
      </w:r>
      <w:r w:rsidRPr="001139FE">
        <w:rPr>
          <w:sz w:val="24"/>
          <w:lang w:val="pl-PL"/>
        </w:rPr>
        <w:t>Draghi „The future of European competitiveness” [Przyszłość europejskiej konkurencyjności], 9 września 2024 r.</w:t>
      </w:r>
    </w:p>
  </w:footnote>
  <w:footnote w:id="10">
    <w:p w14:paraId="04144686" w14:textId="020EC5D1" w:rsidR="0037011D" w:rsidRPr="001139FE" w:rsidRDefault="0037011D" w:rsidP="001139FE">
      <w:pPr>
        <w:pStyle w:val="FootnoteText"/>
        <w:ind w:left="567" w:hanging="567"/>
        <w:rPr>
          <w:sz w:val="24"/>
          <w:lang w:val="pl-PL"/>
        </w:rPr>
      </w:pPr>
      <w:r w:rsidRPr="001139FE">
        <w:rPr>
          <w:rStyle w:val="FootnoteReference"/>
          <w:sz w:val="24"/>
          <w:lang w:val="pl-PL"/>
        </w:rPr>
        <w:footnoteRef/>
      </w:r>
      <w:r w:rsidR="001139FE" w:rsidRPr="001139FE">
        <w:rPr>
          <w:sz w:val="24"/>
          <w:lang w:val="pl-PL"/>
        </w:rPr>
        <w:t xml:space="preserve"> </w:t>
      </w:r>
      <w:r w:rsidR="001139FE" w:rsidRPr="001139FE">
        <w:rPr>
          <w:sz w:val="24"/>
          <w:lang w:val="pl-PL"/>
        </w:rPr>
        <w:tab/>
      </w:r>
      <w:r w:rsidRPr="001139FE">
        <w:rPr>
          <w:sz w:val="24"/>
          <w:lang w:val="pl-PL"/>
        </w:rPr>
        <w:t>Dyrektywa Parlamentu Europejskiego i Rady (UE) 2024/825 z dnia 28 lutego 2024 r. w sprawie zmiany dyrektyw 2005/29/WE i 2011/83/UE w odniesieniu do wzmocnienia pozycji konsumentów w procesie transformacji ekologicznej poprzez lepszą ochronę przed nieuczciwymi praktykami oraz lepsze informowanie (Dz.U. L, 2024/825, 6.3.2024, ELI: </w:t>
      </w:r>
      <w:hyperlink r:id="rId8" w:tgtFrame="_blank" w:tooltip="Dostęp do dokumentu poprzez identyfikator URI w systemie ELI." w:history="1">
        <w:r w:rsidRPr="001139FE">
          <w:rPr>
            <w:rStyle w:val="Hyperlink"/>
            <w:sz w:val="24"/>
            <w:lang w:val="pl-PL"/>
          </w:rPr>
          <w:t>http://data.europa.eu/eli/dir/2024/825/oj</w:t>
        </w:r>
      </w:hyperlink>
      <w:r w:rsidRPr="001139FE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0B7E9" w14:textId="77777777" w:rsidR="00064002" w:rsidRPr="001139F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5A619" w14:textId="77777777" w:rsidR="00064002" w:rsidRPr="001139F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3D583" w14:textId="77777777" w:rsidR="00064002" w:rsidRPr="001139F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1052633">
    <w:abstractNumId w:val="9"/>
  </w:num>
  <w:num w:numId="2" w16cid:durableId="1003778042">
    <w:abstractNumId w:val="9"/>
  </w:num>
  <w:num w:numId="3" w16cid:durableId="1000500699">
    <w:abstractNumId w:val="7"/>
  </w:num>
  <w:num w:numId="4" w16cid:durableId="1499543489">
    <w:abstractNumId w:val="7"/>
  </w:num>
  <w:num w:numId="5" w16cid:durableId="2015065676">
    <w:abstractNumId w:val="6"/>
  </w:num>
  <w:num w:numId="6" w16cid:durableId="238682748">
    <w:abstractNumId w:val="6"/>
  </w:num>
  <w:num w:numId="7" w16cid:durableId="1474716667">
    <w:abstractNumId w:val="5"/>
  </w:num>
  <w:num w:numId="8" w16cid:durableId="459887721">
    <w:abstractNumId w:val="5"/>
  </w:num>
  <w:num w:numId="9" w16cid:durableId="1243179495">
    <w:abstractNumId w:val="4"/>
  </w:num>
  <w:num w:numId="10" w16cid:durableId="1800879461">
    <w:abstractNumId w:val="4"/>
  </w:num>
  <w:num w:numId="11" w16cid:durableId="132137349">
    <w:abstractNumId w:val="8"/>
  </w:num>
  <w:num w:numId="12" w16cid:durableId="1487093949">
    <w:abstractNumId w:val="8"/>
  </w:num>
  <w:num w:numId="13" w16cid:durableId="822703639">
    <w:abstractNumId w:val="3"/>
  </w:num>
  <w:num w:numId="14" w16cid:durableId="533008855">
    <w:abstractNumId w:val="3"/>
  </w:num>
  <w:num w:numId="15" w16cid:durableId="619805339">
    <w:abstractNumId w:val="2"/>
  </w:num>
  <w:num w:numId="16" w16cid:durableId="684138277">
    <w:abstractNumId w:val="2"/>
  </w:num>
  <w:num w:numId="17" w16cid:durableId="985552988">
    <w:abstractNumId w:val="1"/>
  </w:num>
  <w:num w:numId="18" w16cid:durableId="1279876451">
    <w:abstractNumId w:val="1"/>
  </w:num>
  <w:num w:numId="19" w16cid:durableId="1325162524">
    <w:abstractNumId w:val="0"/>
  </w:num>
  <w:num w:numId="20" w16cid:durableId="405418753">
    <w:abstractNumId w:val="0"/>
  </w:num>
  <w:num w:numId="21" w16cid:durableId="1818763046">
    <w:abstractNumId w:val="9"/>
  </w:num>
  <w:num w:numId="22" w16cid:durableId="1906990885">
    <w:abstractNumId w:val="7"/>
  </w:num>
  <w:num w:numId="23" w16cid:durableId="525484674">
    <w:abstractNumId w:val="6"/>
  </w:num>
  <w:num w:numId="24" w16cid:durableId="1880627609">
    <w:abstractNumId w:val="5"/>
  </w:num>
  <w:num w:numId="25" w16cid:durableId="1352687132">
    <w:abstractNumId w:val="4"/>
  </w:num>
  <w:num w:numId="26" w16cid:durableId="713700636">
    <w:abstractNumId w:val="8"/>
  </w:num>
  <w:num w:numId="27" w16cid:durableId="1910995863">
    <w:abstractNumId w:val="3"/>
  </w:num>
  <w:num w:numId="28" w16cid:durableId="719013805">
    <w:abstractNumId w:val="2"/>
  </w:num>
  <w:num w:numId="29" w16cid:durableId="854423462">
    <w:abstractNumId w:val="1"/>
  </w:num>
  <w:num w:numId="30" w16cid:durableId="1796098243">
    <w:abstractNumId w:val="0"/>
  </w:num>
  <w:num w:numId="31" w16cid:durableId="1492328177">
    <w:abstractNumId w:val="9"/>
  </w:num>
  <w:num w:numId="32" w16cid:durableId="500320973">
    <w:abstractNumId w:val="7"/>
  </w:num>
  <w:num w:numId="33" w16cid:durableId="1940065029">
    <w:abstractNumId w:val="6"/>
  </w:num>
  <w:num w:numId="34" w16cid:durableId="2137025071">
    <w:abstractNumId w:val="5"/>
  </w:num>
  <w:num w:numId="35" w16cid:durableId="1636327657">
    <w:abstractNumId w:val="4"/>
  </w:num>
  <w:num w:numId="36" w16cid:durableId="1123647183">
    <w:abstractNumId w:val="8"/>
  </w:num>
  <w:num w:numId="37" w16cid:durableId="1022978146">
    <w:abstractNumId w:val="3"/>
  </w:num>
  <w:num w:numId="38" w16cid:durableId="429274426">
    <w:abstractNumId w:val="2"/>
  </w:num>
  <w:num w:numId="39" w16cid:durableId="1691301564">
    <w:abstractNumId w:val="1"/>
  </w:num>
  <w:num w:numId="40" w16cid:durableId="241452176">
    <w:abstractNumId w:val="0"/>
  </w:num>
  <w:num w:numId="41" w16cid:durableId="1758091501">
    <w:abstractNumId w:val="10"/>
  </w:num>
  <w:num w:numId="42" w16cid:durableId="889615936">
    <w:abstractNumId w:val="10"/>
  </w:num>
  <w:num w:numId="43" w16cid:durableId="365184054">
    <w:abstractNumId w:val="10"/>
  </w:num>
  <w:num w:numId="44" w16cid:durableId="2957948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85/2026"/>
    <w:docVar w:name="dvlangue" w:val="PL"/>
    <w:docVar w:name="dvnumam" w:val="0"/>
    <w:docVar w:name="dvpe" w:val="779.388"/>
    <w:docVar w:name="dvtitre" w:val="Rezolucja Parlamentu Europejskiego z dnia  2026 r. w sprawie ochrony unijnych przedsiębiorstw, miejsc pracy i produktów przed nieuczciwą konkurencją z państw trzecich(2025/2955(RSP))"/>
  </w:docVars>
  <w:rsids>
    <w:rsidRoot w:val="002E4AF6"/>
    <w:rsid w:val="00002272"/>
    <w:rsid w:val="00064002"/>
    <w:rsid w:val="000677B9"/>
    <w:rsid w:val="000831BA"/>
    <w:rsid w:val="000A42CC"/>
    <w:rsid w:val="000E7DD9"/>
    <w:rsid w:val="0010095E"/>
    <w:rsid w:val="00111CB0"/>
    <w:rsid w:val="001139FE"/>
    <w:rsid w:val="00125B37"/>
    <w:rsid w:val="00187494"/>
    <w:rsid w:val="001F32AE"/>
    <w:rsid w:val="002767FF"/>
    <w:rsid w:val="002A7392"/>
    <w:rsid w:val="002B18FE"/>
    <w:rsid w:val="002B5493"/>
    <w:rsid w:val="002E4AF6"/>
    <w:rsid w:val="00325EEE"/>
    <w:rsid w:val="00343214"/>
    <w:rsid w:val="00361C00"/>
    <w:rsid w:val="0037011D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5FA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0163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51A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C2715C"/>
  <w15:chartTrackingRefBased/>
  <w15:docId w15:val="{953010A3-318B-43AC-A55B-A11480098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7011D"/>
    <w:pPr>
      <w:spacing w:before="480" w:after="240"/>
    </w:pPr>
  </w:style>
  <w:style w:type="paragraph" w:customStyle="1" w:styleId="NormalHanging12a">
    <w:name w:val="NormalHanging12a"/>
    <w:basedOn w:val="Normal"/>
    <w:rsid w:val="0037011D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37011D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3701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24/825/oj" TargetMode="External"/><Relationship Id="rId3" Type="http://schemas.openxmlformats.org/officeDocument/2006/relationships/hyperlink" Target="http://data.europa.eu/eli/reg/2022/2065/oj" TargetMode="External"/><Relationship Id="rId7" Type="http://schemas.openxmlformats.org/officeDocument/2006/relationships/hyperlink" Target="http://data.europa.eu/eli/reg/2024/3015/oj" TargetMode="External"/><Relationship Id="rId2" Type="http://schemas.openxmlformats.org/officeDocument/2006/relationships/hyperlink" Target="http://data.europa.eu/eli/reg_impl/2025/512/oj" TargetMode="External"/><Relationship Id="rId1" Type="http://schemas.openxmlformats.org/officeDocument/2006/relationships/hyperlink" Target="http://data.europa.eu/eli/reg/2013/952/oj" TargetMode="External"/><Relationship Id="rId6" Type="http://schemas.openxmlformats.org/officeDocument/2006/relationships/hyperlink" Target="http://data.europa.eu/eli/reg/2008/765/oj" TargetMode="External"/><Relationship Id="rId5" Type="http://schemas.openxmlformats.org/officeDocument/2006/relationships/hyperlink" Target="http://data.europa.eu/eli/reg/2019/1020/oj" TargetMode="External"/><Relationship Id="rId4" Type="http://schemas.openxmlformats.org/officeDocument/2006/relationships/hyperlink" Target="http://data.europa.eu/eli/reg/2023/98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2690</Words>
  <Characters>18341</Characters>
  <Application>Microsoft Office Word</Application>
  <DocSecurity>0</DocSecurity>
  <Lines>286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KLIMKOWSKI Andrzej</cp:lastModifiedBy>
  <cp:revision>3</cp:revision>
  <cp:lastPrinted>2004-11-19T15:42:00Z</cp:lastPrinted>
  <dcterms:created xsi:type="dcterms:W3CDTF">2026-04-29T13:26:00Z</dcterms:created>
  <dcterms:modified xsi:type="dcterms:W3CDTF">2026-06-05T08:24:00Z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B10-0185/2026</vt:lpwstr>
  </property>
  <property fmtid="{D5CDD505-2E9C-101B-9397-08002B2CF9AE}" pid="4" name="&lt;Type&gt;">
    <vt:lpwstr>RR</vt:lpwstr>
  </property>
</Properties>
</file>