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01CA" w14:paraId="6A47D3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E3DD85" w14:textId="7C8861D9" w:rsidR="00751A4A" w:rsidRPr="00B201CA" w:rsidRDefault="00415B4A" w:rsidP="0010095E">
            <w:pPr>
              <w:pStyle w:val="EPName"/>
            </w:pPr>
            <w:r w:rsidRPr="00B201CA">
              <w:t>Európsky parlament</w:t>
            </w:r>
          </w:p>
          <w:p w14:paraId="45B6022B" w14:textId="77777777" w:rsidR="00751A4A" w:rsidRPr="00B201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01CA">
              <w:t>2024</w:t>
            </w:r>
            <w:r w:rsidR="00817416" w:rsidRPr="00B201CA">
              <w:t>-202</w:t>
            </w:r>
            <w:r w:rsidRPr="00B201CA">
              <w:t>9</w:t>
            </w:r>
          </w:p>
        </w:tc>
        <w:tc>
          <w:tcPr>
            <w:tcW w:w="2268" w:type="dxa"/>
            <w:shd w:val="clear" w:color="auto" w:fill="auto"/>
          </w:tcPr>
          <w:p w14:paraId="727E1711" w14:textId="77777777" w:rsidR="00751A4A" w:rsidRPr="00B201CA" w:rsidRDefault="00187494" w:rsidP="0010095E">
            <w:pPr>
              <w:pStyle w:val="EPLogo"/>
            </w:pPr>
            <w:r w:rsidRPr="00B201CA">
              <w:rPr>
                <w:noProof/>
                <w:lang w:eastAsia="ja-JP"/>
              </w:rPr>
              <w:drawing>
                <wp:inline distT="0" distB="0" distL="0" distR="0" wp14:anchorId="70D6769C" wp14:editId="6E911F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C28E7" w14:textId="77777777" w:rsidR="00D058B8" w:rsidRPr="00B201CA" w:rsidRDefault="00D058B8" w:rsidP="004C5D52">
      <w:pPr>
        <w:pStyle w:val="LineTop"/>
      </w:pPr>
    </w:p>
    <w:p w14:paraId="163A066E" w14:textId="13E98F4B" w:rsidR="00680577" w:rsidRPr="00B201CA" w:rsidRDefault="00415B4A" w:rsidP="00680577">
      <w:pPr>
        <w:pStyle w:val="EPBodyTA1"/>
      </w:pPr>
      <w:r w:rsidRPr="00B201CA">
        <w:t>PRIJATÉ TEXTY</w:t>
      </w:r>
    </w:p>
    <w:p w14:paraId="4B155BA3" w14:textId="77777777" w:rsidR="00D058B8" w:rsidRPr="00B201CA" w:rsidRDefault="00D058B8" w:rsidP="00D058B8">
      <w:pPr>
        <w:pStyle w:val="LineBottom"/>
      </w:pPr>
    </w:p>
    <w:p w14:paraId="417F80EE" w14:textId="4B4CC92F" w:rsidR="00415B4A" w:rsidRPr="00B201CA" w:rsidRDefault="00415B4A" w:rsidP="00415B4A">
      <w:pPr>
        <w:pStyle w:val="ATHeading1"/>
      </w:pPr>
      <w:bookmarkStart w:id="0" w:name="TANumber"/>
      <w:r w:rsidRPr="00B201CA">
        <w:t>P10_TA(2026)0</w:t>
      </w:r>
      <w:r w:rsidR="00B201CA" w:rsidRPr="00B201CA">
        <w:t>149</w:t>
      </w:r>
      <w:bookmarkEnd w:id="0"/>
    </w:p>
    <w:p w14:paraId="5996544C" w14:textId="77777777" w:rsidR="00415B4A" w:rsidRPr="00B201CA" w:rsidRDefault="00415B4A" w:rsidP="00415B4A">
      <w:pPr>
        <w:pStyle w:val="ATHeading2"/>
      </w:pPr>
      <w:bookmarkStart w:id="1" w:name="title"/>
      <w:r w:rsidRPr="00B201CA">
        <w:t>Ochrana spoločností, pracovných miest a výrobkov EÚ pred nekalou hospodárskou súťažou z tretích krajín</w:t>
      </w:r>
      <w:bookmarkEnd w:id="1"/>
    </w:p>
    <w:p w14:paraId="44F998B1" w14:textId="77777777" w:rsidR="00415B4A" w:rsidRPr="00B201CA" w:rsidRDefault="00415B4A" w:rsidP="00415B4A">
      <w:pPr>
        <w:rPr>
          <w:i/>
          <w:vanish/>
        </w:rPr>
      </w:pPr>
      <w:r w:rsidRPr="00B201CA">
        <w:rPr>
          <w:i/>
        </w:rPr>
        <w:fldChar w:fldCharType="begin"/>
      </w:r>
      <w:r w:rsidRPr="00B201CA">
        <w:rPr>
          <w:i/>
        </w:rPr>
        <w:instrText xml:space="preserve"> TC"(</w:instrText>
      </w:r>
      <w:bookmarkStart w:id="2" w:name="DocNumber"/>
      <w:r w:rsidRPr="00B201CA">
        <w:rPr>
          <w:i/>
        </w:rPr>
        <w:instrText>B10-0185/2026</w:instrText>
      </w:r>
      <w:bookmarkEnd w:id="2"/>
      <w:r w:rsidRPr="00B201CA">
        <w:rPr>
          <w:i/>
        </w:rPr>
        <w:instrText xml:space="preserve">)"\l3 \n&gt; \* MERGEFORMAT </w:instrText>
      </w:r>
      <w:r w:rsidRPr="00B201CA">
        <w:rPr>
          <w:i/>
        </w:rPr>
        <w:fldChar w:fldCharType="end"/>
      </w:r>
    </w:p>
    <w:p w14:paraId="12E9B5B5" w14:textId="77777777" w:rsidR="00415B4A" w:rsidRPr="00B201CA" w:rsidRDefault="00415B4A" w:rsidP="00415B4A">
      <w:pPr>
        <w:rPr>
          <w:vanish/>
        </w:rPr>
      </w:pPr>
      <w:bookmarkStart w:id="3" w:name="PE"/>
      <w:r w:rsidRPr="00B201CA">
        <w:rPr>
          <w:vanish/>
        </w:rPr>
        <w:t>PE779.388</w:t>
      </w:r>
      <w:bookmarkEnd w:id="3"/>
    </w:p>
    <w:p w14:paraId="5238B321" w14:textId="256CBCD7" w:rsidR="00415B4A" w:rsidRPr="00B201CA" w:rsidRDefault="00415B4A" w:rsidP="00415B4A">
      <w:pPr>
        <w:pStyle w:val="ATHeading3"/>
      </w:pPr>
      <w:bookmarkStart w:id="4" w:name="Sujet"/>
      <w:r w:rsidRPr="00B201CA">
        <w:t xml:space="preserve">Uznesenie Európskeho parlamentu z </w:t>
      </w:r>
      <w:r w:rsidR="00F5642B" w:rsidRPr="00B201CA">
        <w:t>29</w:t>
      </w:r>
      <w:r w:rsidRPr="00B201CA">
        <w:t xml:space="preserve">. </w:t>
      </w:r>
      <w:r w:rsidR="00F5642B" w:rsidRPr="00B201CA">
        <w:t xml:space="preserve">apríla </w:t>
      </w:r>
      <w:r w:rsidRPr="00B201CA">
        <w:t>2026 o ochrane spoločností, pracovných miest a výrobkov v EÚ pred nekalou súťažou z krajín mimo EÚ</w:t>
      </w:r>
      <w:bookmarkEnd w:id="4"/>
      <w:r w:rsidRPr="00B201CA">
        <w:t xml:space="preserve"> </w:t>
      </w:r>
      <w:bookmarkStart w:id="5" w:name="References"/>
      <w:r w:rsidRPr="00B201CA">
        <w:t>(2025/2955(RSP))</w:t>
      </w:r>
      <w:bookmarkEnd w:id="5"/>
    </w:p>
    <w:p w14:paraId="733370FE" w14:textId="77777777" w:rsidR="004E5FA8" w:rsidRPr="00B201CA" w:rsidRDefault="004E5FA8" w:rsidP="004E5FA8">
      <w:pPr>
        <w:pStyle w:val="EPComma"/>
      </w:pPr>
      <w:bookmarkStart w:id="6" w:name="TextBodyBegin"/>
      <w:bookmarkEnd w:id="6"/>
      <w:r w:rsidRPr="00B201CA">
        <w:rPr>
          <w:i/>
        </w:rPr>
        <w:t>Európsky parlament</w:t>
      </w:r>
      <w:r w:rsidRPr="00B201CA">
        <w:t>,</w:t>
      </w:r>
    </w:p>
    <w:p w14:paraId="1782AEB8" w14:textId="77777777" w:rsidR="004E5FA8" w:rsidRPr="00B201CA" w:rsidRDefault="004E5FA8" w:rsidP="004E5FA8">
      <w:pPr>
        <w:pStyle w:val="NormalHanging12a"/>
        <w:rPr>
          <w:rFonts w:eastAsiaTheme="minorHAnsi"/>
        </w:rPr>
      </w:pPr>
      <w:r w:rsidRPr="00B201CA">
        <w:t>–</w:t>
      </w:r>
      <w:r w:rsidRPr="00B201CA">
        <w:tab/>
        <w:t>so zreteľom na petície č. 0072/2025 a 0956/2025,</w:t>
      </w:r>
    </w:p>
    <w:p w14:paraId="0B7598CC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nariadenie Európskeho parlamentu a Rady (EÚ) č. 952/2013 z 9. októbra 2013, ktorým sa ustanovuje Colný kódex Únie</w:t>
      </w:r>
      <w:r w:rsidRPr="00B201CA">
        <w:rPr>
          <w:rStyle w:val="FootnoteReference"/>
          <w:color w:val="000000"/>
        </w:rPr>
        <w:footnoteReference w:id="1"/>
      </w:r>
      <w:r w:rsidRPr="00B201CA">
        <w:t>, a na vykonávacie nariadenie Komisie (EÚ) 2025/512 z 13. marca 2025 o technických dojednaniach pre vývoj, správu a využívanie elektronických systémov na výmenu a uchovávanie informácií podľa nariadenia Európskeho parlamentu a Rady (EÚ) č. 952/2013</w:t>
      </w:r>
      <w:r w:rsidRPr="00B201CA">
        <w:rPr>
          <w:rStyle w:val="FootnoteReference"/>
          <w:color w:val="000000"/>
        </w:rPr>
        <w:footnoteReference w:id="2"/>
      </w:r>
      <w:r w:rsidRPr="00B201CA">
        <w:t>,</w:t>
      </w:r>
    </w:p>
    <w:p w14:paraId="39737651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nariadenie Európskeho parlamentu a Rady (EÚ) 2022/2065 z 19. októbra 2022 o jednotnom trhu s digitálnymi službami a o zmene smernice 2000/31/ES (akt o digitálnych službách)</w:t>
      </w:r>
      <w:r w:rsidRPr="00B201CA">
        <w:rPr>
          <w:rStyle w:val="FootnoteReference"/>
          <w:color w:val="000000"/>
        </w:rPr>
        <w:footnoteReference w:id="3"/>
      </w:r>
      <w:r w:rsidRPr="00B201CA">
        <w:t>,</w:t>
      </w:r>
    </w:p>
    <w:p w14:paraId="1D8EE1B6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nariadenie Európskeho parlamentu a Rady (EÚ) 2023/988 z 10. mája 2023 o všeobecnej bezpečnosti výrobkov, ktorým sa mení nariadenie Európskeho parlamentu a Rady (EÚ) č. 1025/2012 a smernica Európskeho parlamentu a Rady (EÚ) 2020/1828 a zrušuje smernica Európskeho parlamentu a Rady 2001/95/ES a smernica Rady 87/357/EHS</w:t>
      </w:r>
      <w:r w:rsidRPr="00B201CA">
        <w:rPr>
          <w:rStyle w:val="FootnoteReference"/>
          <w:color w:val="000000"/>
        </w:rPr>
        <w:footnoteReference w:id="4"/>
      </w:r>
      <w:r w:rsidRPr="00B201CA">
        <w:t>,</w:t>
      </w:r>
    </w:p>
    <w:p w14:paraId="0D75C642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nariadenie Európskeho parlamentu a Rady (EÚ) 2019/1020 z 20. júna 2019 o dohľade nad trhom a súlade výrobkov a o zmene smernice 2004/42/ES a nariadení (ES) č. 765/2008 a (EÚ) č. 305/2011</w:t>
      </w:r>
      <w:r w:rsidRPr="00B201CA">
        <w:rPr>
          <w:rStyle w:val="FootnoteReference"/>
          <w:color w:val="000000"/>
        </w:rPr>
        <w:footnoteReference w:id="5"/>
      </w:r>
      <w:r w:rsidRPr="00B201CA">
        <w:t>,</w:t>
      </w:r>
    </w:p>
    <w:p w14:paraId="7A437BDC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 xml:space="preserve">so zreteľom na nariadenie Európskeho parlamentu a Rady (ES) č. 765/2008 z 9. júla 2008, ktorým sa stanovujú požiadavky akreditácie a dohľadu nad trhom v súvislosti </w:t>
      </w:r>
      <w:r w:rsidRPr="00B201CA">
        <w:lastRenderedPageBreak/>
        <w:t>s uvádzaním výrobkov na trh a ktorým sa zrušuje nariadenie (EHS) č. 339/93</w:t>
      </w:r>
      <w:r w:rsidRPr="00B201CA">
        <w:rPr>
          <w:rStyle w:val="FootnoteReference"/>
          <w:color w:val="000000"/>
        </w:rPr>
        <w:footnoteReference w:id="6"/>
      </w:r>
      <w:r w:rsidRPr="00B201CA">
        <w:t>,</w:t>
      </w:r>
    </w:p>
    <w:p w14:paraId="09F3955F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nariadenie Európskeho parlamentu a Rady (EÚ) 2024/3015 z 27. novembra 2024 o zákaze výrobkov vyrobených s využitím nútenej práce na trhu Únie a o zmene smernice (EÚ) 2019/1937</w:t>
      </w:r>
      <w:r w:rsidRPr="00B201CA">
        <w:rPr>
          <w:rStyle w:val="FootnoteReference"/>
          <w:color w:val="000000"/>
        </w:rPr>
        <w:footnoteReference w:id="7"/>
      </w:r>
      <w:r w:rsidRPr="00B201CA">
        <w:t>,</w:t>
      </w:r>
    </w:p>
    <w:p w14:paraId="60B60718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oznámenie Komisie z 5. februára 2025 s názvom Komplexný súbor nástrojov EÚ pre bezpečný a udržateľný elektronický obchod (COM(2025)0037),</w:t>
      </w:r>
    </w:p>
    <w:p w14:paraId="423B1CA7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svoje uznesenie z 9. júla 2025 o bezpečnosti výrobkov a dodržiavaní predpisov v elektronickom obchode a pri dovoze z krajín mimo EÚ</w:t>
      </w:r>
      <w:r w:rsidRPr="00B201CA">
        <w:rPr>
          <w:rStyle w:val="FootnoteReference"/>
          <w:color w:val="000000"/>
        </w:rPr>
        <w:footnoteReference w:id="8"/>
      </w:r>
      <w:r w:rsidRPr="00B201CA">
        <w:t>,</w:t>
      </w:r>
    </w:p>
    <w:p w14:paraId="70C712F3" w14:textId="77777777" w:rsidR="004E5FA8" w:rsidRPr="00B201CA" w:rsidRDefault="004E5FA8" w:rsidP="004E5FA8">
      <w:pPr>
        <w:pStyle w:val="NormalHanging12a"/>
      </w:pPr>
      <w:r w:rsidRPr="00B201CA">
        <w:t>–</w:t>
      </w:r>
      <w:r w:rsidRPr="00B201CA">
        <w:tab/>
        <w:t>so zreteľom na článok 233 ods. 2 rokovacieho poriadku,</w:t>
      </w:r>
    </w:p>
    <w:p w14:paraId="202EDDC7" w14:textId="77777777" w:rsidR="004E5FA8" w:rsidRPr="00B201CA" w:rsidRDefault="004E5FA8" w:rsidP="004E5FA8">
      <w:pPr>
        <w:pStyle w:val="NormalHanging12a"/>
      </w:pPr>
      <w:r w:rsidRPr="00B201CA">
        <w:t>A.</w:t>
      </w:r>
      <w:r w:rsidRPr="00B201CA">
        <w:rPr>
          <w:i/>
        </w:rPr>
        <w:tab/>
      </w:r>
      <w:r w:rsidRPr="00B201CA">
        <w:t>keďže nekalá hospodárska súťaž zo strany dovozu uvádzaného na trh EÚ môže vzniknúť, ak sa výrobky predávajú za umelo nízke ceny v dôsledku dumpingu, subvencií narúšajúcich obchod, štrukturálnej nadmernej kapacity, regulačných asymetrií vrátane nižších environmentálnych noriem, noriem udržateľnosti a pracovných noriem, zavádzajúcich obchodných praktík alebo obchádzania platných zdravotných a bezpečnostných noriem; keďže takéto praktiky sú v rozpore so záväzkom EÚ k spravodlivému a udržateľnému globálnemu obchodnému systému, oslabujú výrobcov z EÚ pôsobiacich na základe prísnych regulačných požiadaviek a požiadaviek na udržateľnosť a môžu spôsobiť značné hospodárske škody strategickým priemyselným ekosystémom na vnútornom trhu a zároveň negatívne ovplyvniť spotrebiteľov;</w:t>
      </w:r>
    </w:p>
    <w:p w14:paraId="40FEEB8B" w14:textId="77777777" w:rsidR="004E5FA8" w:rsidRPr="00B201CA" w:rsidRDefault="004E5FA8" w:rsidP="004E5FA8">
      <w:pPr>
        <w:pStyle w:val="NormalHanging12a"/>
      </w:pPr>
      <w:r w:rsidRPr="00B201CA">
        <w:t>B.</w:t>
      </w:r>
      <w:r w:rsidRPr="00B201CA">
        <w:tab/>
        <w:t>keďže v dôsledku nedávnych narušení celosvetového obchodného systému hrozí, že nadmerná výroba sa presmeruje na trh EÚ a narušia sa podmienky hospodárskej súťaže;</w:t>
      </w:r>
    </w:p>
    <w:p w14:paraId="0E9EFB95" w14:textId="77777777" w:rsidR="004E5FA8" w:rsidRPr="00B201CA" w:rsidRDefault="004E5FA8" w:rsidP="004E5FA8">
      <w:pPr>
        <w:pStyle w:val="NormalHanging12a"/>
      </w:pPr>
      <w:r w:rsidRPr="00B201CA">
        <w:t>C.</w:t>
      </w:r>
      <w:r w:rsidRPr="00B201CA">
        <w:tab/>
        <w:t>keďže hrozí, že štátne dotácie a nadmerná priemyselná kapacita v Číne v odvetviach, ako je oceliarstvo, elektronika a solárne panely, povedú k nižším cenám, než sú schopné ponúknuť firmy z EÚ, čo výrobcov z EÚ dostane do ešte zložitejšej situácie z hľadiska cenovej konkurencie; keďže, ako sa uvádza v </w:t>
      </w:r>
      <w:proofErr w:type="spellStart"/>
      <w:r w:rsidRPr="00B201CA">
        <w:t>Draghiho</w:t>
      </w:r>
      <w:proofErr w:type="spellEnd"/>
      <w:r w:rsidRPr="00B201CA">
        <w:t xml:space="preserve"> správe</w:t>
      </w:r>
      <w:r w:rsidRPr="00B201CA">
        <w:rPr>
          <w:rStyle w:val="FootnoteReference"/>
          <w:color w:val="000000"/>
        </w:rPr>
        <w:footnoteReference w:id="9"/>
      </w:r>
      <w:r w:rsidRPr="00B201CA">
        <w:t xml:space="preserve">, Čína už dominuje svetovému vývozu čistých technológií a očakáva sa, že v budúcnosti si zachová značnú nadmernú kapacitu v oblasti solárnej </w:t>
      </w:r>
      <w:proofErr w:type="spellStart"/>
      <w:r w:rsidRPr="00B201CA">
        <w:t>fotovoltiky</w:t>
      </w:r>
      <w:proofErr w:type="spellEnd"/>
      <w:r w:rsidRPr="00B201CA">
        <w:t>, batériových článkov a elektrických vozidiel, čo je čiastočne spôsobené štátnymi dotáciami, ktoré sú štyrikrát vyššie ako v iných veľkých ekonomikách, a nízkymi výrobnými nákladmi;</w:t>
      </w:r>
    </w:p>
    <w:p w14:paraId="04262C91" w14:textId="77777777" w:rsidR="004E5FA8" w:rsidRPr="00B201CA" w:rsidRDefault="004E5FA8" w:rsidP="004E5FA8">
      <w:pPr>
        <w:pStyle w:val="NormalHanging12a"/>
      </w:pPr>
      <w:r w:rsidRPr="00B201CA">
        <w:t>D.</w:t>
      </w:r>
      <w:r w:rsidRPr="00B201CA">
        <w:tab/>
        <w:t>keďže Komisia už má k dispozícii celý rad nástrojov na ochranu obchodu vrátane ochranných opatrení, ktoré jej umožňujú chrániť pracovné miesta a spoločnosti v EÚ v prípadoch nekalej súťaže, narušenia trhu alebo dumpingu; keďže EÚ uplatňuje tieto opatrenia najmä na čínske elektrické vozidlá po zistení nespravodlivého štátneho subvencovania;</w:t>
      </w:r>
    </w:p>
    <w:p w14:paraId="47887B4F" w14:textId="77777777" w:rsidR="004E5FA8" w:rsidRPr="00B201CA" w:rsidRDefault="004E5FA8" w:rsidP="004E5FA8">
      <w:pPr>
        <w:pStyle w:val="NormalHanging12a"/>
      </w:pPr>
      <w:r w:rsidRPr="00B201CA">
        <w:t>E.</w:t>
      </w:r>
      <w:r w:rsidRPr="00B201CA">
        <w:tab/>
        <w:t xml:space="preserve">keďže niektoré online platformy z krajín mimo EÚ na trhu EÚ rýchlo expandujú, pričom v určitých prípadoch využívajú štátnu podporu, ponúkajú tovar za veľmi nízke ceny, ktorými podhodnocujú ceny podnikov v EÚ, najmä malých a stredných podnikov </w:t>
      </w:r>
      <w:r w:rsidRPr="00B201CA">
        <w:lastRenderedPageBreak/>
        <w:t>(MSP), a zároveň uvádzajú na trh značné množstvo výrobkov, ktoré nespĺňajú bezpečnostné, environmentálne a chemické normy EÚ, čím predstavujú riziko pre spotrebiteľov a spôsobujú hospodárske škody;</w:t>
      </w:r>
    </w:p>
    <w:p w14:paraId="59EF6E39" w14:textId="24275D3D" w:rsidR="004E5FA8" w:rsidRPr="00B201CA" w:rsidRDefault="004E5FA8" w:rsidP="004E5FA8">
      <w:pPr>
        <w:pStyle w:val="NormalHanging12a"/>
        <w:rPr>
          <w:bCs/>
        </w:rPr>
      </w:pPr>
      <w:r w:rsidRPr="00B201CA">
        <w:rPr>
          <w:rStyle w:val="Strong"/>
          <w:b w:val="0"/>
          <w:bCs w:val="0"/>
          <w:color w:val="000000"/>
        </w:rPr>
        <w:t>F</w:t>
      </w:r>
      <w:r w:rsidR="00F47375">
        <w:rPr>
          <w:rStyle w:val="Strong"/>
          <w:b w:val="0"/>
          <w:bCs w:val="0"/>
          <w:color w:val="000000"/>
        </w:rPr>
        <w:t>.</w:t>
      </w:r>
      <w:r w:rsidRPr="00B201CA">
        <w:rPr>
          <w:rStyle w:val="Strong"/>
          <w:b w:val="0"/>
          <w:bCs w:val="0"/>
          <w:color w:val="000000"/>
        </w:rPr>
        <w:tab/>
        <w:t xml:space="preserve">keďže takáto nekalá súťaž je často spojená s nižšími pracovnými normami, slabou ochranou životného prostredia a porušovaním práv pracovníkov, čo je v rozpore so záväzkom EÚ k spravodlivému a udržateľnému obchodu a narušuje konkurencieschopnosť a odolnosť inovatívnych </w:t>
      </w:r>
      <w:proofErr w:type="spellStart"/>
      <w:r w:rsidRPr="00B201CA">
        <w:rPr>
          <w:rStyle w:val="Strong"/>
          <w:b w:val="0"/>
          <w:bCs w:val="0"/>
          <w:color w:val="000000"/>
        </w:rPr>
        <w:t>mikropodnikov</w:t>
      </w:r>
      <w:proofErr w:type="spellEnd"/>
      <w:r w:rsidRPr="00B201CA">
        <w:rPr>
          <w:rStyle w:val="Strong"/>
          <w:b w:val="0"/>
          <w:bCs w:val="0"/>
          <w:color w:val="000000"/>
        </w:rPr>
        <w:t>, malých a stredných podnikov (MMSP) v EÚ, ktoré dodržiavajú pravidlá EÚ</w:t>
      </w:r>
      <w:r w:rsidRPr="00B201CA">
        <w:rPr>
          <w:bCs/>
        </w:rPr>
        <w:t>;</w:t>
      </w:r>
    </w:p>
    <w:p w14:paraId="51646975" w14:textId="77777777" w:rsidR="004E5FA8" w:rsidRPr="00B201CA" w:rsidRDefault="004E5FA8" w:rsidP="004E5FA8">
      <w:pPr>
        <w:pStyle w:val="NormalHanging12a"/>
      </w:pPr>
      <w:r w:rsidRPr="00B201CA">
        <w:t>G.</w:t>
      </w:r>
      <w:r w:rsidRPr="00B201CA">
        <w:tab/>
        <w:t>keďže prudký nárast dovozu tovaru s nízkou hodnotou v rámci elektronického obchodu, ktorý je umožnený najmä oslobodením od cla v prípade zásielok s hodnotou nižšou ako 150 EUR a pochádza prevažne z Číny, vytvára značný tlak na colné orgány a orgány dohľadu nad trhom, čím obmedzuje ich schopnosť účinne presadzovať pravidlá EÚ týkajúce sa online predaja;</w:t>
      </w:r>
    </w:p>
    <w:p w14:paraId="142E84CC" w14:textId="77777777" w:rsidR="004E5FA8" w:rsidRPr="00B201CA" w:rsidRDefault="004E5FA8" w:rsidP="004E5FA8">
      <w:pPr>
        <w:pStyle w:val="NormalHanging12a"/>
      </w:pPr>
      <w:r w:rsidRPr="00B201CA">
        <w:t>H.</w:t>
      </w:r>
      <w:r w:rsidRPr="00B201CA">
        <w:tab/>
        <w:t>keďže čoraz väčší objem tovaru dovážaného do EÚ prostredníctvom kanálov elektronického obchodu nespĺňa bezpečnostné, environmentálne alebo pracovné normy EÚ, čo spotrebiteľov, najmä zraniteľných používateľov a maloleté osoby, vystavuje nebezpečným alebo falšovaným výrobkom, spôsobuje hospodárske škody, narúša spravodlivú hospodársku súťaž a oslabuje dôveru v jednotný trh, a to najmä na úkor podnikov v EÚ, ktoré dodržiavajú predpisy, predovšetkým MSP investujúcich do kvality, bezpečnosti a udržateľnosti;</w:t>
      </w:r>
    </w:p>
    <w:p w14:paraId="57A95109" w14:textId="77777777" w:rsidR="004E5FA8" w:rsidRPr="00B201CA" w:rsidRDefault="004E5FA8" w:rsidP="004E5FA8">
      <w:pPr>
        <w:pStyle w:val="NormalHanging12a"/>
      </w:pPr>
      <w:r w:rsidRPr="00B201CA">
        <w:t>I.</w:t>
      </w:r>
      <w:r w:rsidRPr="00B201CA">
        <w:tab/>
        <w:t>keďže niektorí predajcovia z krajín mimo EÚ obchádzajú regulačné a administratívne požiadavky pri predaji spotrebiteľom v EÚ, čím vytvárajú nerovnaké podmienky, ktoré negatívne ovplyvňujú podniky EÚ, najmä MSP a spoločnosti so strednou trhovou kapitalizáciou, čo má vplyv na ich konkurencieschopnosť a rastovú kapacitu, predovšetkým ak sa rovnaké povinnosti účinne nepresadzujú na dovážané výrobky;</w:t>
      </w:r>
    </w:p>
    <w:p w14:paraId="1596B8B0" w14:textId="77777777" w:rsidR="004E5FA8" w:rsidRPr="00B201CA" w:rsidRDefault="004E5FA8" w:rsidP="004E5FA8">
      <w:pPr>
        <w:pStyle w:val="NormalHanging12a"/>
      </w:pPr>
      <w:r w:rsidRPr="00B201CA">
        <w:rPr>
          <w:rStyle w:val="Strong"/>
          <w:b w:val="0"/>
          <w:bCs w:val="0"/>
          <w:color w:val="000000"/>
        </w:rPr>
        <w:t>J.</w:t>
      </w:r>
      <w:r w:rsidRPr="00B201CA">
        <w:rPr>
          <w:rStyle w:val="Strong"/>
          <w:b w:val="0"/>
          <w:bCs w:val="0"/>
          <w:color w:val="000000"/>
        </w:rPr>
        <w:tab/>
      </w:r>
      <w:r w:rsidRPr="00B201CA">
        <w:t>keďže v </w:t>
      </w:r>
      <w:proofErr w:type="spellStart"/>
      <w:r w:rsidRPr="00B201CA">
        <w:t>Draghiho</w:t>
      </w:r>
      <w:proofErr w:type="spellEnd"/>
      <w:r w:rsidRPr="00B201CA">
        <w:t xml:space="preserve"> správe sa zdôrazňuje, že spoločnosti z EÚ čelia v porovnaní s konkurentmi v Číne a Spojených štátoch zbytočnej regulačnej zložitosti, a byrokracia EÚ sa označuje ako zaťažujúca a stále rastúca; keďže viac ako 60 % spoločností v EÚ považuje oznamovacie povinnosti za prekážku pri investovaní a 55 % MSP považuje regulačné prekážky a administratívnu záťaž za svoj najväčší problém; keďže EÚ chýba kvantitatívny rámec na analýzu nákladov a prínosov nových právnych predpisov;</w:t>
      </w:r>
    </w:p>
    <w:p w14:paraId="5237F96D" w14:textId="77777777" w:rsidR="004E5FA8" w:rsidRPr="00B201CA" w:rsidRDefault="004E5FA8" w:rsidP="004E5FA8">
      <w:pPr>
        <w:pStyle w:val="NormalHanging12a"/>
        <w:rPr>
          <w:b/>
        </w:rPr>
      </w:pPr>
      <w:r w:rsidRPr="00B201CA">
        <w:rPr>
          <w:rStyle w:val="Strong"/>
          <w:b w:val="0"/>
          <w:bCs w:val="0"/>
          <w:color w:val="000000"/>
        </w:rPr>
        <w:t>K.</w:t>
      </w:r>
      <w:r w:rsidRPr="00B201CA">
        <w:rPr>
          <w:rStyle w:val="Strong"/>
          <w:b w:val="0"/>
          <w:bCs w:val="0"/>
          <w:color w:val="000000"/>
        </w:rPr>
        <w:tab/>
        <w:t>keďže nedostatočná transparentnosť, pokiaľ ide o pôvod výrobkov vstupujúcich na vnútorný trh, oslabuje informovaný výber spotrebiteľov a spravodlivú hospodársku súťaž a keďže v súčasnosti neexistuje povinné označovanie pôvodu nepotravinových výrobkov dovážaných do EÚ</w:t>
      </w:r>
      <w:r w:rsidRPr="00B201CA">
        <w:rPr>
          <w:b/>
        </w:rPr>
        <w:t>;</w:t>
      </w:r>
    </w:p>
    <w:p w14:paraId="48689AFF" w14:textId="77777777" w:rsidR="004E5FA8" w:rsidRPr="00B201CA" w:rsidRDefault="004E5FA8" w:rsidP="004E5FA8">
      <w:pPr>
        <w:pStyle w:val="NormalHanging12a"/>
      </w:pPr>
      <w:r w:rsidRPr="00B201CA">
        <w:t>L.</w:t>
      </w:r>
      <w:r w:rsidRPr="00B201CA">
        <w:tab/>
        <w:t>keďže spotrebiteľom, najmä tým zraniteľným alebo prvýkrát nakupujúcim online, ktorým nie sú poskytnuté jasné a spoľahlivé informácie o pôvode výrobku, zhode a zodpovednom hospodárskom subjekte, hrozí, že budú vystavení zavádzajúcim praktikám predajcov z krajín mimo EÚ;</w:t>
      </w:r>
    </w:p>
    <w:p w14:paraId="700EFEA7" w14:textId="77777777" w:rsidR="004E5FA8" w:rsidRPr="00B201CA" w:rsidRDefault="004E5FA8" w:rsidP="004E5FA8">
      <w:pPr>
        <w:pStyle w:val="NormalHanging12a"/>
      </w:pPr>
      <w:r w:rsidRPr="00B201CA">
        <w:t>M.</w:t>
      </w:r>
      <w:r w:rsidRPr="00B201CA">
        <w:tab/>
        <w:t xml:space="preserve">keďže poľnohospodári v EÚ sú často vystavení konkurencii poľnohospodárskych výrobkov dovážaných z krajín mimo EÚ, v ktorých neexistujú rovnocenné environmentálne, </w:t>
      </w:r>
      <w:proofErr w:type="spellStart"/>
      <w:r w:rsidRPr="00B201CA">
        <w:t>fytosanitárne</w:t>
      </w:r>
      <w:proofErr w:type="spellEnd"/>
      <w:r w:rsidRPr="00B201CA">
        <w:t xml:space="preserve"> alebo pracovné normy alebo dostatočná </w:t>
      </w:r>
      <w:proofErr w:type="spellStart"/>
      <w:r w:rsidRPr="00B201CA">
        <w:t>vysledovateľnosť</w:t>
      </w:r>
      <w:proofErr w:type="spellEnd"/>
      <w:r w:rsidRPr="00B201CA">
        <w:t xml:space="preserve">; keďže to predstavuje potenciálne riziká pre verejné zdravie a zdravie </w:t>
      </w:r>
      <w:r w:rsidRPr="00B201CA">
        <w:lastRenderedPageBreak/>
        <w:t>rastlín a zvierat, a to aj v dôsledku šírenia škodcov a chorôb; keďže takéto praktiky narúšajú spravodlivú hospodársku súťaž a priamo ohrozujú zamestnanosť v poľnohospodárstve, potravinovú bezpečnosť a životaschopnosť vidieckych ekonomík v EÚ;</w:t>
      </w:r>
    </w:p>
    <w:p w14:paraId="0A4C3A97" w14:textId="77777777" w:rsidR="004E5FA8" w:rsidRPr="00B201CA" w:rsidRDefault="004E5FA8" w:rsidP="004E5FA8">
      <w:pPr>
        <w:pStyle w:val="NormalHanging12a"/>
        <w:rPr>
          <w:b/>
        </w:rPr>
      </w:pPr>
      <w:r w:rsidRPr="00B201CA">
        <w:rPr>
          <w:rStyle w:val="Strong"/>
          <w:b w:val="0"/>
          <w:bCs w:val="0"/>
          <w:color w:val="000000"/>
        </w:rPr>
        <w:t>N.</w:t>
      </w:r>
      <w:r w:rsidRPr="00B201CA">
        <w:rPr>
          <w:rStyle w:val="Strong"/>
          <w:b w:val="0"/>
          <w:bCs w:val="0"/>
          <w:color w:val="000000"/>
        </w:rPr>
        <w:tab/>
        <w:t>keďže EÚ začala riešiť nekalú súťaž a regulačné nedostatky v oblasti elektronického obchodu právnymi predpismi, ktoré sa týkajú digitálnych platforiem, bezpečnosti výrobkov, dohľadu nad trhom a colnej reformy</w:t>
      </w:r>
      <w:r w:rsidRPr="00B201CA">
        <w:rPr>
          <w:b/>
        </w:rPr>
        <w:t xml:space="preserve">; </w:t>
      </w:r>
      <w:r w:rsidRPr="00B201CA">
        <w:rPr>
          <w:rStyle w:val="Strong"/>
          <w:b w:val="0"/>
          <w:bCs w:val="0"/>
          <w:color w:val="000000"/>
        </w:rPr>
        <w:t>keďže účinné vykonávanie týchto opatrení je nevyhnutné na ochranu konkurencieschopnosti a pracovných miest v EÚ;</w:t>
      </w:r>
    </w:p>
    <w:p w14:paraId="29707851" w14:textId="77777777" w:rsidR="004E5FA8" w:rsidRPr="00B201CA" w:rsidRDefault="004E5FA8" w:rsidP="004E5FA8">
      <w:pPr>
        <w:pStyle w:val="NormalHanging12a"/>
        <w:rPr>
          <w:bCs/>
        </w:rPr>
      </w:pPr>
      <w:r w:rsidRPr="00B201CA">
        <w:t>O.</w:t>
      </w:r>
      <w:r w:rsidRPr="00B201CA">
        <w:tab/>
        <w:t>keďže smernica (EÚ) 2024/825 o posilnení postavenia spotrebiteľov v rámci zelenej transformácie</w:t>
      </w:r>
      <w:r w:rsidRPr="00B201CA">
        <w:rPr>
          <w:rStyle w:val="FootnoteReference"/>
          <w:rFonts w:eastAsiaTheme="minorHAnsi"/>
          <w:color w:val="000000"/>
          <w:szCs w:val="24"/>
          <w:lang w:eastAsia="en-US"/>
        </w:rPr>
        <w:footnoteReference w:id="10"/>
      </w:r>
      <w:r w:rsidRPr="00B201CA">
        <w:t xml:space="preserve"> posilňuje ochranu pred nekalými obchodnými praktikami a zlepšuje informácie o aspektoch udržateľnosti, ako sú vplyvy na životné prostredie, spotreba energie a opraviteľnosť a životnosť výrobkov vrátane výrobkov predávaných prostredníctvom online trhov, a jej rýchle a konzistentné vykonávanie je nevyhnutné na zabezpečenie informovaného výberu pre spotrebiteľov a spravodlivej hospodárskej súťaže;</w:t>
      </w:r>
    </w:p>
    <w:p w14:paraId="5AC47D83" w14:textId="77777777" w:rsidR="004E5FA8" w:rsidRPr="00B201CA" w:rsidRDefault="004E5FA8" w:rsidP="004E5FA8">
      <w:pPr>
        <w:pStyle w:val="NormalHanging12a"/>
      </w:pPr>
      <w:r w:rsidRPr="00B201CA">
        <w:t>1.</w:t>
      </w:r>
      <w:r w:rsidRPr="00B201CA">
        <w:tab/>
        <w:t>vyjadruje poľutovanie nad tým, že nekalá súťaž zo strany podnikov z krajín mimo EÚ, v niektorých prípadoch vrátane tých, ktoré využívajú veľké štátne dotácie, vedie k strate pracovných miest v EÚ a predstavuje významnú hrozbu pre európske spoločnosti, ktoré sú často MSP a rodinné podniky, ktoré podporujú medzigeneračný prenos zručností, znalostí a kapitálu; pripomína, že Komisia často dostáva žiadosti o podporu z Európskeho fondu na prispôsobenie sa globalizácii na pomoc pracovníkom, ktorí prišli o zamestnanie, čo znamená prepustenie pracovníkov a zatvorenie spoločností EÚ z dôvodu, že nedokážu konkurovať dovozu z krajín mimo EÚ, ktoré nedodržiavajú bezpečnostné, environmentálne alebo pracovné normy EÚ;</w:t>
      </w:r>
    </w:p>
    <w:p w14:paraId="3F0FEC5F" w14:textId="77777777" w:rsidR="004E5FA8" w:rsidRPr="00B201CA" w:rsidRDefault="004E5FA8" w:rsidP="004E5FA8">
      <w:pPr>
        <w:pStyle w:val="NormalHanging12a"/>
      </w:pPr>
      <w:r w:rsidRPr="00B201CA">
        <w:t>2.</w:t>
      </w:r>
      <w:r w:rsidRPr="00B201CA">
        <w:tab/>
        <w:t xml:space="preserve">vyjadruje vážne znepokojenie nad nekalou súťažou zo strany platforiem elektronického obchodu z krajín mimo EÚ, ktoré využívajú regulačné medzery, ohrozujú bezpečnosť spotrebiteľov a narúšajú jednotný trh; požaduje jasnejšie pravidlá týkajúce sa pôvodu výrobkov, </w:t>
      </w:r>
      <w:proofErr w:type="spellStart"/>
      <w:r w:rsidRPr="00B201CA">
        <w:t>vysledovateľnosti</w:t>
      </w:r>
      <w:proofErr w:type="spellEnd"/>
      <w:r w:rsidRPr="00B201CA">
        <w:t xml:space="preserve"> a identifikácie zodpovedných hospodárskych subjektov vrátane prísnejšieho presadzovania označenia CE a vymedzenia pojmov „výrobca“ a „dovozca“, aby sa podporila spravodlivá hospodárska súťaž v prospech podnikov EÚ, najmä MSP;</w:t>
      </w:r>
    </w:p>
    <w:p w14:paraId="60EBD3EC" w14:textId="77777777" w:rsidR="004E5FA8" w:rsidRPr="00B201CA" w:rsidRDefault="004E5FA8" w:rsidP="004E5FA8">
      <w:pPr>
        <w:pStyle w:val="NormalHanging12a"/>
      </w:pPr>
      <w:r w:rsidRPr="00B201CA">
        <w:t>3.</w:t>
      </w:r>
      <w:r w:rsidRPr="00B201CA">
        <w:tab/>
        <w:t xml:space="preserve">poukazuje na to, že prudký nárast objemu nákupov uskutočňovaných prostredníctvom online platforiem v krajinách mimo EÚ sprevádzajú významné problémy s dodržiavaním predpisov, pokiaľ ide o bezpečnosť výrobkov a súlad s pravidlami vnútorného trhu; zdôrazňuje, že tieto praktiky poskytujú nespravodlivú výhodu platformám mimo EÚ a vyvíjajú tlak na podniky EÚ, najmä MSP a </w:t>
      </w:r>
      <w:proofErr w:type="spellStart"/>
      <w:r w:rsidRPr="00B201CA">
        <w:t>mikropodniky</w:t>
      </w:r>
      <w:proofErr w:type="spellEnd"/>
      <w:r w:rsidRPr="00B201CA">
        <w:t xml:space="preserve">; poukazuje na to, že výrobcovia v EÚ čelia prísnejším požiadavkám v oblasti dohľadu nad trhom ako predajcovia z krajín mimo EÚ v rámci elektronického obchodu; zdôrazňuje, že dovoz nevyhovujúcich výrobkov za nízke ceny znižuje podiel EÚ na trhu </w:t>
      </w:r>
      <w:r w:rsidRPr="00B201CA">
        <w:lastRenderedPageBreak/>
        <w:t>a vedie k strate pracovných miest;</w:t>
      </w:r>
    </w:p>
    <w:p w14:paraId="522DF5A7" w14:textId="77777777" w:rsidR="004E5FA8" w:rsidRPr="00B201CA" w:rsidRDefault="004E5FA8" w:rsidP="004E5FA8">
      <w:pPr>
        <w:pStyle w:val="NormalHanging12a"/>
      </w:pPr>
      <w:r w:rsidRPr="00B201CA">
        <w:t>4.</w:t>
      </w:r>
      <w:r w:rsidRPr="00B201CA">
        <w:tab/>
        <w:t>pripomína právo spotrebiteľov na spoľahlivé informácie o pôvode výrobkov a zastáva názor, že väčšina spotrebiteľov na vnútornom trhu by považovala povinné označovanie krajiny pôvodu za užitočné na to, aby sa mohli rýchlo a informovane rozhodovať o svojich nákupoch;</w:t>
      </w:r>
    </w:p>
    <w:p w14:paraId="4835D73E" w14:textId="77777777" w:rsidR="004E5FA8" w:rsidRPr="00B201CA" w:rsidRDefault="004E5FA8" w:rsidP="004E5FA8">
      <w:pPr>
        <w:pStyle w:val="NormalHanging12a"/>
      </w:pPr>
      <w:r w:rsidRPr="00B201CA">
        <w:t>5.</w:t>
      </w:r>
      <w:r w:rsidRPr="00B201CA">
        <w:tab/>
        <w:t xml:space="preserve">domnieva sa, že konzistentné a včasné vykonávanie regulačného </w:t>
      </w:r>
      <w:proofErr w:type="spellStart"/>
      <w:r w:rsidRPr="00B201CA">
        <w:rPr>
          <w:i/>
        </w:rPr>
        <w:t>acquis</w:t>
      </w:r>
      <w:proofErr w:type="spellEnd"/>
      <w:r w:rsidRPr="00B201CA">
        <w:t xml:space="preserve"> EÚ, ktoré sa vzťahuje na </w:t>
      </w:r>
      <w:proofErr w:type="spellStart"/>
      <w:r w:rsidRPr="00B201CA">
        <w:t>offline</w:t>
      </w:r>
      <w:proofErr w:type="spellEnd"/>
      <w:r w:rsidRPr="00B201CA">
        <w:t xml:space="preserve"> aj online podniky, je kľúčom k riešeniu závažného škodlivého vplyvu nevyhovujúcich, nebezpečných a falšovaných výrobkov, ktoré spotrebiteľom ponúkajú spoločnosti z krajín mimo EÚ; zdôrazňuje význam nástrojov na presadzovanie práva vrátane primeraných sankcií a rýchlejšieho uplatňovania predbežných opatrení, a to najmä v prípadoch opakovaného, závažného a systémového porušovania práva EÚ;</w:t>
      </w:r>
    </w:p>
    <w:p w14:paraId="548F3B9D" w14:textId="77777777" w:rsidR="004E5FA8" w:rsidRPr="00B201CA" w:rsidRDefault="004E5FA8" w:rsidP="004E5FA8">
      <w:pPr>
        <w:pStyle w:val="NormalHanging12a"/>
      </w:pPr>
      <w:r w:rsidRPr="00B201CA">
        <w:t>6.</w:t>
      </w:r>
      <w:r w:rsidRPr="00B201CA">
        <w:tab/>
        <w:t>zdôrazňuje, že reforma cieľ a dohľadu nad trhom musí riešiť nekalé obchodné praktiky odstránením regulačných medzier v súčasnom legislatívnom rámci a výslovnou podporou MSP, a to znížením zbytočnej administratívnej záťaže, urýchlením postupov colného konania v prípade subjektov z EÚ, ktoré dodržiavajú predpisy, a zameraním zdrojov na vysoko rizikové zásielky od platforiem alebo predajcov, ktorí sa opakovane dopustili porušenia predpisov; zdôrazňuje, že MSP by nemali byť znevýhodnené v porovnaní s veľkými platformami či vývozcami z krajín mimo EÚ;</w:t>
      </w:r>
    </w:p>
    <w:p w14:paraId="15EEEAED" w14:textId="77777777" w:rsidR="004E5FA8" w:rsidRPr="00B201CA" w:rsidRDefault="004E5FA8" w:rsidP="004E5FA8">
      <w:pPr>
        <w:pStyle w:val="NormalHanging12a"/>
      </w:pPr>
      <w:r w:rsidRPr="00B201CA">
        <w:t>7.</w:t>
      </w:r>
      <w:r w:rsidRPr="00B201CA">
        <w:tab/>
        <w:t>uznáva nedávne úsilie Komisie o zníženie existujúcej administratívnej záťaže pre spoločnosti v EÚ; vyzýva Komisiu, aby zintenzívnila úsilie o zlepšenie regulačného rámca s cieľom zabrániť akémukoľvek škodlivému vplyvu na hospodársku konkurencieschopnosť EÚ, a vyzýva na pokračovanie v snahách o podporu priemyslu, technologickej suverenity a zamestnanosti v EÚ;</w:t>
      </w:r>
    </w:p>
    <w:p w14:paraId="09B7475D" w14:textId="77777777" w:rsidR="004E5FA8" w:rsidRPr="00B201CA" w:rsidRDefault="004E5FA8" w:rsidP="004E5FA8">
      <w:pPr>
        <w:pStyle w:val="NormalHanging12a"/>
      </w:pPr>
      <w:r w:rsidRPr="00B201CA">
        <w:t>8.</w:t>
      </w:r>
      <w:r w:rsidRPr="00B201CA">
        <w:tab/>
        <w:t xml:space="preserve">odporúča posilnenie colných orgánov a orgánov dohľadu nad trhom, ich lepšiu koordináciu a zvýšenie ich zdrojov vrátane cielených kontrol vysokorizikových kategórií výrobkov, investícií do nových nástrojov (napr. umelá inteligencia, </w:t>
      </w:r>
      <w:proofErr w:type="spellStart"/>
      <w:r w:rsidRPr="00B201CA">
        <w:t>blockchain</w:t>
      </w:r>
      <w:proofErr w:type="spellEnd"/>
      <w:r w:rsidRPr="00B201CA">
        <w:t>), zlepšenia testovania a potrebnej odbornej prípravy zamestnancov;</w:t>
      </w:r>
    </w:p>
    <w:p w14:paraId="57397647" w14:textId="77777777" w:rsidR="004E5FA8" w:rsidRPr="00B201CA" w:rsidRDefault="004E5FA8" w:rsidP="004E5FA8">
      <w:pPr>
        <w:pStyle w:val="NormalHanging12a"/>
      </w:pPr>
      <w:r w:rsidRPr="00B201CA">
        <w:t>9.</w:t>
      </w:r>
      <w:r w:rsidRPr="00B201CA">
        <w:tab/>
        <w:t>víta zrušenie oslobodenia od dane z pridanej hodnoty a od cla v prípade zásielok s nízkou hodnotou, ktoré nedávno schválila Rada a ktoré sa týka balíkov s hodnotou nepresahujúcou 150 EUR zasielaných z krajín mimo EÚ spotrebiteľom v EÚ; zdôrazňuje význam Európskej prokuratúry s podporou colných orgánov pri riešení porušenia colných predpisov v cezhraničných vyšetrovaniach vrátane tých, ktoré sú zamerané proti podvodným vyhláseniam o elektronickom obchode a podhodnoteniu, ako aj proti vyhýbaniu sa kontrolám a taktizovaniu pri výbere súdu;</w:t>
      </w:r>
    </w:p>
    <w:p w14:paraId="527B642C" w14:textId="77777777" w:rsidR="004E5FA8" w:rsidRPr="00B201CA" w:rsidRDefault="004E5FA8" w:rsidP="004E5FA8">
      <w:pPr>
        <w:pStyle w:val="NormalHanging12a"/>
      </w:pPr>
      <w:r w:rsidRPr="00B201CA">
        <w:t>10.</w:t>
      </w:r>
      <w:r w:rsidRPr="00B201CA">
        <w:tab/>
        <w:t>zdôrazňuje, že rýchle zavedenie digitálneho pasu výrobku, najmä v prípade niekoľkých kritických výrobkov predávaných online, je nevyhnutné na posilnenie presadzovania súčasných právnych predpisov; vyzýva Komisiu, aby bezodkladne prijala potrebné sekundárne právne predpisy o digitálnom pase výrobku, a to najmä čo sa týka textilu, obuvi vrátane obuvi vyrobenej z „ekologickej kože“, výrobkov pre deti, kozmetiky, elektroniky a ďalších výrobkov s vysokou mierou nedodržiavania predpisov a súvisiacich rizík;</w:t>
      </w:r>
    </w:p>
    <w:p w14:paraId="62BED8C7" w14:textId="77777777" w:rsidR="004E5FA8" w:rsidRPr="00B201CA" w:rsidRDefault="004E5FA8" w:rsidP="004E5FA8">
      <w:pPr>
        <w:pStyle w:val="NormalHanging12a"/>
      </w:pPr>
      <w:r w:rsidRPr="00B201CA">
        <w:t>11.</w:t>
      </w:r>
      <w:r w:rsidRPr="00B201CA">
        <w:tab/>
        <w:t xml:space="preserve">vyzýva Komisiu, aby chránila spoločnosti v EÚ pred nekalou súťažou zo strany </w:t>
      </w:r>
      <w:r w:rsidRPr="00B201CA">
        <w:lastRenderedPageBreak/>
        <w:t>výrobcov z krajín mimo EÚ s cieľom udržať pracovné miesta v EÚ a posilniť strategickú nezávislosť, aby bolo možné reagovať na akúkoľvek krízu, ako bola napríklad pandémia ochorenia COVID-19; vyjadruje poľutovanie nad stratou pracovných miest v dôsledku nekalej súťaže zo strany spoločností z krajín mimo EÚ, ktoré porušujú bezpečnostné, environmentálne a pracovné normy EÚ, k čomu často prispievajú online platformy, ktoré umožňujú ľahší vstup nevyhovujúcich výrobkov na trh EÚ; zdôrazňuje, že bezpečnosť výrobkov, najmä výrobkov pre deti, musí zostať prvoradým hľadiskom;</w:t>
      </w:r>
    </w:p>
    <w:p w14:paraId="4E8F409B" w14:textId="77777777" w:rsidR="004E5FA8" w:rsidRPr="00B201CA" w:rsidRDefault="004E5FA8" w:rsidP="004E5FA8">
      <w:pPr>
        <w:pStyle w:val="NormalHanging12a"/>
      </w:pPr>
      <w:r w:rsidRPr="00B201CA">
        <w:t>12.</w:t>
      </w:r>
      <w:r w:rsidRPr="00B201CA">
        <w:tab/>
        <w:t>vyjadruje znepokojenie nad tým, že predajcovia, ktorí nedodržiavajú predpisy, sa často vyhýbajú zmysluplným sankciám; vyzýva Komisiu a členské štáty, aby zintenzívnili koordinované presadzovanie platného práva EÚ vrátane pokút a zákazov vo všetkých predajných kanáloch s cieľom zabezpečiť, aby bol nebezpečný alebo nevyhovujúci tovar okamžite odstránený a páchatelia boli sankcionovaní; zdôrazňuje, že prísnejšie presadzovanie práva je nevyhnutné na to, aby sa predajcom z krajín mimo EÚ zabránilo v systematickom podhodnocovaní spoločností, najmä MSP, ktoré dodržiavajú predpisy a investujú do dodržiavania povinných pravidiel EÚ v oblasti bezpečnosti, udržateľnosti a kvality, ktoré môžu predajcovia z krajín mimo EÚ obchádzať;</w:t>
      </w:r>
    </w:p>
    <w:p w14:paraId="68AE4CE1" w14:textId="77777777" w:rsidR="004E5FA8" w:rsidRPr="00B201CA" w:rsidRDefault="004E5FA8" w:rsidP="004E5FA8">
      <w:pPr>
        <w:pStyle w:val="NormalHanging12a"/>
      </w:pPr>
      <w:r w:rsidRPr="00B201CA">
        <w:t>13.</w:t>
      </w:r>
      <w:r w:rsidRPr="00B201CA">
        <w:tab/>
        <w:t>odsudzuje obchodný model niektorých veľkých online platforiem v krajinách mimo EÚ založený na rýchlej a rozsiahlej výrobe a distribúcii tovaru, ktorý nie je v súlade s bezpečnostnými a environmentálnymi normami EÚ; zdôrazňuje, že takéto praktiky predstavujú formu sociálneho a environmentálneho dumpingu; vyzýva Komisiu, aby zabezpečila prísne dodržiavanie sociálnych a environmentálnych právnych predpisov EÚ a zvýšila informovanosť o environmentálnych, zdravotných a sociálnych dôsledkoch nekalých obchodných praktík;</w:t>
      </w:r>
    </w:p>
    <w:p w14:paraId="01C83406" w14:textId="77777777" w:rsidR="004E5FA8" w:rsidRPr="00B201CA" w:rsidRDefault="004E5FA8" w:rsidP="004E5FA8">
      <w:pPr>
        <w:pStyle w:val="NormalHanging12a"/>
      </w:pPr>
      <w:r w:rsidRPr="00B201CA">
        <w:t>14.</w:t>
      </w:r>
      <w:r w:rsidRPr="00B201CA">
        <w:tab/>
        <w:t>zdôrazňuje, že online trhy musia zabezpečiť transparentnosť a zodpovednosť v celom dovoznom dodávateľskom reťazci elektronického obchodu, a to aj v prípade predajcov v postavení tretích strán, ktorí sa zameriavajú na spotrebiteľov v EÚ, a zabezpečiť dodržiavanie pravidiel EÚ týkajúcich sa bezpečnosti a výrobkov; vyjadruje podporu koncepcii „domnelého dovozcu“, ktorej použitím by sa zabezpečilo, aby výrobky vstupujúce do EÚ spĺňali pravidlá EÚ, aj keď pôvodný vývozca je v krajine mimo EÚ;</w:t>
      </w:r>
    </w:p>
    <w:p w14:paraId="78808D50" w14:textId="77777777" w:rsidR="004E5FA8" w:rsidRPr="00B201CA" w:rsidRDefault="004E5FA8" w:rsidP="004E5FA8">
      <w:pPr>
        <w:pStyle w:val="NormalHanging12a"/>
      </w:pPr>
      <w:r w:rsidRPr="00B201CA">
        <w:t>15.</w:t>
      </w:r>
      <w:r w:rsidRPr="00B201CA">
        <w:tab/>
        <w:t>zdôrazňuje, že je dôležité overiť totožnosť predajcu a sprístupniť požadované informácie o zhode vrátane označenia CE a identifikácie zodpovedného hospodárskeho subjektu usadeného v EÚ, a bezodkladne odstrániť nevyhovujúce alebo falošne označené výrobky; požaduje, aby platformy zabezpečili úplnú spoluprácu s príslušnými orgánmi, a to aj poskytovaním príslušných údajov o predajcoch z krajín mimo EÚ a uľahčovaním kontrol, sťahovania výrobkov z obehu a nápravy pre spotrebiteľov; konštatuje, že realizácia toho prostredníctvom centier v EÚ môže prispieť k účinnejším kontrolám;</w:t>
      </w:r>
    </w:p>
    <w:p w14:paraId="76BA2CAC" w14:textId="77777777" w:rsidR="004E5FA8" w:rsidRPr="00B201CA" w:rsidRDefault="004E5FA8" w:rsidP="004E5FA8">
      <w:pPr>
        <w:pStyle w:val="NormalHanging12a"/>
      </w:pPr>
      <w:r w:rsidRPr="00B201CA">
        <w:t>16.</w:t>
      </w:r>
      <w:r w:rsidRPr="00B201CA">
        <w:tab/>
        <w:t xml:space="preserve">vyzýva Komisiu, aby prijala proaktívne opatrenia a urýchlene použila cielené nástroje na ochranu obchodu vrátane antidumpingových a </w:t>
      </w:r>
      <w:proofErr w:type="spellStart"/>
      <w:r w:rsidRPr="00B201CA">
        <w:t>antisubvenčných</w:t>
      </w:r>
      <w:proofErr w:type="spellEnd"/>
      <w:r w:rsidRPr="00B201CA">
        <w:t xml:space="preserve"> prešetrovaní s cieľom bojovať proti nepriaznivým účinkom nekalej súťaže na maloobchodníkov, MSP a priemysel v EÚ, keďže nemôžu konkurovať umelo nízkym cenám, ktoré sú výsledkom štátom podporovaných dumpingových praktík v krajinách mimo EÚ; vyzýva Komisiu, aby zabezpečila plnú podporu sťažovateľom v prípade predloženia dôkazov o dumpingu a subvencovaní a zabezpečila zjednodušené postupy pre malých výrobcov;</w:t>
      </w:r>
    </w:p>
    <w:p w14:paraId="5F50C7EE" w14:textId="77777777" w:rsidR="004E5FA8" w:rsidRPr="00B201CA" w:rsidRDefault="004E5FA8" w:rsidP="004E5FA8">
      <w:pPr>
        <w:pStyle w:val="NormalHanging12a"/>
      </w:pPr>
      <w:r w:rsidRPr="00B201CA">
        <w:lastRenderedPageBreak/>
        <w:t>17.</w:t>
      </w:r>
      <w:r w:rsidRPr="00B201CA">
        <w:tab/>
        <w:t>naliehavo vyzýva Komisiu, aby urýchlila colnú reformu, a to aj zrušením výnimiek pri dovoze tovaru s nízkou hodnotou a zavedením manipulačných alebo colných poplatkov v súlade s pravidlami Svetovej obchodnej organizácie; zdôrazňuje, že takéto poplatky by mali prispieť k pokrytiu zvýšených nákladov colných orgánov na dohľad; zdôrazňuje, že je dôležité uplatňovať prístup na úrovni EÚ, aby sa zabránilo fragmentácii a nakupovaniu na hraniciach a zabezpečila sa spravodlivá hospodárska súťaž; zdôrazňuje, že posilnená colná reforma vrátane lepších nástrojov monitorovania a cielených kontrol je nevyhnutná na riešenie nekalého dovozu a zároveň na ochranu práv spotrebiteľov a cenovej dostupnosti; vyzýva Komisiu, aby posilnila cielené podporné opatrenia EÚ pre odvetvia, ktoré sú výrazne zasiahnuté nekalým dovozom, ako je prístup k fondom EÚ, podpora inovácií, rozvoj zručností a programy v oblasti diverzifikácie vývozu;</w:t>
      </w:r>
    </w:p>
    <w:p w14:paraId="3912E2A2" w14:textId="77777777" w:rsidR="004E5FA8" w:rsidRPr="00B201CA" w:rsidRDefault="004E5FA8" w:rsidP="004E5FA8">
      <w:pPr>
        <w:pStyle w:val="NormalHanging12a"/>
      </w:pPr>
      <w:r w:rsidRPr="00B201CA">
        <w:t>18.</w:t>
      </w:r>
      <w:r w:rsidRPr="00B201CA">
        <w:tab/>
        <w:t>požaduje posilnenie mechanizmov nápravy pre spotrebiteľov, ktoré by umožnili spotrebiteľom v EÚ získať náhradu, výmenu alebo nápravu v prípade nebezpečného alebo nevyhovujúceho tovaru zakúpeného od predajcov z krajín mimo EÚ; podporuje vytvorenie online rozhrania EÚ jednoduchého na používanie a určeného na podávanie sťažností spotrebiteľov, ktoré bude k dispozícii vo všetkých jazykoch EÚ, čím sa zabezpečí, aby občania mohli v prípade porušenia ich práv rýchlo konať; nabáda na vypracovanie osvetovej kampane v rámci celej EÚ na podporu zodpovednej spotreby a výrobkov vyrobených v EÚ, v ktorej by sa zdôraznili ich sociálne, environmentálne a bezpečnostné výhody, a zároveň nabáda Komisiu, aby posilnila svoju podporu ostrovným regiónom a umožnila im prístup k výrobkom z EÚ;</w:t>
      </w:r>
    </w:p>
    <w:p w14:paraId="528AD621" w14:textId="1AEE89F9" w:rsidR="00E365E1" w:rsidRPr="00B201CA" w:rsidRDefault="004E5FA8" w:rsidP="009F23F4">
      <w:pPr>
        <w:pStyle w:val="NormalHanging12a"/>
      </w:pPr>
      <w:r w:rsidRPr="00B201CA">
        <w:t>19.</w:t>
      </w:r>
      <w:r w:rsidRPr="00B201CA">
        <w:tab/>
        <w:t>poveruje svoj</w:t>
      </w:r>
      <w:r w:rsidR="00D409C0" w:rsidRPr="00B201CA">
        <w:t>u</w:t>
      </w:r>
      <w:r w:rsidRPr="00B201CA">
        <w:t xml:space="preserve"> predsed</w:t>
      </w:r>
      <w:r w:rsidR="00D409C0" w:rsidRPr="00B201CA">
        <w:t>níčk</w:t>
      </w:r>
      <w:r w:rsidRPr="00B201CA">
        <w:t>u, aby postúpil</w:t>
      </w:r>
      <w:r w:rsidR="00D409C0" w:rsidRPr="00B201CA">
        <w:t>a</w:t>
      </w:r>
      <w:r w:rsidRPr="00B201CA">
        <w:t xml:space="preserve"> toto uznesenie Komisii, Rade a vládam a parlamentom členských štátov.</w:t>
      </w:r>
    </w:p>
    <w:sectPr w:rsidR="00E365E1" w:rsidRPr="00B201CA" w:rsidSect="005A67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85D4" w14:textId="77777777" w:rsidR="00415B4A" w:rsidRPr="005A6761" w:rsidRDefault="00415B4A">
      <w:r w:rsidRPr="005A6761">
        <w:separator/>
      </w:r>
    </w:p>
  </w:endnote>
  <w:endnote w:type="continuationSeparator" w:id="0">
    <w:p w14:paraId="7EC584E2" w14:textId="77777777" w:rsidR="00415B4A" w:rsidRPr="005A6761" w:rsidRDefault="00415B4A">
      <w:r w:rsidRPr="005A67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4EF1" w14:textId="77777777" w:rsidR="00064002" w:rsidRPr="005A67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A4DC" w14:textId="77777777" w:rsidR="00064002" w:rsidRPr="005A67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09E2" w14:textId="77777777" w:rsidR="00064002" w:rsidRPr="005A67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44466" w14:textId="77777777" w:rsidR="00415B4A" w:rsidRPr="005A6761" w:rsidRDefault="00415B4A">
      <w:r w:rsidRPr="005A6761">
        <w:separator/>
      </w:r>
    </w:p>
  </w:footnote>
  <w:footnote w:type="continuationSeparator" w:id="0">
    <w:p w14:paraId="4027D56D" w14:textId="77777777" w:rsidR="00415B4A" w:rsidRPr="005A6761" w:rsidRDefault="00415B4A">
      <w:r w:rsidRPr="005A6761">
        <w:continuationSeparator/>
      </w:r>
    </w:p>
  </w:footnote>
  <w:footnote w:id="1">
    <w:p w14:paraId="405094C3" w14:textId="72C9393B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 v. EÚ L 269, 10.10.2013, s. 1, ELI: </w:t>
      </w:r>
      <w:hyperlink r:id="rId1" w:history="1">
        <w:r w:rsidRPr="005A6761">
          <w:rPr>
            <w:rStyle w:val="Hyperlink"/>
            <w:sz w:val="24"/>
            <w:lang w:val="sk-SK"/>
          </w:rPr>
          <w:t>http://data.europa.eu/eli/reg/2013/952/oj</w:t>
        </w:r>
      </w:hyperlink>
      <w:r w:rsidRPr="005A6761">
        <w:rPr>
          <w:sz w:val="24"/>
          <w:lang w:val="sk-SK"/>
        </w:rPr>
        <w:t>.</w:t>
      </w:r>
    </w:p>
  </w:footnote>
  <w:footnote w:id="2">
    <w:p w14:paraId="6E67D939" w14:textId="62CF8077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 v. EÚ L, 2025/512, 20.3.2025, ELI: </w:t>
      </w:r>
      <w:hyperlink r:id="rId2" w:tgtFrame="_blank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http://data.europa.eu/eli/reg_impl/2025/512/oj</w:t>
        </w:r>
      </w:hyperlink>
      <w:r w:rsidRPr="005A6761">
        <w:rPr>
          <w:sz w:val="24"/>
          <w:lang w:val="sk-SK"/>
        </w:rPr>
        <w:t xml:space="preserve">. </w:t>
      </w:r>
    </w:p>
  </w:footnote>
  <w:footnote w:id="3">
    <w:p w14:paraId="21055E7D" w14:textId="4B74E1DF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 v. EÚ L 277, 27.10.2022, s. 1, ELI: </w:t>
      </w:r>
      <w:hyperlink r:id="rId3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http://data.europa.eu/eli/reg/2022/2065/oj</w:t>
        </w:r>
      </w:hyperlink>
      <w:r w:rsidRPr="005A6761">
        <w:rPr>
          <w:sz w:val="24"/>
          <w:lang w:val="sk-SK"/>
        </w:rPr>
        <w:t xml:space="preserve">. </w:t>
      </w:r>
    </w:p>
  </w:footnote>
  <w:footnote w:id="4">
    <w:p w14:paraId="6606A1C6" w14:textId="4279E869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 v. EÚ L 135, 23.5.2023, s. 1, ELI: </w:t>
      </w:r>
      <w:hyperlink r:id="rId4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http://data.europa.eu/eli/reg/2023/988/oj</w:t>
        </w:r>
      </w:hyperlink>
      <w:r w:rsidRPr="005A6761">
        <w:rPr>
          <w:sz w:val="24"/>
          <w:lang w:val="sk-SK"/>
        </w:rPr>
        <w:t xml:space="preserve">. </w:t>
      </w:r>
    </w:p>
  </w:footnote>
  <w:footnote w:id="5">
    <w:p w14:paraId="277903E5" w14:textId="65ABC08C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 v. EÚ L 169, 25.6.2019, s. 1, ELI: </w:t>
      </w:r>
      <w:hyperlink r:id="rId5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http://data.europa.eu/eli/reg/2019/1020/oj</w:t>
        </w:r>
      </w:hyperlink>
      <w:r w:rsidRPr="005A6761">
        <w:rPr>
          <w:sz w:val="24"/>
          <w:lang w:val="sk-SK"/>
        </w:rPr>
        <w:t>.</w:t>
      </w:r>
    </w:p>
  </w:footnote>
  <w:footnote w:id="6">
    <w:p w14:paraId="68972F4C" w14:textId="10150C59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Ú. v. EÚ L 218, 13.8.2008, s. 30, ELI: </w:t>
      </w:r>
      <w:hyperlink r:id="rId6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http://data.europa.eu/eli/reg/2008/765/oj</w:t>
        </w:r>
      </w:hyperlink>
      <w:r w:rsidRPr="005A6761">
        <w:rPr>
          <w:sz w:val="24"/>
          <w:lang w:val="sk-SK"/>
        </w:rPr>
        <w:t xml:space="preserve">. </w:t>
      </w:r>
    </w:p>
  </w:footnote>
  <w:footnote w:id="7">
    <w:p w14:paraId="0AFE5EEA" w14:textId="70259EB0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 xml:space="preserve">Ú. v. EÚ L, 2024/3015, 12.12.2024, ELI: </w:t>
      </w:r>
      <w:hyperlink r:id="rId7" w:history="1">
        <w:r w:rsidRPr="005A6761">
          <w:rPr>
            <w:rStyle w:val="Hyperlink"/>
            <w:sz w:val="24"/>
            <w:lang w:val="sk-SK"/>
          </w:rPr>
          <w:t>http://data.europa.eu/eli/reg/2024/3015/oj</w:t>
        </w:r>
      </w:hyperlink>
      <w:r w:rsidRPr="005A6761">
        <w:rPr>
          <w:rStyle w:val="Hyperlink"/>
          <w:sz w:val="24"/>
          <w:lang w:val="sk-SK"/>
        </w:rPr>
        <w:t>.</w:t>
      </w:r>
    </w:p>
  </w:footnote>
  <w:footnote w:id="8">
    <w:p w14:paraId="5B8BE47D" w14:textId="02232F0B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 xml:space="preserve">Prijaté texty, P10_TA(2025)0154. </w:t>
      </w:r>
    </w:p>
  </w:footnote>
  <w:footnote w:id="9">
    <w:p w14:paraId="20C97311" w14:textId="498AA7DF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proofErr w:type="spellStart"/>
      <w:r w:rsidRPr="005A6761">
        <w:rPr>
          <w:sz w:val="24"/>
          <w:lang w:val="sk-SK"/>
        </w:rPr>
        <w:t>Draghi</w:t>
      </w:r>
      <w:proofErr w:type="spellEnd"/>
      <w:r w:rsidRPr="005A6761">
        <w:rPr>
          <w:sz w:val="24"/>
          <w:lang w:val="sk-SK"/>
        </w:rPr>
        <w:t xml:space="preserve">, M., </w:t>
      </w:r>
      <w:proofErr w:type="spellStart"/>
      <w:r w:rsidRPr="005A6761">
        <w:rPr>
          <w:sz w:val="24"/>
          <w:lang w:val="sk-SK"/>
        </w:rPr>
        <w:t>The</w:t>
      </w:r>
      <w:proofErr w:type="spellEnd"/>
      <w:r w:rsidRPr="005A6761">
        <w:rPr>
          <w:sz w:val="24"/>
          <w:lang w:val="sk-SK"/>
        </w:rPr>
        <w:t xml:space="preserve"> </w:t>
      </w:r>
      <w:proofErr w:type="spellStart"/>
      <w:r w:rsidRPr="005A6761">
        <w:rPr>
          <w:sz w:val="24"/>
          <w:lang w:val="sk-SK"/>
        </w:rPr>
        <w:t>future</w:t>
      </w:r>
      <w:proofErr w:type="spellEnd"/>
      <w:r w:rsidRPr="005A6761">
        <w:rPr>
          <w:sz w:val="24"/>
          <w:lang w:val="sk-SK"/>
        </w:rPr>
        <w:t xml:space="preserve"> of </w:t>
      </w:r>
      <w:proofErr w:type="spellStart"/>
      <w:r w:rsidRPr="005A6761">
        <w:rPr>
          <w:sz w:val="24"/>
          <w:lang w:val="sk-SK"/>
        </w:rPr>
        <w:t>European</w:t>
      </w:r>
      <w:proofErr w:type="spellEnd"/>
      <w:r w:rsidRPr="005A6761">
        <w:rPr>
          <w:sz w:val="24"/>
          <w:lang w:val="sk-SK"/>
        </w:rPr>
        <w:t xml:space="preserve"> </w:t>
      </w:r>
      <w:proofErr w:type="spellStart"/>
      <w:r w:rsidRPr="005A6761">
        <w:rPr>
          <w:sz w:val="24"/>
          <w:lang w:val="sk-SK"/>
        </w:rPr>
        <w:t>competitiveness</w:t>
      </w:r>
      <w:proofErr w:type="spellEnd"/>
      <w:r w:rsidRPr="005A6761">
        <w:rPr>
          <w:sz w:val="24"/>
          <w:lang w:val="sk-SK"/>
        </w:rPr>
        <w:t xml:space="preserve"> (Budúcnosť európskej konkurencieschopnosti), 9. september 2024.</w:t>
      </w:r>
    </w:p>
  </w:footnote>
  <w:footnote w:id="10">
    <w:p w14:paraId="6B501CFA" w14:textId="0E0E266E" w:rsidR="004E5FA8" w:rsidRPr="005A6761" w:rsidRDefault="004E5FA8" w:rsidP="005A6761">
      <w:pPr>
        <w:pStyle w:val="FootnoteText"/>
        <w:ind w:left="567" w:hanging="567"/>
        <w:rPr>
          <w:sz w:val="24"/>
          <w:lang w:val="sk-SK"/>
        </w:rPr>
      </w:pPr>
      <w:r w:rsidRPr="005A6761">
        <w:rPr>
          <w:rStyle w:val="FootnoteReference"/>
          <w:sz w:val="24"/>
          <w:lang w:val="sk-SK"/>
        </w:rPr>
        <w:footnoteRef/>
      </w:r>
      <w:r w:rsidR="005A6761" w:rsidRPr="005A6761">
        <w:rPr>
          <w:sz w:val="24"/>
          <w:lang w:val="sk-SK"/>
        </w:rPr>
        <w:t xml:space="preserve"> </w:t>
      </w:r>
      <w:r w:rsidR="005A6761" w:rsidRPr="005A6761">
        <w:rPr>
          <w:sz w:val="24"/>
          <w:lang w:val="sk-SK"/>
        </w:rPr>
        <w:tab/>
      </w:r>
      <w:r w:rsidRPr="005A6761">
        <w:rPr>
          <w:sz w:val="24"/>
          <w:lang w:val="sk-SK"/>
        </w:rPr>
        <w:t>Smernica Európskeho parlamentu a Rady (EÚ) 2024/825 z 28. februára 2024, ktorou sa menia smernice 2005/29/ES a 2011/83/EÚ, pokiaľ ide o posilnenie postavenia spotrebiteľov v rámci zelenej transformácie prostredníctvom lepšej ochrany pred nekalými praktikami a prostredníctvom lepšieho informovania (Ú. v. EÚ L, 2024/825, 6.3.2024, ELI: </w:t>
      </w:r>
      <w:hyperlink r:id="rId8" w:tgtFrame="_blank" w:tooltip="Umožňuje prístup k tomuto dokumentu prostredníctvom identifikátora URI používaného v rámci ELI." w:history="1">
        <w:r w:rsidRPr="005A6761">
          <w:rPr>
            <w:rStyle w:val="Hyperlink"/>
            <w:sz w:val="24"/>
            <w:lang w:val="sk-SK"/>
          </w:rPr>
          <w:t>http://data.europa.eu/eli/dir/2024/825/oj</w:t>
        </w:r>
      </w:hyperlink>
      <w:r w:rsidRPr="005A6761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1291" w14:textId="77777777" w:rsidR="00064002" w:rsidRPr="005A67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EE8D" w14:textId="77777777" w:rsidR="00064002" w:rsidRPr="005A67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9416" w14:textId="77777777" w:rsidR="00064002" w:rsidRPr="005A67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1721210">
    <w:abstractNumId w:val="9"/>
  </w:num>
  <w:num w:numId="2" w16cid:durableId="1044016957">
    <w:abstractNumId w:val="9"/>
  </w:num>
  <w:num w:numId="3" w16cid:durableId="210383878">
    <w:abstractNumId w:val="7"/>
  </w:num>
  <w:num w:numId="4" w16cid:durableId="157888322">
    <w:abstractNumId w:val="7"/>
  </w:num>
  <w:num w:numId="5" w16cid:durableId="148526316">
    <w:abstractNumId w:val="6"/>
  </w:num>
  <w:num w:numId="6" w16cid:durableId="1288320265">
    <w:abstractNumId w:val="6"/>
  </w:num>
  <w:num w:numId="7" w16cid:durableId="1170020158">
    <w:abstractNumId w:val="5"/>
  </w:num>
  <w:num w:numId="8" w16cid:durableId="502935027">
    <w:abstractNumId w:val="5"/>
  </w:num>
  <w:num w:numId="9" w16cid:durableId="1930263309">
    <w:abstractNumId w:val="4"/>
  </w:num>
  <w:num w:numId="10" w16cid:durableId="511379627">
    <w:abstractNumId w:val="4"/>
  </w:num>
  <w:num w:numId="11" w16cid:durableId="99298264">
    <w:abstractNumId w:val="8"/>
  </w:num>
  <w:num w:numId="12" w16cid:durableId="227768261">
    <w:abstractNumId w:val="8"/>
  </w:num>
  <w:num w:numId="13" w16cid:durableId="749620069">
    <w:abstractNumId w:val="3"/>
  </w:num>
  <w:num w:numId="14" w16cid:durableId="1346521023">
    <w:abstractNumId w:val="3"/>
  </w:num>
  <w:num w:numId="15" w16cid:durableId="1671784925">
    <w:abstractNumId w:val="2"/>
  </w:num>
  <w:num w:numId="16" w16cid:durableId="248469111">
    <w:abstractNumId w:val="2"/>
  </w:num>
  <w:num w:numId="17" w16cid:durableId="1441802748">
    <w:abstractNumId w:val="1"/>
  </w:num>
  <w:num w:numId="18" w16cid:durableId="52394245">
    <w:abstractNumId w:val="1"/>
  </w:num>
  <w:num w:numId="19" w16cid:durableId="1984961245">
    <w:abstractNumId w:val="0"/>
  </w:num>
  <w:num w:numId="20" w16cid:durableId="1574310511">
    <w:abstractNumId w:val="0"/>
  </w:num>
  <w:num w:numId="21" w16cid:durableId="1334838274">
    <w:abstractNumId w:val="9"/>
  </w:num>
  <w:num w:numId="22" w16cid:durableId="1751997886">
    <w:abstractNumId w:val="7"/>
  </w:num>
  <w:num w:numId="23" w16cid:durableId="153036280">
    <w:abstractNumId w:val="6"/>
  </w:num>
  <w:num w:numId="24" w16cid:durableId="705519044">
    <w:abstractNumId w:val="5"/>
  </w:num>
  <w:num w:numId="25" w16cid:durableId="91167397">
    <w:abstractNumId w:val="4"/>
  </w:num>
  <w:num w:numId="26" w16cid:durableId="1636644589">
    <w:abstractNumId w:val="8"/>
  </w:num>
  <w:num w:numId="27" w16cid:durableId="1832409853">
    <w:abstractNumId w:val="3"/>
  </w:num>
  <w:num w:numId="28" w16cid:durableId="161166727">
    <w:abstractNumId w:val="2"/>
  </w:num>
  <w:num w:numId="29" w16cid:durableId="710418490">
    <w:abstractNumId w:val="1"/>
  </w:num>
  <w:num w:numId="30" w16cid:durableId="1559701987">
    <w:abstractNumId w:val="0"/>
  </w:num>
  <w:num w:numId="31" w16cid:durableId="442380555">
    <w:abstractNumId w:val="9"/>
  </w:num>
  <w:num w:numId="32" w16cid:durableId="1964997499">
    <w:abstractNumId w:val="7"/>
  </w:num>
  <w:num w:numId="33" w16cid:durableId="931817530">
    <w:abstractNumId w:val="6"/>
  </w:num>
  <w:num w:numId="34" w16cid:durableId="1257444722">
    <w:abstractNumId w:val="5"/>
  </w:num>
  <w:num w:numId="35" w16cid:durableId="1129083112">
    <w:abstractNumId w:val="4"/>
  </w:num>
  <w:num w:numId="36" w16cid:durableId="470052274">
    <w:abstractNumId w:val="8"/>
  </w:num>
  <w:num w:numId="37" w16cid:durableId="988245561">
    <w:abstractNumId w:val="3"/>
  </w:num>
  <w:num w:numId="38" w16cid:durableId="1407066181">
    <w:abstractNumId w:val="2"/>
  </w:num>
  <w:num w:numId="39" w16cid:durableId="1706447194">
    <w:abstractNumId w:val="1"/>
  </w:num>
  <w:num w:numId="40" w16cid:durableId="948512111">
    <w:abstractNumId w:val="0"/>
  </w:num>
  <w:num w:numId="41" w16cid:durableId="929390746">
    <w:abstractNumId w:val="10"/>
  </w:num>
  <w:num w:numId="42" w16cid:durableId="1322850757">
    <w:abstractNumId w:val="10"/>
  </w:num>
  <w:num w:numId="43" w16cid:durableId="337120710">
    <w:abstractNumId w:val="10"/>
  </w:num>
  <w:num w:numId="44" w16cid:durableId="679698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5/2026"/>
    <w:docVar w:name="dvlangue" w:val="SK"/>
    <w:docVar w:name="dvnumam" w:val="0"/>
    <w:docVar w:name="dvpe" w:val="779.388"/>
    <w:docVar w:name="dvtitre" w:val="Uznesenie Európskeho parlamentu z/zo xx. xxx 2026 o ochrane spoločností, pracovných miest a výrobkov v EÚ pred nekalou súťažou z krajín mimo EÚ(2025/2955(RSP))"/>
  </w:docVars>
  <w:rsids>
    <w:rsidRoot w:val="00415B4A"/>
    <w:rsid w:val="00002272"/>
    <w:rsid w:val="00064002"/>
    <w:rsid w:val="0006673B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B5C"/>
    <w:rsid w:val="003E15D4"/>
    <w:rsid w:val="00411CCE"/>
    <w:rsid w:val="00415B4A"/>
    <w:rsid w:val="0041666E"/>
    <w:rsid w:val="00421060"/>
    <w:rsid w:val="00471C19"/>
    <w:rsid w:val="004867E3"/>
    <w:rsid w:val="00494A28"/>
    <w:rsid w:val="004C0004"/>
    <w:rsid w:val="004C5D52"/>
    <w:rsid w:val="004E5FA8"/>
    <w:rsid w:val="0050519A"/>
    <w:rsid w:val="005072A1"/>
    <w:rsid w:val="00514517"/>
    <w:rsid w:val="00545827"/>
    <w:rsid w:val="00560270"/>
    <w:rsid w:val="005A676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F02"/>
    <w:rsid w:val="00930C23"/>
    <w:rsid w:val="0093193B"/>
    <w:rsid w:val="009509D8"/>
    <w:rsid w:val="00950B64"/>
    <w:rsid w:val="00981893"/>
    <w:rsid w:val="009F23F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1CA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9C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375"/>
    <w:rsid w:val="00F5134D"/>
    <w:rsid w:val="00F5642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9E58"/>
  <w15:chartTrackingRefBased/>
  <w15:docId w15:val="{212487D5-DE00-479A-B9DB-1EC092E5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5FA8"/>
    <w:pPr>
      <w:spacing w:before="480" w:after="240"/>
    </w:pPr>
  </w:style>
  <w:style w:type="paragraph" w:customStyle="1" w:styleId="NormalHanging12a">
    <w:name w:val="NormalHanging12a"/>
    <w:basedOn w:val="Normal"/>
    <w:rsid w:val="004E5FA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E5FA8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E5FA8"/>
    <w:rPr>
      <w:b/>
      <w:bCs/>
    </w:rPr>
  </w:style>
  <w:style w:type="paragraph" w:styleId="Revision">
    <w:name w:val="Revision"/>
    <w:hidden/>
    <w:uiPriority w:val="99"/>
    <w:semiHidden/>
    <w:rsid w:val="00396B5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4/825/oj" TargetMode="External"/><Relationship Id="rId3" Type="http://schemas.openxmlformats.org/officeDocument/2006/relationships/hyperlink" Target="http://data.europa.eu/eli/reg/2022/2065/oj" TargetMode="External"/><Relationship Id="rId7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_impl/2025/512/oj" TargetMode="External"/><Relationship Id="rId1" Type="http://schemas.openxmlformats.org/officeDocument/2006/relationships/hyperlink" Target="http://data.europa.eu/eli/reg/2013/952/oj" TargetMode="External"/><Relationship Id="rId6" Type="http://schemas.openxmlformats.org/officeDocument/2006/relationships/hyperlink" Target="http://data.europa.eu/eli/reg/2008/765/oj" TargetMode="External"/><Relationship Id="rId5" Type="http://schemas.openxmlformats.org/officeDocument/2006/relationships/hyperlink" Target="http://data.europa.eu/eli/reg/2019/1020/oj" TargetMode="External"/><Relationship Id="rId4" Type="http://schemas.openxmlformats.org/officeDocument/2006/relationships/hyperlink" Target="http://data.europa.eu/eli/reg/2023/9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2658</Words>
  <Characters>16478</Characters>
  <Application>Microsoft Office Word</Application>
  <DocSecurity>0</DocSecurity>
  <Lines>514</Lines>
  <Paragraphs>347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2026-06-05T08:59:00Z</dcterms:created>
  <dcterms:modified xsi:type="dcterms:W3CDTF">2026-06-05T08:59:00Z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B10-0185/2026</vt:lpwstr>
  </property>
  <property fmtid="{D5CDD505-2E9C-101B-9397-08002B2CF9AE}" pid="4" name="&lt;Type&gt;">
    <vt:lpwstr>RR</vt:lpwstr>
  </property>
</Properties>
</file>