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3330" w14:paraId="6CD3EAAF" w14:textId="77777777" w:rsidTr="0010095E">
        <w:trPr>
          <w:trHeight w:hRule="exact" w:val="1418"/>
        </w:trPr>
        <w:tc>
          <w:tcPr>
            <w:tcW w:w="6804" w:type="dxa"/>
            <w:shd w:val="clear" w:color="auto" w:fill="auto"/>
            <w:vAlign w:val="center"/>
          </w:tcPr>
          <w:p w14:paraId="3D8FE7ED" w14:textId="77777777" w:rsidR="00751A4A" w:rsidRPr="00703330" w:rsidRDefault="000C2EC5" w:rsidP="0010095E">
            <w:pPr>
              <w:pStyle w:val="EPName"/>
            </w:pPr>
            <w:r w:rsidRPr="00703330">
              <w:t>Europa-Parlamentet</w:t>
            </w:r>
          </w:p>
          <w:p w14:paraId="54C13395" w14:textId="77777777" w:rsidR="00751A4A" w:rsidRPr="00703330" w:rsidRDefault="005F1B17" w:rsidP="005F1B17">
            <w:pPr>
              <w:pStyle w:val="EPTerm"/>
              <w:rPr>
                <w:rStyle w:val="HideTWBExt"/>
                <w:noProof w:val="0"/>
                <w:vanish w:val="0"/>
                <w:color w:val="auto"/>
              </w:rPr>
            </w:pPr>
            <w:r w:rsidRPr="00703330">
              <w:t>2024</w:t>
            </w:r>
            <w:r w:rsidR="00817416" w:rsidRPr="00703330">
              <w:t>-202</w:t>
            </w:r>
            <w:r w:rsidRPr="00703330">
              <w:t>9</w:t>
            </w:r>
          </w:p>
        </w:tc>
        <w:tc>
          <w:tcPr>
            <w:tcW w:w="2268" w:type="dxa"/>
            <w:shd w:val="clear" w:color="auto" w:fill="auto"/>
          </w:tcPr>
          <w:p w14:paraId="12E4C12F" w14:textId="77777777" w:rsidR="00751A4A" w:rsidRPr="00703330" w:rsidRDefault="00187494" w:rsidP="0010095E">
            <w:pPr>
              <w:pStyle w:val="EPLogo"/>
            </w:pPr>
            <w:r w:rsidRPr="00703330">
              <w:rPr>
                <w:noProof/>
                <w:lang w:eastAsia="ja-JP"/>
              </w:rPr>
              <w:drawing>
                <wp:inline distT="0" distB="0" distL="0" distR="0" wp14:anchorId="2D0A3D26" wp14:editId="7CD8AD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F27C6" w14:textId="77777777" w:rsidR="00D058B8" w:rsidRPr="00703330" w:rsidRDefault="00D058B8" w:rsidP="004C5D52">
      <w:pPr>
        <w:pStyle w:val="LineTop"/>
      </w:pPr>
    </w:p>
    <w:p w14:paraId="4405957F" w14:textId="77777777" w:rsidR="00680577" w:rsidRPr="00703330" w:rsidRDefault="000C2EC5" w:rsidP="00680577">
      <w:pPr>
        <w:pStyle w:val="EPBodyTA1"/>
      </w:pPr>
      <w:r w:rsidRPr="00703330">
        <w:t>VEDTAGNE TEKSTER</w:t>
      </w:r>
    </w:p>
    <w:p w14:paraId="2544F651" w14:textId="77777777" w:rsidR="00D058B8" w:rsidRPr="00703330" w:rsidRDefault="00D058B8" w:rsidP="00D058B8">
      <w:pPr>
        <w:pStyle w:val="LineBottom"/>
      </w:pPr>
    </w:p>
    <w:p w14:paraId="61AA3859" w14:textId="387BE5A7" w:rsidR="000C2EC5" w:rsidRPr="00045EFA" w:rsidRDefault="000C2EC5" w:rsidP="000C2EC5">
      <w:pPr>
        <w:pStyle w:val="ATHeading1"/>
      </w:pPr>
      <w:bookmarkStart w:id="0" w:name="TANumber"/>
      <w:r w:rsidRPr="00045EFA">
        <w:t>P10_TA(2026)0</w:t>
      </w:r>
      <w:r w:rsidR="007F27DF">
        <w:t>150</w:t>
      </w:r>
      <w:bookmarkEnd w:id="0"/>
    </w:p>
    <w:p w14:paraId="5A408DA4" w14:textId="29F7585F" w:rsidR="000C2EC5" w:rsidRPr="00045EFA" w:rsidRDefault="001A5BC8" w:rsidP="000C2EC5">
      <w:pPr>
        <w:pStyle w:val="ATHeading2"/>
      </w:pPr>
      <w:bookmarkStart w:id="1" w:name="title"/>
      <w:r w:rsidRPr="00045EFA">
        <w:t>G</w:t>
      </w:r>
      <w:r w:rsidR="000C2EC5" w:rsidRPr="00045EFA">
        <w:t>enetisk modificeret sojabønne MON 94637</w:t>
      </w:r>
      <w:bookmarkEnd w:id="1"/>
    </w:p>
    <w:p w14:paraId="7986A836" w14:textId="77777777" w:rsidR="000C2EC5" w:rsidRPr="00703330" w:rsidRDefault="000C2EC5" w:rsidP="000C2EC5">
      <w:pPr>
        <w:rPr>
          <w:i/>
          <w:vanish/>
        </w:rPr>
      </w:pPr>
      <w:r w:rsidRPr="00703330">
        <w:rPr>
          <w:i/>
        </w:rPr>
        <w:fldChar w:fldCharType="begin"/>
      </w:r>
      <w:r w:rsidRPr="00703330">
        <w:rPr>
          <w:i/>
        </w:rPr>
        <w:instrText xml:space="preserve"> TC"(</w:instrText>
      </w:r>
      <w:bookmarkStart w:id="2" w:name="DocNumber"/>
      <w:r w:rsidRPr="00703330">
        <w:rPr>
          <w:i/>
        </w:rPr>
        <w:instrText>B10-0186/2026</w:instrText>
      </w:r>
      <w:bookmarkEnd w:id="2"/>
      <w:r w:rsidRPr="00703330">
        <w:rPr>
          <w:i/>
        </w:rPr>
        <w:instrText xml:space="preserve">)"\l3 \n&gt; \* MERGEFORMAT </w:instrText>
      </w:r>
      <w:r w:rsidRPr="00703330">
        <w:rPr>
          <w:i/>
        </w:rPr>
        <w:fldChar w:fldCharType="end"/>
      </w:r>
    </w:p>
    <w:p w14:paraId="3DF02571" w14:textId="77777777" w:rsidR="000C2EC5" w:rsidRPr="00703330" w:rsidRDefault="000C2EC5" w:rsidP="000C2EC5">
      <w:pPr>
        <w:rPr>
          <w:vanish/>
        </w:rPr>
      </w:pPr>
      <w:bookmarkStart w:id="3" w:name="PE"/>
      <w:r w:rsidRPr="00703330">
        <w:rPr>
          <w:vanish/>
        </w:rPr>
        <w:t>PE785.406</w:t>
      </w:r>
      <w:bookmarkEnd w:id="3"/>
    </w:p>
    <w:p w14:paraId="40D92369" w14:textId="77777777" w:rsidR="000C2EC5" w:rsidRPr="00045EFA" w:rsidRDefault="000C2EC5" w:rsidP="000C2EC5">
      <w:pPr>
        <w:pStyle w:val="ATHeading3"/>
      </w:pPr>
      <w:bookmarkStart w:id="4" w:name="Sujet"/>
      <w:r w:rsidRPr="00045EFA">
        <w:t>Europa-Parlamentets beslutning af 29. april 2026 Forslag til beslutning om udkast til Kommissionens gennemførelsesafgørelse om tilladelse til markedsføring af produkter, der indeholder, består af eller er fremstillet af genetisk modificeret MON 94637-sojabønne, i henhold til Europa-Parlamentets og Rådets forordning (EF) nr. 1829/2003</w:t>
      </w:r>
      <w:bookmarkEnd w:id="4"/>
      <w:r w:rsidRPr="00045EFA">
        <w:t xml:space="preserve"> </w:t>
      </w:r>
      <w:bookmarkStart w:id="5" w:name="References"/>
      <w:r w:rsidRPr="00045EFA">
        <w:t>(D113501/03 – 2026/2651(RSP))</w:t>
      </w:r>
      <w:bookmarkEnd w:id="5"/>
    </w:p>
    <w:p w14:paraId="1EDDDD56" w14:textId="77777777" w:rsidR="00A57013" w:rsidRPr="00703330" w:rsidRDefault="00A57013" w:rsidP="00A57013">
      <w:pPr>
        <w:pStyle w:val="EPComma"/>
      </w:pPr>
      <w:bookmarkStart w:id="6" w:name="TextBodyBegin"/>
      <w:bookmarkEnd w:id="6"/>
      <w:r w:rsidRPr="00703330">
        <w:rPr>
          <w:i/>
        </w:rPr>
        <w:t>Europa-Parlamentet</w:t>
      </w:r>
      <w:r w:rsidRPr="00703330">
        <w:t>,</w:t>
      </w:r>
    </w:p>
    <w:p w14:paraId="4080F97E" w14:textId="77777777" w:rsidR="00A57013" w:rsidRPr="00703330" w:rsidRDefault="00A57013" w:rsidP="00A57013">
      <w:pPr>
        <w:pStyle w:val="NormalHanging12a"/>
      </w:pPr>
      <w:r w:rsidRPr="00703330">
        <w:t>–</w:t>
      </w:r>
      <w:r w:rsidRPr="00703330">
        <w:tab/>
        <w:t>der henviser til udkast til Kommissionens gennemførelsesafgørelse om tilladelse til markedsføring af produkter, der indeholder, består af eller er fremstillet af genetisk modificeret MON 94637-sojabønne, i henhold til Europa-Parlamentets og Rådets forordning (EF) nr. 1829/2003 (D113501/03),</w:t>
      </w:r>
    </w:p>
    <w:p w14:paraId="2EF03B07" w14:textId="77777777" w:rsidR="00A57013" w:rsidRPr="00703330" w:rsidRDefault="00A57013" w:rsidP="00A57013">
      <w:pPr>
        <w:pStyle w:val="NormalHanging12a"/>
      </w:pPr>
      <w:r w:rsidRPr="00703330">
        <w:t>–</w:t>
      </w:r>
      <w:r w:rsidRPr="00703330">
        <w:tab/>
        <w:t>der henviser til Europa-Parlamentets og Rådets forordning (EF) nr. 1829/2003 af 22. september 2003 om genetisk modificerede fødevarer og foderstoffer</w:t>
      </w:r>
      <w:r w:rsidRPr="00703330">
        <w:rPr>
          <w:rStyle w:val="FootnoteReference"/>
        </w:rPr>
        <w:footnoteReference w:id="1"/>
      </w:r>
      <w:r w:rsidRPr="00703330">
        <w:t>, særlig artikel 7, stk. 3, og artikel 19, stk. 3,</w:t>
      </w:r>
    </w:p>
    <w:p w14:paraId="511556BB" w14:textId="77777777" w:rsidR="00A57013" w:rsidRPr="00703330" w:rsidRDefault="00A57013" w:rsidP="00A57013">
      <w:pPr>
        <w:pStyle w:val="NormalHanging12a"/>
      </w:pPr>
      <w:r w:rsidRPr="00703330">
        <w:t>–</w:t>
      </w:r>
      <w:r w:rsidRPr="00703330">
        <w:tab/>
        <w:t xml:space="preserve">der henviser til afstemningen i Den Stående Komité for Planter, Dyr, Fødevarer og Foder, jf. artikel 35 i forordning (EF) nr. 1829/2003, den 27. februar 2026, som ikke mundede ud i en udtalelse, </w:t>
      </w:r>
      <w:bookmarkStart w:id="7" w:name="_Hlk219206484"/>
      <w:r w:rsidRPr="00703330">
        <w:t>og til afstemningen i appeludvalget den 31. marts 2026, som heller ikke mundede ud i en udtalelse,</w:t>
      </w:r>
      <w:bookmarkEnd w:id="7"/>
    </w:p>
    <w:p w14:paraId="3AAD1FF2" w14:textId="77777777" w:rsidR="00A57013" w:rsidRPr="00703330" w:rsidRDefault="00A57013" w:rsidP="00A57013">
      <w:pPr>
        <w:pStyle w:val="NormalHanging12a"/>
        <w:widowControl/>
      </w:pPr>
      <w:r w:rsidRPr="00703330">
        <w:t>–</w:t>
      </w:r>
      <w:r w:rsidRPr="00703330">
        <w:tab/>
        <w:t>der henviser til artikel 11 i Europa-Parlamentets og Rådets forordning (EU) nr. 182/2011 af 16. februar 2011 om de generelle regler og principper for, hvordan medlemsstaterne skal kontrollere Kommissionens udøvelse af gennemførelsesbeføjelser</w:t>
      </w:r>
      <w:bookmarkStart w:id="8" w:name="_Hlk210662860"/>
      <w:r w:rsidRPr="00703330">
        <w:rPr>
          <w:rStyle w:val="FootnoteReference"/>
          <w:szCs w:val="24"/>
        </w:rPr>
        <w:footnoteReference w:id="2"/>
      </w:r>
      <w:bookmarkEnd w:id="8"/>
      <w:r w:rsidRPr="00703330">
        <w:t>,</w:t>
      </w:r>
    </w:p>
    <w:p w14:paraId="1EAF62DA" w14:textId="77777777" w:rsidR="00A57013" w:rsidRPr="00703330" w:rsidRDefault="00A57013" w:rsidP="00A57013">
      <w:pPr>
        <w:pStyle w:val="NormalHanging12a"/>
      </w:pPr>
      <w:r w:rsidRPr="00703330">
        <w:t>–</w:t>
      </w:r>
      <w:r w:rsidRPr="00703330">
        <w:tab/>
        <w:t xml:space="preserve">der henviser til den udtalelse, der blev vedtaget af Den Europæiske Fødevaresikkerhedsautoritet (EFSA) den 1. juli 2025 og offentliggjort den 23. oktober </w:t>
      </w:r>
      <w:r w:rsidRPr="00703330">
        <w:lastRenderedPageBreak/>
        <w:t>2025</w:t>
      </w:r>
      <w:r w:rsidRPr="00703330">
        <w:rPr>
          <w:rStyle w:val="FootnoteReference"/>
        </w:rPr>
        <w:footnoteReference w:id="3"/>
      </w:r>
      <w:r w:rsidRPr="00703330">
        <w:t>,</w:t>
      </w:r>
    </w:p>
    <w:p w14:paraId="49701A2A" w14:textId="77777777" w:rsidR="00A57013" w:rsidRPr="00703330" w:rsidRDefault="00A57013" w:rsidP="00A57013">
      <w:pPr>
        <w:pStyle w:val="NormalHanging12a"/>
      </w:pPr>
      <w:r w:rsidRPr="00703330">
        <w:t>–</w:t>
      </w:r>
      <w:r w:rsidRPr="00703330">
        <w:tab/>
        <w:t>der henviser til sine tidligere beslutninger med indsigelse mod tilladelse af genetisk modificerede organismer ("GMO'er")</w:t>
      </w:r>
      <w:r w:rsidRPr="00703330">
        <w:rPr>
          <w:rStyle w:val="FootnoteReference"/>
        </w:rPr>
        <w:footnoteReference w:id="4"/>
      </w:r>
      <w:r w:rsidRPr="00703330">
        <w:t>,</w:t>
      </w:r>
    </w:p>
    <w:p w14:paraId="6CA89658" w14:textId="77777777" w:rsidR="00A57013" w:rsidRPr="00703330" w:rsidRDefault="00A57013" w:rsidP="00A57013">
      <w:pPr>
        <w:pStyle w:val="NormalHanging12a"/>
      </w:pPr>
      <w:r w:rsidRPr="00703330">
        <w:lastRenderedPageBreak/>
        <w:t>–</w:t>
      </w:r>
      <w:r w:rsidRPr="00703330">
        <w:tab/>
        <w:t>der henviser til forretningsordenens artikel 115, stk. 2 og 3,</w:t>
      </w:r>
    </w:p>
    <w:p w14:paraId="1A9CAD0D" w14:textId="77777777" w:rsidR="00A57013" w:rsidRPr="00703330" w:rsidRDefault="00A57013" w:rsidP="00A57013">
      <w:pPr>
        <w:pStyle w:val="NormalHanging12a"/>
      </w:pPr>
      <w:r w:rsidRPr="00703330">
        <w:t>–</w:t>
      </w:r>
      <w:r w:rsidRPr="00703330">
        <w:tab/>
        <w:t>der henviser til forslag til beslutning fra Udvalget om Miljø, Klima og Fødevaresikkerhed,</w:t>
      </w:r>
    </w:p>
    <w:p w14:paraId="07A7819A" w14:textId="77777777" w:rsidR="00A57013" w:rsidRPr="00703330" w:rsidRDefault="00A57013" w:rsidP="00A57013">
      <w:pPr>
        <w:pStyle w:val="NormalHanging12a"/>
      </w:pPr>
      <w:r w:rsidRPr="00703330">
        <w:t>A.</w:t>
      </w:r>
      <w:r w:rsidRPr="00703330">
        <w:tab/>
        <w:t>der henviser til, at den genetisk modificerede sojabønne MON 94637 ("den genetisk modificerede sojabønne") blev udviklet for at yde beskyttelse mod visse skadegørende sommerfugle gennem ekspression af to nydesignede kimære Bt-proteiner, Cry1A.2 og Cry1B.2;</w:t>
      </w:r>
    </w:p>
    <w:p w14:paraId="40239510" w14:textId="77777777" w:rsidR="00A57013" w:rsidRPr="00703330" w:rsidRDefault="00A57013" w:rsidP="00A57013">
      <w:pPr>
        <w:pStyle w:val="NormalHanging12a"/>
      </w:pPr>
      <w:r w:rsidRPr="00703330">
        <w:t>B.</w:t>
      </w:r>
      <w:r w:rsidRPr="00703330">
        <w:tab/>
        <w:t>der henviser til, at EFSA den 1. juli 2025 vedtog en positiv udtalelse, hvori den konkluderede, at den genetisk modificerede sojabønne er lige så sikker som sit konventionelle modstykke og testede ikke-genmodificerede sojabønnesorter med hensyn til potentielle indvirkninger på menneskers og dyrs sundhed og miljøet; der henviser til, at EFSA konkluderede, at indtagelse af fødevarer og foder fra den genetisk modificerede sojabønne ikke udgør et ernæringsmæssigt problem, og at utilsigtet miljøeksponering ikke ville give anledning til sikkerhedsmæssige betænkeligheder;</w:t>
      </w:r>
    </w:p>
    <w:p w14:paraId="301A4F6B" w14:textId="77777777" w:rsidR="00A57013" w:rsidRPr="00703330" w:rsidRDefault="00A57013" w:rsidP="00A57013">
      <w:pPr>
        <w:pStyle w:val="NormalHanging12a"/>
      </w:pPr>
      <w:r w:rsidRPr="00703330">
        <w:t>C.</w:t>
      </w:r>
      <w:r w:rsidRPr="00703330">
        <w:tab/>
        <w:t xml:space="preserve">der henviser til, at EFSA </w:t>
      </w:r>
      <w:proofErr w:type="gramStart"/>
      <w:r w:rsidRPr="00703330">
        <w:t>endvidere</w:t>
      </w:r>
      <w:proofErr w:type="gramEnd"/>
      <w:r w:rsidRPr="00703330">
        <w:t xml:space="preserve"> konkluderede, at den molekylære karakterisering og bioinformatikanalyserne ikke identificerede problemer, der krævede yderligere vurdering af fødevare- eller fodersikkerheden, og at det ikke blev anset for nødvendigt </w:t>
      </w:r>
      <w:r w:rsidRPr="00703330">
        <w:lastRenderedPageBreak/>
        <w:t>at overvåge fødevarer eller foder efter markedsføringen;</w:t>
      </w:r>
    </w:p>
    <w:p w14:paraId="7C659615" w14:textId="77777777" w:rsidR="00A57013" w:rsidRPr="00703330" w:rsidRDefault="00A57013" w:rsidP="00A57013">
      <w:pPr>
        <w:pStyle w:val="NormalHanging12a"/>
      </w:pPr>
      <w:r w:rsidRPr="00703330">
        <w:t>D.</w:t>
      </w:r>
      <w:r w:rsidRPr="00703330">
        <w:tab/>
        <w:t xml:space="preserve">der henviser til, at den videnskabelige litteratur på trods af </w:t>
      </w:r>
      <w:proofErr w:type="spellStart"/>
      <w:r w:rsidRPr="00703330">
        <w:t>EFSA's</w:t>
      </w:r>
      <w:proofErr w:type="spellEnd"/>
      <w:r w:rsidRPr="00703330">
        <w:t xml:space="preserve"> positive vurdering viser, at de nydesignede </w:t>
      </w:r>
      <w:proofErr w:type="gramStart"/>
      <w:r w:rsidRPr="00703330">
        <w:t>kimære Bt-toksiner</w:t>
      </w:r>
      <w:proofErr w:type="gramEnd"/>
      <w:r w:rsidRPr="00703330">
        <w:t xml:space="preserve"> Cry1A.2 og Cry1B.2 udviser væsentligt øget insektdræbende virksomhed sammenlignet med deres oprindelige toksiner, hvilket rejser specifikke sikkerhedsspørgsmål, som ikke er blevet behandlet i tilstrækkelig grad</w:t>
      </w:r>
      <w:r w:rsidRPr="00703330">
        <w:rPr>
          <w:rStyle w:val="FootnoteReference"/>
        </w:rPr>
        <w:footnoteReference w:id="5"/>
      </w:r>
      <w:r w:rsidRPr="00703330">
        <w:t>;</w:t>
      </w:r>
    </w:p>
    <w:p w14:paraId="603B9824" w14:textId="77777777" w:rsidR="00A57013" w:rsidRPr="00703330" w:rsidRDefault="00A57013" w:rsidP="00A57013">
      <w:pPr>
        <w:pStyle w:val="NormalHanging12a"/>
        <w:rPr>
          <w:color w:val="000000" w:themeColor="text1"/>
          <w:szCs w:val="24"/>
        </w:rPr>
      </w:pPr>
      <w:r w:rsidRPr="00703330">
        <w:rPr>
          <w:color w:val="000000" w:themeColor="text1"/>
        </w:rPr>
        <w:t>E.</w:t>
      </w:r>
      <w:r w:rsidRPr="00703330">
        <w:rPr>
          <w:color w:val="000000" w:themeColor="text1"/>
        </w:rPr>
        <w:tab/>
        <w:t>der henviser til, at den systematiske litteraturgennemgang, som ansøgeren har fremlagt, er blevet kritiseret for metodologiske mangler og for ikke i tilstrækkelig grad at dække hele spektret af tilgængelig videnskabelig litteratur;</w:t>
      </w:r>
    </w:p>
    <w:p w14:paraId="6948884C" w14:textId="77777777" w:rsidR="00A57013" w:rsidRPr="00703330" w:rsidRDefault="00A57013" w:rsidP="00A57013">
      <w:pPr>
        <w:spacing w:after="240"/>
        <w:ind w:left="567" w:hanging="567"/>
        <w:rPr>
          <w:szCs w:val="24"/>
        </w:rPr>
      </w:pPr>
      <w:r w:rsidRPr="00703330">
        <w:t>F.</w:t>
      </w:r>
      <w:r w:rsidRPr="00703330">
        <w:tab/>
        <w:t xml:space="preserve">der henviser til, at den molekylære karakterisering af den genetisk modificerede sojabønne fortsat er ufuldstændig, da utilsigtede </w:t>
      </w:r>
      <w:proofErr w:type="spellStart"/>
      <w:r w:rsidRPr="00703330">
        <w:t>genomforandringer</w:t>
      </w:r>
      <w:proofErr w:type="spellEnd"/>
      <w:r w:rsidRPr="00703330">
        <w:t xml:space="preserve"> og nyoprettede åbne læserammer ikke blev grundigt undersøgt ved hjælp af de mest avancerede sekventerings- og "</w:t>
      </w:r>
      <w:proofErr w:type="spellStart"/>
      <w:r w:rsidRPr="00703330">
        <w:t>omik</w:t>
      </w:r>
      <w:proofErr w:type="spellEnd"/>
      <w:r w:rsidRPr="00703330">
        <w:t>-tilgange";</w:t>
      </w:r>
    </w:p>
    <w:p w14:paraId="1EA1C90B" w14:textId="77777777" w:rsidR="00A57013" w:rsidRPr="00703330" w:rsidRDefault="00A57013" w:rsidP="00A57013">
      <w:pPr>
        <w:pStyle w:val="NormalHanging12a"/>
      </w:pPr>
      <w:r w:rsidRPr="00703330">
        <w:t>G.</w:t>
      </w:r>
      <w:r w:rsidRPr="00703330">
        <w:tab/>
        <w:t xml:space="preserve">der henviser til, at genetisk ekspression kun blev vurderet under begrænsede feltforhold, nemlig ét år og ét land, uden tilstrækkelig hensyntagen til miljømæssige stressfaktorer eller forskellige genetiske baggrunde på trods af kendt variabilitet i ekspression af </w:t>
      </w:r>
      <w:proofErr w:type="spellStart"/>
      <w:r w:rsidRPr="00703330">
        <w:t>transgenet</w:t>
      </w:r>
      <w:proofErr w:type="spellEnd"/>
      <w:r w:rsidRPr="00703330">
        <w:t>;</w:t>
      </w:r>
    </w:p>
    <w:p w14:paraId="3FAA6105" w14:textId="77777777" w:rsidR="00A57013" w:rsidRPr="00703330" w:rsidRDefault="00A57013" w:rsidP="00A57013">
      <w:pPr>
        <w:pStyle w:val="NormalWeb"/>
        <w:widowControl w:val="0"/>
        <w:spacing w:beforeAutospacing="0" w:after="240" w:afterAutospacing="0"/>
        <w:ind w:left="567" w:hanging="567"/>
      </w:pPr>
      <w:r w:rsidRPr="00703330">
        <w:t>H.</w:t>
      </w:r>
      <w:r w:rsidRPr="00703330">
        <w:tab/>
        <w:t>der henviser til, at feltforsøg til støtte for ansøgningen var begrænsede i geografisk og miljømæssig henseende og ikke afspejler de mange forskellige miljøforhold, hvorunder sojabønner kan dyrkes eller forarbejdes;</w:t>
      </w:r>
    </w:p>
    <w:p w14:paraId="0658D53C" w14:textId="77777777" w:rsidR="00A57013" w:rsidRPr="00703330" w:rsidRDefault="00A57013" w:rsidP="00A57013">
      <w:pPr>
        <w:spacing w:after="240"/>
        <w:ind w:left="567" w:hanging="567"/>
      </w:pPr>
      <w:r w:rsidRPr="00703330">
        <w:t>I.</w:t>
      </w:r>
      <w:r w:rsidRPr="00703330">
        <w:tab/>
        <w:t xml:space="preserve">der henviser til, at de fleste toksikologiske undersøgelser var baseret på mikrobielt producerede Bt-proteiner snarere end på planteproducerede proteiner, på trods af at der foreligger dokumentation for, at plantebestanddele såsom </w:t>
      </w:r>
      <w:proofErr w:type="spellStart"/>
      <w:r w:rsidRPr="00703330">
        <w:t>proteasehæmmere</w:t>
      </w:r>
      <w:proofErr w:type="spellEnd"/>
      <w:r w:rsidRPr="00703330">
        <w:t xml:space="preserve"> kan øge Bt-toksiciteten;</w:t>
      </w:r>
    </w:p>
    <w:p w14:paraId="18F91F2A" w14:textId="77777777" w:rsidR="00A57013" w:rsidRPr="00703330" w:rsidRDefault="00A57013" w:rsidP="00A57013">
      <w:pPr>
        <w:pStyle w:val="NormalHanging12a"/>
      </w:pPr>
      <w:r w:rsidRPr="00703330">
        <w:t xml:space="preserve">J. </w:t>
      </w:r>
      <w:r w:rsidRPr="00703330">
        <w:tab/>
        <w:t>der henviser til, at flere statistisk signifikante resultater, der blev observeret i de toksikologiske undersøgelser over 28 dage og 90 dage, ikke udløste yderligere opfølgende undersøgelser;</w:t>
      </w:r>
    </w:p>
    <w:p w14:paraId="282D42DC" w14:textId="77777777" w:rsidR="00A57013" w:rsidRPr="00703330" w:rsidRDefault="00A57013" w:rsidP="00A57013">
      <w:pPr>
        <w:spacing w:after="240"/>
        <w:ind w:left="567" w:hanging="567"/>
      </w:pPr>
      <w:r w:rsidRPr="00703330">
        <w:t>K.</w:t>
      </w:r>
      <w:r w:rsidRPr="00703330">
        <w:tab/>
        <w:t xml:space="preserve">der henviser til, at eventuelle </w:t>
      </w:r>
      <w:proofErr w:type="spellStart"/>
      <w:r w:rsidRPr="00703330">
        <w:t>synergistiske</w:t>
      </w:r>
      <w:proofErr w:type="spellEnd"/>
      <w:r w:rsidRPr="00703330">
        <w:t xml:space="preserve"> eller kombinatoriske virkninger mellem de to Bt-toksiner, med andre vegetabilske forbindelser eller med andre stressfaktorer, ikke blev undersøgt tilstrækkeligt;</w:t>
      </w:r>
    </w:p>
    <w:p w14:paraId="6B6AB907" w14:textId="77777777" w:rsidR="00A57013" w:rsidRPr="00703330" w:rsidRDefault="00A57013" w:rsidP="00A57013">
      <w:pPr>
        <w:spacing w:after="240"/>
        <w:ind w:left="567" w:hanging="567"/>
      </w:pPr>
      <w:r w:rsidRPr="00703330">
        <w:t>L.</w:t>
      </w:r>
      <w:r w:rsidRPr="00703330">
        <w:tab/>
        <w:t>der henviser til, at miljørisikovurderingen ikke i tilstrækkelig grad tager højde for potentiel eksponering gennem udslip, husdyrgødning eller spildevand eller mulige virkninger på organismer uden for målgruppen;</w:t>
      </w:r>
    </w:p>
    <w:p w14:paraId="784929D7" w14:textId="77777777" w:rsidR="00A57013" w:rsidRPr="00703330" w:rsidRDefault="00A57013" w:rsidP="00A57013">
      <w:pPr>
        <w:pStyle w:val="NormalWeb"/>
        <w:widowControl w:val="0"/>
        <w:spacing w:beforeAutospacing="0" w:after="240" w:afterAutospacing="0"/>
        <w:ind w:left="567" w:hanging="567"/>
      </w:pPr>
      <w:r w:rsidRPr="00703330">
        <w:t>M.</w:t>
      </w:r>
      <w:r w:rsidRPr="00703330">
        <w:tab/>
        <w:t xml:space="preserve">der henviser til, at Parlamentet gentagne gange har understreget, at Kommissionen ikke bør godkende GMO'er i de tilfælde, hvor der ikke er opnået kvalificeret flertal blandt </w:t>
      </w:r>
      <w:r w:rsidRPr="00703330">
        <w:lastRenderedPageBreak/>
        <w:t>medlemsstaterne i Den Stående Komité for Planter, Dyr, Fødevarer og Foder eller i appeludvalget, med henblik på at afhjælpe det vedvarende demokratiske underskud;</w:t>
      </w:r>
    </w:p>
    <w:p w14:paraId="29D71751" w14:textId="77777777" w:rsidR="00A57013" w:rsidRPr="00703330" w:rsidRDefault="00A57013" w:rsidP="00A57013">
      <w:pPr>
        <w:pStyle w:val="NormalWeb"/>
        <w:widowControl w:val="0"/>
        <w:shd w:val="clear" w:color="auto" w:fill="FFFFFF"/>
        <w:spacing w:beforeAutospacing="0" w:after="240" w:afterAutospacing="0"/>
        <w:ind w:left="567" w:hanging="567"/>
        <w:rPr>
          <w:color w:val="000000" w:themeColor="text1"/>
        </w:rPr>
      </w:pPr>
      <w:r w:rsidRPr="00703330">
        <w:rPr>
          <w:color w:val="000000" w:themeColor="text1"/>
        </w:rPr>
        <w:t>N.</w:t>
      </w:r>
      <w:r w:rsidRPr="00703330">
        <w:rPr>
          <w:color w:val="000000" w:themeColor="text1"/>
        </w:rPr>
        <w:tab/>
        <w:t>der henviser til, at Kommissionen, til trods for at den selv erkender det demokratiske underskud, medlemsstaternes manglende tilslutning og Parlamentets indsigelser, fortsat giver tilladelse til genmodificerede organismer;</w:t>
      </w:r>
    </w:p>
    <w:p w14:paraId="3BA63BCB" w14:textId="77777777" w:rsidR="00A57013" w:rsidRPr="00703330" w:rsidRDefault="00A57013" w:rsidP="00A57013">
      <w:pPr>
        <w:spacing w:after="240"/>
        <w:ind w:left="567" w:hanging="567"/>
      </w:pPr>
      <w:r w:rsidRPr="00703330">
        <w:t>O.</w:t>
      </w:r>
      <w:r w:rsidRPr="00703330">
        <w:tab/>
        <w:t>der henviser til, at One Health-tilgangen kræver, at der tages hensyn til den indbyrdes afhængighed mellem menneskers, dyrs, planters og miljøets sundhed ved vurderingen af GMO'ers bæredygtighed og sikkerhed på lang sigt;</w:t>
      </w:r>
    </w:p>
    <w:p w14:paraId="7350AB84" w14:textId="77777777" w:rsidR="00A57013" w:rsidRPr="00703330" w:rsidRDefault="00A57013" w:rsidP="00A57013">
      <w:pPr>
        <w:spacing w:after="240"/>
        <w:ind w:left="567" w:hanging="567"/>
      </w:pPr>
      <w:r w:rsidRPr="00703330">
        <w:t>1.</w:t>
      </w:r>
      <w:r w:rsidRPr="00703330">
        <w:tab/>
        <w:t>er af den opfattelse, at udkastet til Kommissionens gennemførelsesafgørelse overskrider de gennemførelsesbeføjelser, der er fastsat i forordning (EF) nr. 1829/2003;</w:t>
      </w:r>
    </w:p>
    <w:p w14:paraId="78D0DFCF" w14:textId="77777777" w:rsidR="00A57013" w:rsidRPr="00703330" w:rsidRDefault="00A57013" w:rsidP="00A57013">
      <w:pPr>
        <w:spacing w:after="240"/>
        <w:ind w:left="567" w:hanging="567"/>
      </w:pPr>
      <w:r w:rsidRPr="00703330">
        <w:t>2.</w:t>
      </w:r>
      <w:r w:rsidRPr="00703330">
        <w:tab/>
        <w:t>finder, at udkastet til Kommissionens gennemførelsesafgørelse ikke er i overensstemmelse med EU-retten, fordi det er uforeneligt med målet for forordning (EF) nr. 1829/2003, som i overensstemmelse med de generelle principper, der er fastlagt i Europa-Parlamentets og Rådets forordning (EF) nr. 178/2002</w:t>
      </w:r>
      <w:r w:rsidRPr="00703330">
        <w:rPr>
          <w:rStyle w:val="FootnoteReference"/>
        </w:rPr>
        <w:footnoteReference w:id="6"/>
      </w:r>
      <w:r w:rsidRPr="00703330">
        <w:t>, er at skabe grundlag for at sikre et højt niveau for beskyttelse af menneskers liv og sundhed, af dyrs sundhed og velfærd, af miljøet og af forbrugernes interesser i relation til genetisk modificerede fødevarer og foderstoffer, samtidig med at det sikres, at det indre marked fungerer tilfredsstillende;</w:t>
      </w:r>
    </w:p>
    <w:p w14:paraId="002707F5" w14:textId="77777777" w:rsidR="00A57013" w:rsidRPr="00703330" w:rsidRDefault="00A57013" w:rsidP="00A57013">
      <w:pPr>
        <w:spacing w:after="240"/>
        <w:ind w:left="567" w:hanging="567"/>
      </w:pPr>
      <w:bookmarkStart w:id="10" w:name="_Hlk213234159"/>
      <w:r w:rsidRPr="00703330">
        <w:t xml:space="preserve">3. </w:t>
      </w:r>
      <w:r w:rsidRPr="00703330">
        <w:tab/>
        <w:t>mener, at risikovurderingen fortsat er ufuldstændig, navnlig med hensyn til molekylær karakterisering, toksikologisk vurdering og miljørisikovurdering;</w:t>
      </w:r>
      <w:bookmarkEnd w:id="10"/>
    </w:p>
    <w:p w14:paraId="7468E9F0" w14:textId="77777777" w:rsidR="00A57013" w:rsidRPr="00703330" w:rsidRDefault="00A57013" w:rsidP="00A57013">
      <w:pPr>
        <w:spacing w:after="240"/>
        <w:ind w:left="567" w:hanging="567"/>
      </w:pPr>
      <w:r w:rsidRPr="00703330">
        <w:t>4.</w:t>
      </w:r>
      <w:r w:rsidRPr="00703330">
        <w:tab/>
        <w:t>anmoder Kommissionen om at trække udkastet til gennemførelsesafgørelse tilbage;</w:t>
      </w:r>
    </w:p>
    <w:p w14:paraId="77E39545" w14:textId="77777777" w:rsidR="00A57013" w:rsidRPr="00703330" w:rsidRDefault="00A57013" w:rsidP="00A57013">
      <w:pPr>
        <w:spacing w:after="240"/>
        <w:ind w:left="567" w:hanging="567"/>
      </w:pPr>
      <w:r w:rsidRPr="00703330">
        <w:t>5.</w:t>
      </w:r>
      <w:r w:rsidRPr="00703330">
        <w:tab/>
        <w:t>opfordrer Kommissionen til ikke at godkende den genetisk modificerede sojabønne, eftersom der ikke foreligger tilstrækkelig dokumentation for de langsigtede virkninger på biodiversiteten, fødevaresikkerheden og landbrugernes eksistensgrundlag i overensstemmelse med One Health-modellen;</w:t>
      </w:r>
    </w:p>
    <w:p w14:paraId="70E274AB" w14:textId="77777777" w:rsidR="00A57013" w:rsidRPr="00703330" w:rsidRDefault="00A57013" w:rsidP="00A57013">
      <w:pPr>
        <w:spacing w:after="240"/>
        <w:ind w:left="567" w:hanging="567"/>
      </w:pPr>
      <w:bookmarkStart w:id="11" w:name="_Hlk210900300"/>
      <w:r w:rsidRPr="00703330">
        <w:t>6.</w:t>
      </w:r>
      <w:r w:rsidRPr="00703330">
        <w:tab/>
        <w:t>opfordrer Kommissionen til snarest muligt at fremsætte et lovforslag om reform af beslutningsproceduren for GMO'er med henblik på at reagere på Parlamentets konsekvente indsigelser og den manglende opbakning fra et kvalificeret flertal blandt medlemsstaterne;</w:t>
      </w:r>
      <w:bookmarkEnd w:id="11"/>
    </w:p>
    <w:p w14:paraId="3AA2C705" w14:textId="77777777" w:rsidR="00A57013" w:rsidRPr="00703330" w:rsidRDefault="00A57013" w:rsidP="00A57013">
      <w:pPr>
        <w:spacing w:after="240"/>
        <w:ind w:left="567" w:hanging="567"/>
      </w:pPr>
      <w:r w:rsidRPr="00703330">
        <w:t>7.</w:t>
      </w:r>
      <w:r w:rsidRPr="00703330">
        <w:tab/>
        <w:t xml:space="preserve">fremhæver i den forbindelse, at tilladelse til import til fødevare- eller foderbrug af enhver genetisk modificeret plante, der er gjort tolerant over for herbicider, der er forbudt i Unionen, såsom </w:t>
      </w:r>
      <w:proofErr w:type="spellStart"/>
      <w:r w:rsidRPr="00703330">
        <w:t>glufosinat</w:t>
      </w:r>
      <w:proofErr w:type="spellEnd"/>
      <w:r w:rsidRPr="00703330">
        <w:t>, er i strid med Unionens internationale forpligtelser i henhold til bl.a. FN's konvention om den biologiske mangfoldighed og FN's mål for bæredygtig udvikling, herunder Kunming-Montreal-rammen, og skaber ulige vilkår for Unionens landbrugere;</w:t>
      </w:r>
    </w:p>
    <w:p w14:paraId="59238039" w14:textId="1AA98FB1" w:rsidR="00E365E1" w:rsidRPr="00703330" w:rsidRDefault="00A57013" w:rsidP="00045EFA">
      <w:pPr>
        <w:ind w:left="567" w:hanging="567"/>
      </w:pPr>
      <w:bookmarkStart w:id="12" w:name="_Hlk210900241"/>
      <w:bookmarkEnd w:id="12"/>
      <w:r w:rsidRPr="00703330">
        <w:t>8.</w:t>
      </w:r>
      <w:r w:rsidRPr="00703330">
        <w:tab/>
        <w:t>pålægger sin formand at sende denne beslutning til Rådet og Kommissionen samt til medlemsstaternes regeringer og parlamenter.</w:t>
      </w:r>
    </w:p>
    <w:sectPr w:rsidR="00E365E1" w:rsidRPr="00703330" w:rsidSect="00C940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92462" w14:textId="77777777" w:rsidR="000C2EC5" w:rsidRPr="00C940B9" w:rsidRDefault="000C2EC5">
      <w:r w:rsidRPr="00C940B9">
        <w:separator/>
      </w:r>
    </w:p>
  </w:endnote>
  <w:endnote w:type="continuationSeparator" w:id="0">
    <w:p w14:paraId="13D73476" w14:textId="77777777" w:rsidR="000C2EC5" w:rsidRPr="00C940B9" w:rsidRDefault="000C2EC5">
      <w:r w:rsidRPr="00C94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C600" w14:textId="77777777" w:rsidR="00064002" w:rsidRPr="00C940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BBA2" w14:textId="77777777" w:rsidR="00064002" w:rsidRPr="00C940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251E" w14:textId="77777777" w:rsidR="00064002" w:rsidRPr="00C940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84053" w14:textId="77777777" w:rsidR="000C2EC5" w:rsidRPr="00C940B9" w:rsidRDefault="000C2EC5">
      <w:r w:rsidRPr="00C940B9">
        <w:separator/>
      </w:r>
    </w:p>
  </w:footnote>
  <w:footnote w:type="continuationSeparator" w:id="0">
    <w:p w14:paraId="7B214CC3" w14:textId="77777777" w:rsidR="000C2EC5" w:rsidRPr="00C940B9" w:rsidRDefault="000C2EC5">
      <w:r w:rsidRPr="00C940B9">
        <w:continuationSeparator/>
      </w:r>
    </w:p>
  </w:footnote>
  <w:footnote w:id="1">
    <w:p w14:paraId="2568BCFA" w14:textId="2D031808" w:rsidR="00A57013" w:rsidRPr="00C940B9" w:rsidRDefault="00A57013" w:rsidP="00C940B9">
      <w:pPr>
        <w:pStyle w:val="FootnoteText"/>
        <w:ind w:left="567" w:hanging="567"/>
        <w:rPr>
          <w:sz w:val="24"/>
          <w:lang w:val="da-DK"/>
        </w:rPr>
      </w:pPr>
      <w:r w:rsidRPr="00C940B9">
        <w:rPr>
          <w:rStyle w:val="Funotenzeichen"/>
          <w:sz w:val="24"/>
          <w:lang w:val="da-DK"/>
        </w:rPr>
        <w:footnoteRef/>
      </w:r>
      <w:r w:rsidR="00C940B9" w:rsidRPr="00C940B9">
        <w:rPr>
          <w:sz w:val="24"/>
          <w:lang w:val="da-DK"/>
        </w:rPr>
        <w:t xml:space="preserve"> </w:t>
      </w:r>
      <w:r w:rsidR="00C940B9" w:rsidRPr="00C940B9">
        <w:rPr>
          <w:sz w:val="24"/>
          <w:lang w:val="da-DK"/>
        </w:rPr>
        <w:tab/>
      </w:r>
      <w:r w:rsidRPr="00C940B9">
        <w:rPr>
          <w:sz w:val="24"/>
          <w:lang w:val="da-DK"/>
        </w:rPr>
        <w:t xml:space="preserve">EUT L 268 af 18.10.2003, s. 1, ELI: </w:t>
      </w:r>
      <w:hyperlink r:id="rId1" w:tooltip="Giver adgang til dette dokument via dets ELI-URI." w:history="1">
        <w:r w:rsidRPr="00C940B9">
          <w:rPr>
            <w:rStyle w:val="Hyperlink"/>
            <w:sz w:val="24"/>
            <w:lang w:val="da-DK"/>
          </w:rPr>
          <w:t>http://data.europa.eu/eli/reg/2003/1829/oj</w:t>
        </w:r>
      </w:hyperlink>
      <w:r w:rsidRPr="00C940B9">
        <w:rPr>
          <w:sz w:val="24"/>
          <w:lang w:val="da-DK"/>
        </w:rPr>
        <w:t>.</w:t>
      </w:r>
    </w:p>
  </w:footnote>
  <w:footnote w:id="2">
    <w:p w14:paraId="3E269A69" w14:textId="748A9466" w:rsidR="00A57013" w:rsidRPr="00C940B9" w:rsidRDefault="00A57013" w:rsidP="00C940B9">
      <w:pPr>
        <w:pStyle w:val="FootnoteText"/>
        <w:ind w:left="567" w:hanging="567"/>
        <w:rPr>
          <w:sz w:val="24"/>
          <w:lang w:val="da-DK"/>
        </w:rPr>
      </w:pPr>
      <w:r w:rsidRPr="00C940B9">
        <w:rPr>
          <w:rStyle w:val="Funotenzeichen"/>
          <w:sz w:val="24"/>
          <w:lang w:val="da-DK"/>
        </w:rPr>
        <w:footnoteRef/>
      </w:r>
      <w:bookmarkStart w:id="9" w:name="_Hlk210663104_Kopie_1"/>
      <w:r w:rsidR="00C940B9" w:rsidRPr="00C940B9">
        <w:rPr>
          <w:sz w:val="24"/>
          <w:lang w:val="da-DK"/>
        </w:rPr>
        <w:t xml:space="preserve"> </w:t>
      </w:r>
      <w:r w:rsidR="00C940B9" w:rsidRPr="00C940B9">
        <w:rPr>
          <w:sz w:val="24"/>
          <w:lang w:val="da-DK"/>
        </w:rPr>
        <w:tab/>
      </w:r>
      <w:r w:rsidRPr="00C940B9">
        <w:rPr>
          <w:sz w:val="24"/>
          <w:lang w:val="da-DK"/>
        </w:rPr>
        <w:t xml:space="preserve">EUT L 55 af 28.2.2011, s. 13, ELI: </w:t>
      </w:r>
      <w:hyperlink r:id="rId2">
        <w:r w:rsidRPr="00C940B9">
          <w:rPr>
            <w:rStyle w:val="Hyperlink"/>
            <w:sz w:val="24"/>
            <w:lang w:val="da-DK"/>
          </w:rPr>
          <w:t>http://data.europa.eu/eli/reg/2011/182/oj</w:t>
        </w:r>
      </w:hyperlink>
      <w:r w:rsidRPr="00C940B9">
        <w:rPr>
          <w:sz w:val="24"/>
          <w:lang w:val="da-DK"/>
        </w:rPr>
        <w:t>.</w:t>
      </w:r>
      <w:bookmarkEnd w:id="9"/>
    </w:p>
  </w:footnote>
  <w:footnote w:id="3">
    <w:p w14:paraId="69FE94F2" w14:textId="58294769" w:rsidR="00A57013" w:rsidRPr="00C940B9" w:rsidRDefault="00A57013" w:rsidP="00C940B9">
      <w:pPr>
        <w:pStyle w:val="FootnoteText"/>
        <w:ind w:left="567" w:hanging="567"/>
        <w:rPr>
          <w:sz w:val="24"/>
          <w:lang w:val="da-DK"/>
        </w:rPr>
      </w:pPr>
      <w:r w:rsidRPr="00C940B9">
        <w:rPr>
          <w:rStyle w:val="Funotenzeichen"/>
          <w:sz w:val="24"/>
          <w:lang w:val="da-DK"/>
        </w:rPr>
        <w:footnoteRef/>
      </w:r>
      <w:r w:rsidR="00C940B9" w:rsidRPr="00C940B9">
        <w:rPr>
          <w:sz w:val="24"/>
          <w:lang w:val="da-DK"/>
        </w:rPr>
        <w:t xml:space="preserve"> </w:t>
      </w:r>
      <w:r w:rsidR="00C940B9" w:rsidRPr="00C940B9">
        <w:rPr>
          <w:sz w:val="24"/>
          <w:lang w:val="da-DK"/>
        </w:rPr>
        <w:tab/>
      </w:r>
      <w:r w:rsidRPr="00C940B9">
        <w:rPr>
          <w:sz w:val="24"/>
          <w:lang w:val="da-DK"/>
        </w:rPr>
        <w:t xml:space="preserve">Videnskabelig udtalelse fra </w:t>
      </w:r>
      <w:proofErr w:type="spellStart"/>
      <w:r w:rsidRPr="00C940B9">
        <w:rPr>
          <w:sz w:val="24"/>
          <w:lang w:val="da-DK"/>
        </w:rPr>
        <w:t>EFSA's</w:t>
      </w:r>
      <w:proofErr w:type="spellEnd"/>
      <w:r w:rsidRPr="00C940B9">
        <w:rPr>
          <w:sz w:val="24"/>
          <w:lang w:val="da-DK"/>
        </w:rPr>
        <w:t xml:space="preserve"> Ekspertpanel for Genetisk Modificerede Organismer "</w:t>
      </w:r>
      <w:proofErr w:type="spellStart"/>
      <w:r w:rsidRPr="00C940B9">
        <w:rPr>
          <w:sz w:val="24"/>
          <w:lang w:val="da-DK"/>
        </w:rPr>
        <w:t>Assessment</w:t>
      </w:r>
      <w:proofErr w:type="spellEnd"/>
      <w:r w:rsidRPr="00C940B9">
        <w:rPr>
          <w:sz w:val="24"/>
          <w:lang w:val="da-DK"/>
        </w:rPr>
        <w:t xml:space="preserve"> of </w:t>
      </w:r>
      <w:proofErr w:type="spellStart"/>
      <w:r w:rsidRPr="00C940B9">
        <w:rPr>
          <w:sz w:val="24"/>
          <w:lang w:val="da-DK"/>
        </w:rPr>
        <w:t>genetically</w:t>
      </w:r>
      <w:proofErr w:type="spellEnd"/>
      <w:r w:rsidRPr="00C940B9">
        <w:rPr>
          <w:sz w:val="24"/>
          <w:lang w:val="da-DK"/>
        </w:rPr>
        <w:t xml:space="preserve"> </w:t>
      </w:r>
      <w:proofErr w:type="spellStart"/>
      <w:r w:rsidRPr="00C940B9">
        <w:rPr>
          <w:sz w:val="24"/>
          <w:lang w:val="da-DK"/>
        </w:rPr>
        <w:t>modified</w:t>
      </w:r>
      <w:proofErr w:type="spellEnd"/>
      <w:r w:rsidRPr="00C940B9">
        <w:rPr>
          <w:sz w:val="24"/>
          <w:lang w:val="da-DK"/>
        </w:rPr>
        <w:t xml:space="preserve"> </w:t>
      </w:r>
      <w:proofErr w:type="spellStart"/>
      <w:r w:rsidRPr="00C940B9">
        <w:rPr>
          <w:sz w:val="24"/>
          <w:lang w:val="da-DK"/>
        </w:rPr>
        <w:t>soybean</w:t>
      </w:r>
      <w:proofErr w:type="spellEnd"/>
      <w:r w:rsidRPr="00C940B9">
        <w:rPr>
          <w:sz w:val="24"/>
          <w:lang w:val="da-DK"/>
        </w:rPr>
        <w:t xml:space="preserve"> DBN9004 (ansøgning GMFF-2023-21116)", EFSA Journal 2025, 23(10):e958, </w:t>
      </w:r>
      <w:hyperlink r:id="rId3">
        <w:r w:rsidRPr="00C940B9">
          <w:rPr>
            <w:rStyle w:val="Hyperlink"/>
            <w:sz w:val="24"/>
            <w:lang w:val="da-DK"/>
          </w:rPr>
          <w:t>https://doi.org/10.2903/j.efsa.2025.9581</w:t>
        </w:r>
      </w:hyperlink>
      <w:r w:rsidRPr="00C940B9">
        <w:rPr>
          <w:rStyle w:val="Hyperlink"/>
          <w:sz w:val="24"/>
          <w:lang w:val="da-DK"/>
        </w:rPr>
        <w:t>.</w:t>
      </w:r>
    </w:p>
  </w:footnote>
  <w:footnote w:id="4">
    <w:p w14:paraId="66A4E9D8" w14:textId="6CCB78EB" w:rsidR="00A57013" w:rsidRPr="00C940B9" w:rsidRDefault="00A57013" w:rsidP="00C940B9">
      <w:pPr>
        <w:pStyle w:val="FootnoteText"/>
        <w:ind w:left="567" w:hanging="567"/>
        <w:rPr>
          <w:color w:val="000000" w:themeColor="text1"/>
          <w:sz w:val="24"/>
          <w:vertAlign w:val="superscript"/>
          <w:lang w:val="da-DK"/>
        </w:rPr>
      </w:pPr>
      <w:r w:rsidRPr="00C940B9">
        <w:rPr>
          <w:rStyle w:val="Funotenzeichen"/>
          <w:sz w:val="24"/>
          <w:lang w:val="da-DK"/>
        </w:rPr>
        <w:footnoteRef/>
      </w:r>
      <w:r w:rsidR="00C940B9" w:rsidRPr="00C940B9">
        <w:rPr>
          <w:sz w:val="24"/>
          <w:lang w:val="da-DK"/>
        </w:rPr>
        <w:t xml:space="preserve"> </w:t>
      </w:r>
      <w:r w:rsidR="00C940B9" w:rsidRPr="00C940B9">
        <w:rPr>
          <w:sz w:val="24"/>
          <w:lang w:val="da-DK"/>
        </w:rPr>
        <w:tab/>
      </w:r>
      <w:r w:rsidRPr="00C940B9">
        <w:rPr>
          <w:sz w:val="24"/>
          <w:lang w:val="da-DK"/>
        </w:rPr>
        <w:t>Parlamentet vedtog i sin ottende valgperiode 36 beslutninger og i sin niende valgperiode 38 beslutninger, hvori det gjorde indsigelse mod tilladelsen af GMO'er.</w:t>
      </w:r>
      <w:r w:rsidRPr="00C940B9">
        <w:rPr>
          <w:color w:val="000000" w:themeColor="text1"/>
          <w:sz w:val="24"/>
          <w:lang w:val="da-DK"/>
        </w:rPr>
        <w:t xml:space="preserve"> </w:t>
      </w:r>
      <w:proofErr w:type="gramStart"/>
      <w:r w:rsidRPr="00C940B9">
        <w:rPr>
          <w:color w:val="000000" w:themeColor="text1"/>
          <w:sz w:val="24"/>
          <w:lang w:val="da-DK"/>
        </w:rPr>
        <w:t>Endvidere</w:t>
      </w:r>
      <w:proofErr w:type="gramEnd"/>
      <w:r w:rsidRPr="00C940B9">
        <w:rPr>
          <w:color w:val="000000" w:themeColor="text1"/>
          <w:sz w:val="24"/>
          <w:lang w:val="da-DK"/>
        </w:rPr>
        <w:t xml:space="preserve"> har Europa-Parlamentet i sin tiende valgperiode vedtaget følgende beslutninger:</w:t>
      </w:r>
    </w:p>
    <w:p w14:paraId="5FABECD1" w14:textId="54EABC77"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r w:rsidR="00A57013" w:rsidRPr="00C940B9">
          <w:rPr>
            <w:rStyle w:val="Hyperlink"/>
            <w:sz w:val="24"/>
            <w:lang w:val="da-DK"/>
          </w:rPr>
          <w:t>http://data.europa.eu/eli/C/2025/1797/oj</w:t>
        </w:r>
      </w:hyperlink>
      <w:r w:rsidR="00A57013" w:rsidRPr="00C940B9">
        <w:rPr>
          <w:color w:val="000000" w:themeColor="text1"/>
          <w:sz w:val="24"/>
          <w:lang w:val="da-DK"/>
        </w:rPr>
        <w:t>).</w:t>
      </w:r>
    </w:p>
    <w:p w14:paraId="61A8F699" w14:textId="4C4D0D0D"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r w:rsidR="00A57013" w:rsidRPr="00C940B9">
          <w:rPr>
            <w:rStyle w:val="Hyperlink"/>
            <w:sz w:val="24"/>
            <w:lang w:val="da-DK"/>
          </w:rPr>
          <w:t>http://data.europa.eu/eli/C/2025/1798/oj</w:t>
        </w:r>
      </w:hyperlink>
      <w:r w:rsidR="00A57013" w:rsidRPr="00C940B9">
        <w:rPr>
          <w:color w:val="000000" w:themeColor="text1"/>
          <w:sz w:val="24"/>
          <w:lang w:val="da-DK"/>
        </w:rPr>
        <w:t>).</w:t>
      </w:r>
    </w:p>
    <w:p w14:paraId="2A094245" w14:textId="42FA942C"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r w:rsidR="00A57013" w:rsidRPr="00C940B9">
          <w:rPr>
            <w:rStyle w:val="Hyperlink"/>
            <w:sz w:val="24"/>
            <w:lang w:val="da-DK"/>
          </w:rPr>
          <w:t>http://data.europa.eu/eli/C/2025/1799/oj</w:t>
        </w:r>
      </w:hyperlink>
      <w:r w:rsidR="00A57013" w:rsidRPr="00C940B9">
        <w:rPr>
          <w:color w:val="000000" w:themeColor="text1"/>
          <w:sz w:val="24"/>
          <w:lang w:val="da-DK"/>
        </w:rPr>
        <w:t>).</w:t>
      </w:r>
    </w:p>
    <w:p w14:paraId="4040201E" w14:textId="22133DC5"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r w:rsidR="00A57013" w:rsidRPr="00C940B9">
          <w:rPr>
            <w:rStyle w:val="Hyperlink"/>
            <w:sz w:val="24"/>
            <w:lang w:val="da-DK"/>
          </w:rPr>
          <w:t>http://data.europa.eu/eli/C/2025/1800/oj</w:t>
        </w:r>
      </w:hyperlink>
      <w:r w:rsidR="00A57013" w:rsidRPr="00C940B9">
        <w:rPr>
          <w:color w:val="000000" w:themeColor="text1"/>
          <w:sz w:val="24"/>
          <w:lang w:val="da-DK"/>
        </w:rPr>
        <w:t>).</w:t>
      </w:r>
    </w:p>
    <w:p w14:paraId="771CEA93" w14:textId="5735639D"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r w:rsidR="00A57013" w:rsidRPr="00C940B9">
          <w:rPr>
            <w:rStyle w:val="Hyperlink"/>
            <w:sz w:val="24"/>
            <w:lang w:val="da-DK"/>
          </w:rPr>
          <w:t>http://data.europa.eu/eli/C/2025/1801/oj</w:t>
        </w:r>
      </w:hyperlink>
      <w:r w:rsidR="00A57013" w:rsidRPr="00C940B9">
        <w:rPr>
          <w:color w:val="000000" w:themeColor="text1"/>
          <w:sz w:val="24"/>
          <w:lang w:val="da-DK"/>
        </w:rPr>
        <w:t>).</w:t>
      </w:r>
    </w:p>
    <w:p w14:paraId="2B5FF4C7" w14:textId="363B6EF4"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r w:rsidR="00A57013" w:rsidRPr="00C940B9">
          <w:rPr>
            <w:rStyle w:val="Hyperlink"/>
            <w:sz w:val="24"/>
            <w:lang w:val="da-DK"/>
          </w:rPr>
          <w:t>http://data.europa.eu/eli/C/2025/1802/oj</w:t>
        </w:r>
      </w:hyperlink>
      <w:r w:rsidR="00A57013" w:rsidRPr="00C940B9">
        <w:rPr>
          <w:color w:val="000000" w:themeColor="text1"/>
          <w:sz w:val="24"/>
          <w:lang w:val="da-DK"/>
        </w:rPr>
        <w:t>).</w:t>
      </w:r>
    </w:p>
    <w:p w14:paraId="1B3E3503" w14:textId="211C5637"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r w:rsidR="00A57013" w:rsidRPr="00C940B9">
          <w:rPr>
            <w:rStyle w:val="Hyperlink"/>
            <w:sz w:val="24"/>
            <w:lang w:val="da-DK"/>
          </w:rPr>
          <w:t>http://data.europa.eu/eli/C/2025/1803/oj</w:t>
        </w:r>
      </w:hyperlink>
      <w:r w:rsidR="00A57013" w:rsidRPr="00C940B9">
        <w:rPr>
          <w:color w:val="000000" w:themeColor="text1"/>
          <w:sz w:val="24"/>
          <w:lang w:val="da-DK"/>
        </w:rPr>
        <w:t>).</w:t>
      </w:r>
    </w:p>
    <w:p w14:paraId="3C8468D7" w14:textId="57245212" w:rsidR="00A57013" w:rsidRPr="00C940B9" w:rsidRDefault="00C940B9" w:rsidP="00C940B9">
      <w:pPr>
        <w:pStyle w:val="FootnoteText"/>
        <w:ind w:left="567" w:hanging="567"/>
        <w:rPr>
          <w:color w:val="000000" w:themeColor="text1"/>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1">
        <w:r w:rsidR="00A57013" w:rsidRPr="00C940B9">
          <w:rPr>
            <w:rStyle w:val="Hyperlink"/>
            <w:sz w:val="24"/>
            <w:lang w:val="da-DK"/>
          </w:rPr>
          <w:t>http://data.europa.eu/eli/C/2025/1804/oj</w:t>
        </w:r>
      </w:hyperlink>
      <w:r w:rsidR="00A57013" w:rsidRPr="00C940B9">
        <w:rPr>
          <w:color w:val="000000" w:themeColor="text1"/>
          <w:sz w:val="24"/>
          <w:lang w:val="da-DK"/>
        </w:rPr>
        <w:t>).</w:t>
      </w:r>
    </w:p>
    <w:p w14:paraId="3EB6D526" w14:textId="276D716E" w:rsidR="00A57013" w:rsidRPr="00C940B9" w:rsidRDefault="00C940B9" w:rsidP="00C940B9">
      <w:pPr>
        <w:pStyle w:val="FootnoteText"/>
        <w:ind w:left="567" w:hanging="567"/>
        <w:rPr>
          <w:sz w:val="24"/>
          <w:vertAlign w:val="superscript"/>
          <w:lang w:val="da-DK"/>
        </w:rPr>
      </w:pPr>
      <w:r w:rsidRPr="00C940B9">
        <w:rPr>
          <w:color w:val="000000" w:themeColor="text1"/>
          <w:sz w:val="24"/>
          <w:lang w:val="da-DK"/>
        </w:rPr>
        <w:t xml:space="preserve"> </w:t>
      </w:r>
      <w:r w:rsidRPr="00C940B9">
        <w:rPr>
          <w:color w:val="000000" w:themeColor="text1"/>
          <w:sz w:val="24"/>
          <w:lang w:val="da-DK"/>
        </w:rPr>
        <w:tab/>
      </w:r>
      <w:r w:rsidR="00A57013" w:rsidRPr="00C940B9">
        <w:rPr>
          <w:color w:val="000000" w:themeColor="text1"/>
          <w:sz w:val="24"/>
          <w:lang w:val="da-DK"/>
        </w:rPr>
        <w:t>–</w:t>
      </w:r>
      <w:r w:rsidR="00A57013" w:rsidRPr="00C940B9">
        <w:rPr>
          <w:color w:val="000000" w:themeColor="text1"/>
          <w:sz w:val="24"/>
          <w:lang w:val="da-DK"/>
        </w:rPr>
        <w:tab/>
      </w:r>
      <w:r w:rsidR="00A57013" w:rsidRPr="00C940B9">
        <w:rPr>
          <w:sz w:val="24"/>
          <w:lang w:val="da-DK"/>
        </w:rPr>
        <w:t xml:space="preserve">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2" w:tooltip="Giver adgang til dette dokument via dets ELI-URI.">
        <w:r w:rsidR="00A57013" w:rsidRPr="00C940B9">
          <w:rPr>
            <w:rStyle w:val="Hyperlink"/>
            <w:sz w:val="24"/>
            <w:lang w:val="da-DK"/>
          </w:rPr>
          <w:t>http://data.europa.eu/eli/C/2025/2246/oj</w:t>
        </w:r>
      </w:hyperlink>
      <w:r w:rsidR="00A57013" w:rsidRPr="00C940B9">
        <w:rPr>
          <w:sz w:val="24"/>
          <w:lang w:val="da-DK"/>
        </w:rPr>
        <w:t>).</w:t>
      </w:r>
    </w:p>
    <w:p w14:paraId="071BF2DE" w14:textId="2CA54A3A"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3" w:tooltip="Giver adgang til dette dokument via dets ELI-URI.">
        <w:r w:rsidR="00A57013" w:rsidRPr="00C940B9">
          <w:rPr>
            <w:rStyle w:val="Hyperlink"/>
            <w:sz w:val="24"/>
            <w:lang w:val="da-DK"/>
          </w:rPr>
          <w:t>http://data.europa.eu/eli/C/2025/2247/oj</w:t>
        </w:r>
      </w:hyperlink>
      <w:r w:rsidR="00A57013" w:rsidRPr="00C940B9">
        <w:rPr>
          <w:sz w:val="24"/>
          <w:lang w:val="da-DK"/>
        </w:rPr>
        <w:t>).</w:t>
      </w:r>
    </w:p>
    <w:p w14:paraId="5640DCE1" w14:textId="5C1D4E90"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(EUT C, C/2026/586, 24.2.2026, ELI: </w:t>
      </w:r>
      <w:hyperlink r:id="rId14" w:tooltip="Giver adgang til dette dokument via dets ELI-URI." w:history="1">
        <w:r w:rsidR="00A57013" w:rsidRPr="00C940B9">
          <w:rPr>
            <w:rStyle w:val="Hyperlink"/>
            <w:sz w:val="24"/>
            <w:lang w:val="da-DK"/>
          </w:rPr>
          <w:t>http://data.europa.eu/eli/C/2026/586/oj</w:t>
        </w:r>
      </w:hyperlink>
      <w:r w:rsidR="00A57013" w:rsidRPr="00C940B9">
        <w:rPr>
          <w:sz w:val="24"/>
          <w:lang w:val="da-DK"/>
        </w:rPr>
        <w:t>).</w:t>
      </w:r>
    </w:p>
    <w:p w14:paraId="1166805A" w14:textId="6B5BCCB1"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2025)0222).</w:t>
      </w:r>
    </w:p>
    <w:p w14:paraId="2456C3A8" w14:textId="3BC88F19"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2025)0288).</w:t>
      </w:r>
    </w:p>
    <w:p w14:paraId="2F9CB808" w14:textId="18268209"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2025)0289).</w:t>
      </w:r>
    </w:p>
    <w:p w14:paraId="2A4CE6FF" w14:textId="18573F7B"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2025)0290).</w:t>
      </w:r>
    </w:p>
    <w:p w14:paraId="6346812D" w14:textId="662B0B9A"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87708-sojabønne,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2025)0291).</w:t>
      </w:r>
    </w:p>
    <w:p w14:paraId="22D69290" w14:textId="1C68FC72"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2025)0292).</w:t>
      </w:r>
    </w:p>
    <w:p w14:paraId="1CC1516B" w14:textId="02A971AB"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2025)0327).</w:t>
      </w:r>
    </w:p>
    <w:p w14:paraId="3F5D24B4" w14:textId="397A4ED7"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16. december 2025 om udkast til Kommissionens gennemførelsesafgørelse om tilladelse til markedsføring af fødevarer, fødevareingredienser og foderstoffer, der er fremstillet af genetisk modificeret KWS20-1-sukkerroe,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2025)0328).</w:t>
      </w:r>
    </w:p>
    <w:p w14:paraId="7355D505" w14:textId="242F5DE9"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11. februar 2026 om udkast til Kommissionens gennemførelsesafgørelse om tilladelse til markedsføring af produkter, der indeholder, består af eller er fremstillet af genetisk modificeret DBN-09004-6-sojabønne,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2026)0041).</w:t>
      </w:r>
    </w:p>
    <w:p w14:paraId="3EDA1388" w14:textId="483268EB"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T25-majs (ACS-ZMØØ3-2),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2026)0042).</w:t>
      </w:r>
    </w:p>
    <w:p w14:paraId="4F2C25D7" w14:textId="50EFDED4" w:rsidR="00A57013" w:rsidRPr="00C940B9" w:rsidRDefault="00C940B9" w:rsidP="00C940B9">
      <w:pPr>
        <w:pStyle w:val="FootnoteText"/>
        <w:ind w:left="567" w:hanging="567"/>
        <w:rPr>
          <w:sz w:val="24"/>
          <w:vertAlign w:val="superscript"/>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GHB614 × LLCotton25-bomuld,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2026)0043).</w:t>
      </w:r>
    </w:p>
    <w:p w14:paraId="6BB49659" w14:textId="1D445498" w:rsidR="00A57013" w:rsidRPr="00C940B9" w:rsidRDefault="00C940B9" w:rsidP="00C940B9">
      <w:pPr>
        <w:pStyle w:val="FootnoteText"/>
        <w:ind w:left="567" w:hanging="567"/>
        <w:rPr>
          <w:sz w:val="24"/>
          <w:lang w:val="da-DK"/>
        </w:rPr>
      </w:pPr>
      <w:r w:rsidRPr="00C940B9">
        <w:rPr>
          <w:sz w:val="24"/>
          <w:lang w:val="da-DK"/>
        </w:rPr>
        <w:t xml:space="preserve"> </w:t>
      </w:r>
      <w:r w:rsidRPr="00C940B9">
        <w:rPr>
          <w:sz w:val="24"/>
          <w:lang w:val="da-DK"/>
        </w:rPr>
        <w:tab/>
      </w:r>
      <w:r w:rsidR="00A57013" w:rsidRPr="00C940B9">
        <w:rPr>
          <w:sz w:val="24"/>
          <w:lang w:val="da-DK"/>
        </w:rPr>
        <w:t>–</w:t>
      </w:r>
      <w:r w:rsidR="00A57013" w:rsidRPr="00C940B9">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T304-40-bomuld, i henhold til Europa-Parlamentets og Rådets forordning (EF) nr. 1829/2003 (Vedtagne tekster, P10_</w:t>
      </w:r>
      <w:proofErr w:type="gramStart"/>
      <w:r w:rsidR="00A57013" w:rsidRPr="00C940B9">
        <w:rPr>
          <w:sz w:val="24"/>
          <w:lang w:val="da-DK"/>
        </w:rPr>
        <w:t>TA(</w:t>
      </w:r>
      <w:proofErr w:type="gramEnd"/>
      <w:r w:rsidR="00A57013" w:rsidRPr="00C940B9">
        <w:rPr>
          <w:sz w:val="24"/>
          <w:lang w:val="da-DK"/>
        </w:rPr>
        <w:t>2026)0044).</w:t>
      </w:r>
    </w:p>
  </w:footnote>
  <w:footnote w:id="5">
    <w:p w14:paraId="09F8CE18" w14:textId="77687675" w:rsidR="00A57013" w:rsidRPr="00C940B9" w:rsidRDefault="00A57013" w:rsidP="00C940B9">
      <w:pPr>
        <w:pStyle w:val="FootnoteText"/>
        <w:ind w:left="567" w:hanging="567"/>
        <w:rPr>
          <w:sz w:val="24"/>
          <w:lang w:val="da-DK"/>
        </w:rPr>
      </w:pPr>
      <w:r w:rsidRPr="00C940B9">
        <w:rPr>
          <w:rStyle w:val="FootnoteReference"/>
          <w:sz w:val="24"/>
          <w:lang w:val="da-DK"/>
        </w:rPr>
        <w:footnoteRef/>
      </w:r>
      <w:r w:rsidR="00C940B9" w:rsidRPr="00C940B9">
        <w:rPr>
          <w:sz w:val="24"/>
          <w:lang w:val="da-DK"/>
        </w:rPr>
        <w:t xml:space="preserve"> </w:t>
      </w:r>
      <w:r w:rsidR="00C940B9" w:rsidRPr="00C940B9">
        <w:rPr>
          <w:sz w:val="24"/>
          <w:lang w:val="da-DK"/>
        </w:rPr>
        <w:tab/>
      </w:r>
      <w:r w:rsidRPr="00C940B9">
        <w:rPr>
          <w:sz w:val="24"/>
          <w:lang w:val="da-DK"/>
        </w:rPr>
        <w:t xml:space="preserve">Chen, D., </w:t>
      </w:r>
      <w:proofErr w:type="spellStart"/>
      <w:r w:rsidRPr="00C940B9">
        <w:rPr>
          <w:sz w:val="24"/>
          <w:lang w:val="da-DK"/>
        </w:rPr>
        <w:t>Moar</w:t>
      </w:r>
      <w:proofErr w:type="spellEnd"/>
      <w:r w:rsidRPr="00C940B9">
        <w:rPr>
          <w:sz w:val="24"/>
          <w:lang w:val="da-DK"/>
        </w:rPr>
        <w:t xml:space="preserve">, W.J., </w:t>
      </w:r>
      <w:proofErr w:type="spellStart"/>
      <w:r w:rsidRPr="00C940B9">
        <w:rPr>
          <w:sz w:val="24"/>
          <w:lang w:val="da-DK"/>
        </w:rPr>
        <w:t>Jerga</w:t>
      </w:r>
      <w:proofErr w:type="spellEnd"/>
      <w:r w:rsidRPr="00C940B9">
        <w:rPr>
          <w:sz w:val="24"/>
          <w:lang w:val="da-DK"/>
        </w:rPr>
        <w:t xml:space="preserve">, A., </w:t>
      </w:r>
      <w:proofErr w:type="spellStart"/>
      <w:r w:rsidRPr="00C940B9">
        <w:rPr>
          <w:sz w:val="24"/>
          <w:lang w:val="da-DK"/>
        </w:rPr>
        <w:t>Gowda</w:t>
      </w:r>
      <w:proofErr w:type="spellEnd"/>
      <w:r w:rsidRPr="00C940B9">
        <w:rPr>
          <w:sz w:val="24"/>
          <w:lang w:val="da-DK"/>
        </w:rPr>
        <w:t xml:space="preserve">, A., </w:t>
      </w:r>
      <w:proofErr w:type="spellStart"/>
      <w:r w:rsidRPr="00C940B9">
        <w:rPr>
          <w:sz w:val="24"/>
          <w:lang w:val="da-DK"/>
        </w:rPr>
        <w:t>Milligan</w:t>
      </w:r>
      <w:proofErr w:type="spellEnd"/>
      <w:r w:rsidRPr="00C940B9">
        <w:rPr>
          <w:sz w:val="24"/>
          <w:lang w:val="da-DK"/>
        </w:rPr>
        <w:t xml:space="preserve">, J.S., </w:t>
      </w:r>
      <w:proofErr w:type="spellStart"/>
      <w:r w:rsidRPr="00C940B9">
        <w:rPr>
          <w:sz w:val="24"/>
          <w:lang w:val="da-DK"/>
        </w:rPr>
        <w:t>Bretsynder</w:t>
      </w:r>
      <w:proofErr w:type="spellEnd"/>
      <w:r w:rsidRPr="00C940B9">
        <w:rPr>
          <w:sz w:val="24"/>
          <w:lang w:val="da-DK"/>
        </w:rPr>
        <w:t xml:space="preserve">, E.C., </w:t>
      </w:r>
      <w:proofErr w:type="spellStart"/>
      <w:r w:rsidRPr="00C940B9">
        <w:rPr>
          <w:sz w:val="24"/>
          <w:lang w:val="da-DK"/>
        </w:rPr>
        <w:t>Rydel</w:t>
      </w:r>
      <w:proofErr w:type="spellEnd"/>
      <w:r w:rsidRPr="00C940B9">
        <w:rPr>
          <w:sz w:val="24"/>
          <w:lang w:val="da-DK"/>
        </w:rPr>
        <w:t xml:space="preserve">, T.J., </w:t>
      </w:r>
      <w:proofErr w:type="spellStart"/>
      <w:r w:rsidRPr="00C940B9">
        <w:rPr>
          <w:sz w:val="24"/>
          <w:lang w:val="da-DK"/>
        </w:rPr>
        <w:t>Baum</w:t>
      </w:r>
      <w:proofErr w:type="spellEnd"/>
      <w:r w:rsidRPr="00C940B9">
        <w:rPr>
          <w:sz w:val="24"/>
          <w:lang w:val="da-DK"/>
        </w:rPr>
        <w:t xml:space="preserve">, J.A., </w:t>
      </w:r>
      <w:proofErr w:type="spellStart"/>
      <w:r w:rsidRPr="00C940B9">
        <w:rPr>
          <w:sz w:val="24"/>
          <w:lang w:val="da-DK"/>
        </w:rPr>
        <w:t>Semeao</w:t>
      </w:r>
      <w:proofErr w:type="spellEnd"/>
      <w:r w:rsidRPr="00C940B9">
        <w:rPr>
          <w:sz w:val="24"/>
          <w:lang w:val="da-DK"/>
        </w:rPr>
        <w:t xml:space="preserve">, A., Fu, S., </w:t>
      </w:r>
      <w:proofErr w:type="spellStart"/>
      <w:r w:rsidRPr="00C940B9">
        <w:rPr>
          <w:sz w:val="24"/>
          <w:lang w:val="da-DK"/>
        </w:rPr>
        <w:t>Guzov</w:t>
      </w:r>
      <w:proofErr w:type="spellEnd"/>
      <w:r w:rsidRPr="00C940B9">
        <w:rPr>
          <w:sz w:val="24"/>
          <w:lang w:val="da-DK"/>
        </w:rPr>
        <w:t xml:space="preserve">, V., </w:t>
      </w:r>
      <w:proofErr w:type="spellStart"/>
      <w:r w:rsidRPr="00C940B9">
        <w:rPr>
          <w:sz w:val="24"/>
          <w:lang w:val="da-DK"/>
        </w:rPr>
        <w:t>Gabbert</w:t>
      </w:r>
      <w:proofErr w:type="spellEnd"/>
      <w:r w:rsidRPr="00C940B9">
        <w:rPr>
          <w:sz w:val="24"/>
          <w:lang w:val="da-DK"/>
        </w:rPr>
        <w:t xml:space="preserve">, K., Head, P.H., Haas, J.A. (2021), </w:t>
      </w:r>
      <w:r w:rsidRPr="00C940B9">
        <w:rPr>
          <w:sz w:val="24"/>
          <w:shd w:val="clear" w:color="auto" w:fill="FFFFFF"/>
          <w:lang w:val="da-DK"/>
        </w:rPr>
        <w:t>"</w:t>
      </w:r>
      <w:proofErr w:type="spellStart"/>
      <w:r w:rsidRPr="00C940B9">
        <w:rPr>
          <w:i/>
          <w:sz w:val="24"/>
          <w:lang w:val="da-DK"/>
        </w:rPr>
        <w:t>Bacillus</w:t>
      </w:r>
      <w:proofErr w:type="spellEnd"/>
      <w:r w:rsidRPr="00C940B9">
        <w:rPr>
          <w:i/>
          <w:sz w:val="24"/>
          <w:lang w:val="da-DK"/>
        </w:rPr>
        <w:t xml:space="preserve"> </w:t>
      </w:r>
      <w:proofErr w:type="spellStart"/>
      <w:r w:rsidRPr="00C940B9">
        <w:rPr>
          <w:i/>
          <w:sz w:val="24"/>
          <w:lang w:val="da-DK"/>
        </w:rPr>
        <w:t>thuringiensis</w:t>
      </w:r>
      <w:proofErr w:type="spellEnd"/>
      <w:r w:rsidRPr="00C940B9">
        <w:rPr>
          <w:sz w:val="24"/>
          <w:lang w:val="da-DK"/>
        </w:rPr>
        <w:t xml:space="preserve"> </w:t>
      </w:r>
      <w:proofErr w:type="spellStart"/>
      <w:r w:rsidRPr="00C940B9">
        <w:rPr>
          <w:sz w:val="24"/>
          <w:lang w:val="da-DK"/>
        </w:rPr>
        <w:t>chimeric</w:t>
      </w:r>
      <w:proofErr w:type="spellEnd"/>
      <w:r w:rsidRPr="00C940B9">
        <w:rPr>
          <w:sz w:val="24"/>
          <w:lang w:val="da-DK"/>
        </w:rPr>
        <w:t xml:space="preserve"> proteins Cry1A. 2 og Cry1B. 2 to </w:t>
      </w:r>
      <w:proofErr w:type="spellStart"/>
      <w:r w:rsidRPr="00C940B9">
        <w:rPr>
          <w:sz w:val="24"/>
          <w:lang w:val="da-DK"/>
        </w:rPr>
        <w:t>control</w:t>
      </w:r>
      <w:proofErr w:type="spellEnd"/>
      <w:r w:rsidRPr="00C940B9">
        <w:rPr>
          <w:sz w:val="24"/>
          <w:lang w:val="da-DK"/>
        </w:rPr>
        <w:t xml:space="preserve"> </w:t>
      </w:r>
      <w:proofErr w:type="spellStart"/>
      <w:r w:rsidRPr="00C940B9">
        <w:rPr>
          <w:sz w:val="24"/>
          <w:lang w:val="da-DK"/>
        </w:rPr>
        <w:t>soybean</w:t>
      </w:r>
      <w:proofErr w:type="spellEnd"/>
      <w:r w:rsidRPr="00C940B9">
        <w:rPr>
          <w:sz w:val="24"/>
          <w:lang w:val="da-DK"/>
        </w:rPr>
        <w:t xml:space="preserve"> </w:t>
      </w:r>
      <w:proofErr w:type="spellStart"/>
      <w:r w:rsidRPr="00C940B9">
        <w:rPr>
          <w:sz w:val="24"/>
          <w:lang w:val="da-DK"/>
        </w:rPr>
        <w:t>lepidopteran</w:t>
      </w:r>
      <w:proofErr w:type="spellEnd"/>
      <w:r w:rsidRPr="00C940B9">
        <w:rPr>
          <w:sz w:val="24"/>
          <w:lang w:val="da-DK"/>
        </w:rPr>
        <w:t xml:space="preserve"> pests: New domain </w:t>
      </w:r>
      <w:proofErr w:type="spellStart"/>
      <w:r w:rsidRPr="00C940B9">
        <w:rPr>
          <w:sz w:val="24"/>
          <w:lang w:val="da-DK"/>
        </w:rPr>
        <w:t>combinations</w:t>
      </w:r>
      <w:proofErr w:type="spellEnd"/>
      <w:r w:rsidRPr="00C940B9">
        <w:rPr>
          <w:sz w:val="24"/>
          <w:lang w:val="da-DK"/>
        </w:rPr>
        <w:t xml:space="preserve"> </w:t>
      </w:r>
      <w:proofErr w:type="spellStart"/>
      <w:r w:rsidRPr="00C940B9">
        <w:rPr>
          <w:sz w:val="24"/>
          <w:lang w:val="da-DK"/>
        </w:rPr>
        <w:t>enhance</w:t>
      </w:r>
      <w:proofErr w:type="spellEnd"/>
      <w:r w:rsidRPr="00C940B9">
        <w:rPr>
          <w:sz w:val="24"/>
          <w:lang w:val="da-DK"/>
        </w:rPr>
        <w:t xml:space="preserve"> </w:t>
      </w:r>
      <w:proofErr w:type="spellStart"/>
      <w:r w:rsidRPr="00C940B9">
        <w:rPr>
          <w:sz w:val="24"/>
          <w:lang w:val="da-DK"/>
        </w:rPr>
        <w:t>insecticidal</w:t>
      </w:r>
      <w:proofErr w:type="spellEnd"/>
      <w:r w:rsidRPr="00C940B9">
        <w:rPr>
          <w:sz w:val="24"/>
          <w:lang w:val="da-DK"/>
        </w:rPr>
        <w:t xml:space="preserve"> </w:t>
      </w:r>
      <w:proofErr w:type="spellStart"/>
      <w:r w:rsidRPr="00C940B9">
        <w:rPr>
          <w:sz w:val="24"/>
          <w:lang w:val="da-DK"/>
        </w:rPr>
        <w:t>spectrum</w:t>
      </w:r>
      <w:proofErr w:type="spellEnd"/>
      <w:r w:rsidRPr="00C940B9">
        <w:rPr>
          <w:sz w:val="24"/>
          <w:lang w:val="da-DK"/>
        </w:rPr>
        <w:t xml:space="preserve"> of </w:t>
      </w:r>
      <w:proofErr w:type="spellStart"/>
      <w:r w:rsidRPr="00C940B9">
        <w:rPr>
          <w:sz w:val="24"/>
          <w:lang w:val="da-DK"/>
        </w:rPr>
        <w:t>activity</w:t>
      </w:r>
      <w:proofErr w:type="spellEnd"/>
      <w:r w:rsidRPr="00C940B9">
        <w:rPr>
          <w:sz w:val="24"/>
          <w:lang w:val="da-DK"/>
        </w:rPr>
        <w:t xml:space="preserve"> and </w:t>
      </w:r>
      <w:proofErr w:type="spellStart"/>
      <w:r w:rsidRPr="00C940B9">
        <w:rPr>
          <w:sz w:val="24"/>
          <w:lang w:val="da-DK"/>
        </w:rPr>
        <w:t>novel</w:t>
      </w:r>
      <w:proofErr w:type="spellEnd"/>
      <w:r w:rsidRPr="00C940B9">
        <w:rPr>
          <w:sz w:val="24"/>
          <w:lang w:val="da-DK"/>
        </w:rPr>
        <w:t xml:space="preserve"> receptor </w:t>
      </w:r>
      <w:proofErr w:type="spellStart"/>
      <w:r w:rsidRPr="00C940B9">
        <w:rPr>
          <w:sz w:val="24"/>
          <w:lang w:val="da-DK"/>
        </w:rPr>
        <w:t>contributions</w:t>
      </w:r>
      <w:proofErr w:type="spellEnd"/>
      <w:r w:rsidRPr="00C940B9">
        <w:rPr>
          <w:sz w:val="24"/>
          <w:shd w:val="clear" w:color="auto" w:fill="FFFFFF"/>
          <w:lang w:val="da-DK"/>
        </w:rPr>
        <w:t>",</w:t>
      </w:r>
      <w:r w:rsidRPr="00C940B9">
        <w:rPr>
          <w:sz w:val="24"/>
          <w:lang w:val="da-DK"/>
        </w:rPr>
        <w:t xml:space="preserve"> </w:t>
      </w:r>
      <w:proofErr w:type="spellStart"/>
      <w:r w:rsidRPr="00C940B9">
        <w:rPr>
          <w:i/>
          <w:sz w:val="24"/>
          <w:lang w:val="da-DK"/>
        </w:rPr>
        <w:t>PLoS</w:t>
      </w:r>
      <w:proofErr w:type="spellEnd"/>
      <w:r w:rsidRPr="00C940B9">
        <w:rPr>
          <w:i/>
          <w:sz w:val="24"/>
          <w:lang w:val="da-DK"/>
        </w:rPr>
        <w:t xml:space="preserve"> One</w:t>
      </w:r>
      <w:r w:rsidRPr="00C940B9">
        <w:rPr>
          <w:sz w:val="24"/>
          <w:lang w:val="da-DK"/>
        </w:rPr>
        <w:t xml:space="preserve">, juni 2017, 16(6), e0249150, </w:t>
      </w:r>
      <w:hyperlink r:id="rId15" w:history="1">
        <w:r w:rsidRPr="00C940B9">
          <w:rPr>
            <w:rStyle w:val="Hyperlink"/>
            <w:sz w:val="24"/>
            <w:lang w:val="da-DK"/>
          </w:rPr>
          <w:t>https://doi.org/10.1371/journal.pone.0249150</w:t>
        </w:r>
      </w:hyperlink>
      <w:r w:rsidRPr="00C940B9">
        <w:rPr>
          <w:rStyle w:val="Hyperlink"/>
          <w:sz w:val="24"/>
          <w:lang w:val="da-DK"/>
        </w:rPr>
        <w:t>.</w:t>
      </w:r>
    </w:p>
  </w:footnote>
  <w:footnote w:id="6">
    <w:p w14:paraId="290728A4" w14:textId="403F3204" w:rsidR="00A57013" w:rsidRPr="00C940B9" w:rsidRDefault="00A57013" w:rsidP="00C940B9">
      <w:pPr>
        <w:pStyle w:val="FootnoteText"/>
        <w:ind w:left="567" w:hanging="567"/>
        <w:rPr>
          <w:sz w:val="24"/>
          <w:lang w:val="da-DK"/>
        </w:rPr>
      </w:pPr>
      <w:r w:rsidRPr="00C940B9">
        <w:rPr>
          <w:rStyle w:val="Funotenzeichen"/>
          <w:sz w:val="24"/>
          <w:lang w:val="da-DK"/>
        </w:rPr>
        <w:footnoteRef/>
      </w:r>
      <w:r w:rsidR="00C940B9" w:rsidRPr="00C940B9">
        <w:rPr>
          <w:sz w:val="24"/>
          <w:lang w:val="da-DK"/>
        </w:rPr>
        <w:t xml:space="preserve"> </w:t>
      </w:r>
      <w:r w:rsidR="00C940B9" w:rsidRPr="00C940B9">
        <w:rPr>
          <w:sz w:val="24"/>
          <w:lang w:val="da-DK"/>
        </w:rPr>
        <w:tab/>
      </w:r>
      <w:r w:rsidRPr="00C940B9">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16" w:tgtFrame="Gives%20access%20to%20this%20document%20through%20its%20ELI%20URI.">
        <w:r w:rsidRPr="00C940B9">
          <w:rPr>
            <w:rStyle w:val="Hyperlink"/>
            <w:sz w:val="24"/>
            <w:lang w:val="da-DK"/>
          </w:rPr>
          <w:t>http://data.europa.eu/eli/reg/2002/178/oj</w:t>
        </w:r>
      </w:hyperlink>
      <w:r w:rsidRPr="00C940B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E95FA" w14:textId="77777777" w:rsidR="00064002" w:rsidRPr="00C940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0161" w14:textId="77777777" w:rsidR="00064002" w:rsidRPr="00C940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B88F" w14:textId="77777777" w:rsidR="00064002" w:rsidRPr="00C940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2187779">
    <w:abstractNumId w:val="9"/>
  </w:num>
  <w:num w:numId="2" w16cid:durableId="1669214756">
    <w:abstractNumId w:val="9"/>
  </w:num>
  <w:num w:numId="3" w16cid:durableId="1237671579">
    <w:abstractNumId w:val="7"/>
  </w:num>
  <w:num w:numId="4" w16cid:durableId="1522934309">
    <w:abstractNumId w:val="7"/>
  </w:num>
  <w:num w:numId="5" w16cid:durableId="191764972">
    <w:abstractNumId w:val="6"/>
  </w:num>
  <w:num w:numId="6" w16cid:durableId="1747801326">
    <w:abstractNumId w:val="6"/>
  </w:num>
  <w:num w:numId="7" w16cid:durableId="1308318421">
    <w:abstractNumId w:val="5"/>
  </w:num>
  <w:num w:numId="8" w16cid:durableId="1208952361">
    <w:abstractNumId w:val="5"/>
  </w:num>
  <w:num w:numId="9" w16cid:durableId="397481322">
    <w:abstractNumId w:val="4"/>
  </w:num>
  <w:num w:numId="10" w16cid:durableId="2099322237">
    <w:abstractNumId w:val="4"/>
  </w:num>
  <w:num w:numId="11" w16cid:durableId="1449933860">
    <w:abstractNumId w:val="8"/>
  </w:num>
  <w:num w:numId="12" w16cid:durableId="1471166774">
    <w:abstractNumId w:val="8"/>
  </w:num>
  <w:num w:numId="13" w16cid:durableId="1067535473">
    <w:abstractNumId w:val="3"/>
  </w:num>
  <w:num w:numId="14" w16cid:durableId="1689062679">
    <w:abstractNumId w:val="3"/>
  </w:num>
  <w:num w:numId="15" w16cid:durableId="1883514050">
    <w:abstractNumId w:val="2"/>
  </w:num>
  <w:num w:numId="16" w16cid:durableId="1273367307">
    <w:abstractNumId w:val="2"/>
  </w:num>
  <w:num w:numId="17" w16cid:durableId="152645367">
    <w:abstractNumId w:val="1"/>
  </w:num>
  <w:num w:numId="18" w16cid:durableId="664744989">
    <w:abstractNumId w:val="1"/>
  </w:num>
  <w:num w:numId="19" w16cid:durableId="803741898">
    <w:abstractNumId w:val="0"/>
  </w:num>
  <w:num w:numId="20" w16cid:durableId="1008754805">
    <w:abstractNumId w:val="0"/>
  </w:num>
  <w:num w:numId="21" w16cid:durableId="353843932">
    <w:abstractNumId w:val="9"/>
  </w:num>
  <w:num w:numId="22" w16cid:durableId="14428162">
    <w:abstractNumId w:val="7"/>
  </w:num>
  <w:num w:numId="23" w16cid:durableId="873275962">
    <w:abstractNumId w:val="6"/>
  </w:num>
  <w:num w:numId="24" w16cid:durableId="1914271377">
    <w:abstractNumId w:val="5"/>
  </w:num>
  <w:num w:numId="25" w16cid:durableId="404111125">
    <w:abstractNumId w:val="4"/>
  </w:num>
  <w:num w:numId="26" w16cid:durableId="300623928">
    <w:abstractNumId w:val="8"/>
  </w:num>
  <w:num w:numId="27" w16cid:durableId="706105307">
    <w:abstractNumId w:val="3"/>
  </w:num>
  <w:num w:numId="28" w16cid:durableId="432827673">
    <w:abstractNumId w:val="2"/>
  </w:num>
  <w:num w:numId="29" w16cid:durableId="52853133">
    <w:abstractNumId w:val="1"/>
  </w:num>
  <w:num w:numId="30" w16cid:durableId="1796750199">
    <w:abstractNumId w:val="0"/>
  </w:num>
  <w:num w:numId="31" w16cid:durableId="1810055403">
    <w:abstractNumId w:val="9"/>
  </w:num>
  <w:num w:numId="32" w16cid:durableId="1757938491">
    <w:abstractNumId w:val="7"/>
  </w:num>
  <w:num w:numId="33" w16cid:durableId="208999301">
    <w:abstractNumId w:val="6"/>
  </w:num>
  <w:num w:numId="34" w16cid:durableId="791359771">
    <w:abstractNumId w:val="5"/>
  </w:num>
  <w:num w:numId="35" w16cid:durableId="906644438">
    <w:abstractNumId w:val="4"/>
  </w:num>
  <w:num w:numId="36" w16cid:durableId="1749500868">
    <w:abstractNumId w:val="8"/>
  </w:num>
  <w:num w:numId="37" w16cid:durableId="424304862">
    <w:abstractNumId w:val="3"/>
  </w:num>
  <w:num w:numId="38" w16cid:durableId="2115710340">
    <w:abstractNumId w:val="2"/>
  </w:num>
  <w:num w:numId="39" w16cid:durableId="1694575507">
    <w:abstractNumId w:val="1"/>
  </w:num>
  <w:num w:numId="40" w16cid:durableId="533424176">
    <w:abstractNumId w:val="0"/>
  </w:num>
  <w:num w:numId="41" w16cid:durableId="367414519">
    <w:abstractNumId w:val="10"/>
  </w:num>
  <w:num w:numId="42" w16cid:durableId="2031904663">
    <w:abstractNumId w:val="10"/>
  </w:num>
  <w:num w:numId="43" w16cid:durableId="16657717">
    <w:abstractNumId w:val="10"/>
  </w:num>
  <w:num w:numId="44" w16cid:durableId="2088921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DA"/>
    <w:docVar w:name="dvnumam" w:val="0"/>
    <w:docVar w:name="dvpe" w:val="785.406"/>
    <w:docVar w:name="dvtitre" w:val="Europa-Parlamentets beslutning af 29. april 2026 Forslag til beslutning om udkast til Kommissionens gennemførelsesafgørelse om tilladelse til markedsføring af produkter, der indeholder, består af eller er fremstillet af genetisk modificeret MON 94637-sojabønne, i henhold til Europa-Parlamentets og Rådets forordning (EF) nr. 1829/2003(D113501/03 – 2026/2651(RSP))"/>
  </w:docVars>
  <w:rsids>
    <w:rsidRoot w:val="000C2EC5"/>
    <w:rsid w:val="00002272"/>
    <w:rsid w:val="00045EFA"/>
    <w:rsid w:val="00064002"/>
    <w:rsid w:val="000677B9"/>
    <w:rsid w:val="000831BA"/>
    <w:rsid w:val="000A42CC"/>
    <w:rsid w:val="000C2EC5"/>
    <w:rsid w:val="000E7DD9"/>
    <w:rsid w:val="0010095E"/>
    <w:rsid w:val="00125B37"/>
    <w:rsid w:val="00187494"/>
    <w:rsid w:val="001A5BC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330"/>
    <w:rsid w:val="00731ADD"/>
    <w:rsid w:val="00734777"/>
    <w:rsid w:val="00747932"/>
    <w:rsid w:val="00751A4A"/>
    <w:rsid w:val="00756632"/>
    <w:rsid w:val="00762C74"/>
    <w:rsid w:val="00786EC0"/>
    <w:rsid w:val="007C461E"/>
    <w:rsid w:val="007D1690"/>
    <w:rsid w:val="007E22AD"/>
    <w:rsid w:val="007F27D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01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0B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8E100"/>
  <w15:chartTrackingRefBased/>
  <w15:docId w15:val="{1BAF696C-84FF-41B6-8C3D-F4EF2651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A57013"/>
    <w:pPr>
      <w:spacing w:before="480" w:after="240"/>
    </w:pPr>
  </w:style>
  <w:style w:type="paragraph" w:customStyle="1" w:styleId="NormalHanging12a">
    <w:name w:val="NormalHanging12a"/>
    <w:basedOn w:val="Normal"/>
    <w:qFormat/>
    <w:rsid w:val="00A57013"/>
    <w:pPr>
      <w:spacing w:after="240"/>
      <w:ind w:left="567" w:hanging="567"/>
    </w:pPr>
  </w:style>
  <w:style w:type="character" w:styleId="Hyperlink">
    <w:name w:val="Hyperlink"/>
    <w:basedOn w:val="DefaultParagraphFont"/>
    <w:uiPriority w:val="99"/>
    <w:unhideWhenUsed/>
    <w:rsid w:val="00A57013"/>
    <w:rPr>
      <w:color w:val="0000FF"/>
      <w:u w:val="single"/>
    </w:rPr>
  </w:style>
  <w:style w:type="character" w:customStyle="1" w:styleId="Funotenzeichen">
    <w:name w:val="Fußnotenzeichen"/>
    <w:basedOn w:val="DefaultParagraphFont"/>
    <w:uiPriority w:val="99"/>
    <w:qFormat/>
    <w:rsid w:val="00A57013"/>
    <w:rPr>
      <w:rFonts w:cs="Times New Roman"/>
      <w:vertAlign w:val="superscript"/>
    </w:rPr>
  </w:style>
  <w:style w:type="paragraph" w:styleId="NormalWeb">
    <w:name w:val="Normal (Web)"/>
    <w:basedOn w:val="Normal"/>
    <w:uiPriority w:val="99"/>
    <w:unhideWhenUsed/>
    <w:qFormat/>
    <w:rsid w:val="00A57013"/>
    <w:pPr>
      <w:widowControl/>
      <w:suppressAutoHyphens/>
      <w:spacing w:beforeAutospacing="1" w:afterAutospacing="1"/>
    </w:pPr>
    <w:rPr>
      <w:szCs w:val="24"/>
    </w:rPr>
  </w:style>
  <w:style w:type="paragraph" w:styleId="Revision">
    <w:name w:val="Revision"/>
    <w:hidden/>
    <w:uiPriority w:val="99"/>
    <w:semiHidden/>
    <w:rsid w:val="001A5BC8"/>
    <w:rPr>
      <w:sz w:val="24"/>
      <w:lang w:val="da-DK"/>
    </w:rPr>
  </w:style>
  <w:style w:type="character" w:styleId="FollowedHyperlink">
    <w:name w:val="FollowedHyperlink"/>
    <w:basedOn w:val="DefaultParagraphFont"/>
    <w:rsid w:val="001A5B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1118</Words>
  <Characters>7274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2026-04-29T12:19:00Z</dcterms:created>
  <dcterms:modified xsi:type="dcterms:W3CDTF">2026-04-29T12:19:00Z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P10_TA-PROV(2026)0150_B10-0186_2026_</vt:lpwstr>
  </property>
  <property fmtid="{D5CDD505-2E9C-101B-9397-08002B2CF9AE}" pid="4" name="&lt;Type&gt;">
    <vt:lpwstr>RR</vt:lpwstr>
  </property>
</Properties>
</file>