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0004" w14:paraId="617FA191" w14:textId="77777777" w:rsidTr="0010095E">
        <w:trPr>
          <w:trHeight w:hRule="exact" w:val="1418"/>
        </w:trPr>
        <w:tc>
          <w:tcPr>
            <w:tcW w:w="6804" w:type="dxa"/>
            <w:shd w:val="clear" w:color="auto" w:fill="auto"/>
            <w:vAlign w:val="center"/>
          </w:tcPr>
          <w:p w14:paraId="4A65A37F" w14:textId="77777777" w:rsidR="00751A4A" w:rsidRPr="00DD0004" w:rsidRDefault="00095F42" w:rsidP="0010095E">
            <w:pPr>
              <w:pStyle w:val="EPName"/>
            </w:pPr>
            <w:r w:rsidRPr="00DD0004">
              <w:t>Ευρωπαϊκό Κοινοβούλιο</w:t>
            </w:r>
          </w:p>
          <w:p w14:paraId="383E1754" w14:textId="77777777" w:rsidR="00751A4A" w:rsidRPr="00DD0004" w:rsidRDefault="005F1B17" w:rsidP="005F1B17">
            <w:pPr>
              <w:pStyle w:val="EPTerm"/>
              <w:rPr>
                <w:rStyle w:val="HideTWBExt"/>
                <w:noProof w:val="0"/>
                <w:vanish w:val="0"/>
                <w:color w:val="auto"/>
              </w:rPr>
            </w:pPr>
            <w:r w:rsidRPr="00DD0004">
              <w:t>2024</w:t>
            </w:r>
            <w:r w:rsidR="00817416" w:rsidRPr="00DD0004">
              <w:t>-202</w:t>
            </w:r>
            <w:r w:rsidRPr="00DD0004">
              <w:t>9</w:t>
            </w:r>
          </w:p>
        </w:tc>
        <w:tc>
          <w:tcPr>
            <w:tcW w:w="2268" w:type="dxa"/>
            <w:shd w:val="clear" w:color="auto" w:fill="auto"/>
          </w:tcPr>
          <w:p w14:paraId="4111C356" w14:textId="77777777" w:rsidR="00751A4A" w:rsidRPr="00DD0004" w:rsidRDefault="00187494" w:rsidP="0010095E">
            <w:pPr>
              <w:pStyle w:val="EPLogo"/>
            </w:pPr>
            <w:r w:rsidRPr="00DD0004">
              <w:rPr>
                <w:noProof/>
                <w:lang w:eastAsia="ja-JP"/>
              </w:rPr>
              <w:drawing>
                <wp:inline distT="0" distB="0" distL="0" distR="0" wp14:anchorId="3C9D4771" wp14:editId="78CA81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662405" w14:textId="77777777" w:rsidR="00D058B8" w:rsidRPr="00DD0004" w:rsidRDefault="00D058B8" w:rsidP="004C5D52">
      <w:pPr>
        <w:pStyle w:val="LineTop"/>
      </w:pPr>
    </w:p>
    <w:p w14:paraId="0180C6B0" w14:textId="77777777" w:rsidR="00680577" w:rsidRPr="00DD0004" w:rsidRDefault="00095F42" w:rsidP="00680577">
      <w:pPr>
        <w:pStyle w:val="EPBodyTA1"/>
      </w:pPr>
      <w:r w:rsidRPr="00DD0004">
        <w:t>ΚΕΙΜΕΝΑ ΠΟΥ ΕΓΚΡΙΘΗΚΑΝ</w:t>
      </w:r>
    </w:p>
    <w:p w14:paraId="4452EC95" w14:textId="77777777" w:rsidR="00D058B8" w:rsidRPr="00DD0004" w:rsidRDefault="00D058B8" w:rsidP="00D058B8">
      <w:pPr>
        <w:pStyle w:val="LineBottom"/>
      </w:pPr>
    </w:p>
    <w:p w14:paraId="3C4AF522" w14:textId="63B371FE" w:rsidR="00095F42" w:rsidRPr="00DD0004" w:rsidRDefault="00095F42" w:rsidP="00095F42">
      <w:pPr>
        <w:pStyle w:val="ATHeading1"/>
      </w:pPr>
      <w:bookmarkStart w:id="0" w:name="TANumber"/>
      <w:r w:rsidRPr="00DD0004">
        <w:t>P10_TA(2026)0</w:t>
      </w:r>
      <w:r w:rsidR="00DD0004" w:rsidRPr="00DD0004">
        <w:t>15</w:t>
      </w:r>
      <w:r w:rsidRPr="00DD0004">
        <w:t>0</w:t>
      </w:r>
      <w:bookmarkEnd w:id="0"/>
    </w:p>
    <w:p w14:paraId="22AAF8F6" w14:textId="63017A1D" w:rsidR="00095F42" w:rsidRPr="00DD0004" w:rsidRDefault="00DD0F77" w:rsidP="00095F42">
      <w:pPr>
        <w:pStyle w:val="ATHeading2"/>
      </w:pPr>
      <w:bookmarkStart w:id="1" w:name="_Hlk228182732"/>
      <w:bookmarkStart w:id="2" w:name="title"/>
      <w:r w:rsidRPr="00DD0004">
        <w:t>Γενετικώς τροποποιημένη σόγια MON 94637</w:t>
      </w:r>
      <w:bookmarkEnd w:id="1"/>
      <w:bookmarkEnd w:id="2"/>
    </w:p>
    <w:p w14:paraId="141DC684" w14:textId="77777777" w:rsidR="00095F42" w:rsidRPr="00DD0004" w:rsidRDefault="00095F42" w:rsidP="00095F42">
      <w:pPr>
        <w:rPr>
          <w:i/>
          <w:vanish/>
        </w:rPr>
      </w:pPr>
      <w:r w:rsidRPr="00DD0004">
        <w:rPr>
          <w:i/>
        </w:rPr>
        <w:fldChar w:fldCharType="begin"/>
      </w:r>
      <w:r w:rsidRPr="00DD0004">
        <w:rPr>
          <w:i/>
        </w:rPr>
        <w:instrText xml:space="preserve"> TC"(</w:instrText>
      </w:r>
      <w:bookmarkStart w:id="3" w:name="DocNumber"/>
      <w:r w:rsidRPr="00DD0004">
        <w:rPr>
          <w:i/>
        </w:rPr>
        <w:instrText>B10-0186/2026</w:instrText>
      </w:r>
      <w:bookmarkEnd w:id="3"/>
      <w:r w:rsidRPr="00DD0004">
        <w:rPr>
          <w:i/>
        </w:rPr>
        <w:instrText xml:space="preserve">)"\l3 \n&gt; \* MERGEFORMAT </w:instrText>
      </w:r>
      <w:r w:rsidRPr="00DD0004">
        <w:rPr>
          <w:i/>
        </w:rPr>
        <w:fldChar w:fldCharType="end"/>
      </w:r>
    </w:p>
    <w:p w14:paraId="555584ED" w14:textId="77777777" w:rsidR="00095F42" w:rsidRPr="00DD0004" w:rsidRDefault="00095F42" w:rsidP="00095F42">
      <w:pPr>
        <w:rPr>
          <w:vanish/>
        </w:rPr>
      </w:pPr>
      <w:bookmarkStart w:id="4" w:name="PE"/>
      <w:r w:rsidRPr="00DD0004">
        <w:rPr>
          <w:vanish/>
        </w:rPr>
        <w:t>PE785.406</w:t>
      </w:r>
      <w:bookmarkEnd w:id="4"/>
    </w:p>
    <w:p w14:paraId="4CD9632B" w14:textId="5D6226D2" w:rsidR="00095F42" w:rsidRPr="00DD0004" w:rsidRDefault="00095F42" w:rsidP="00095F42">
      <w:pPr>
        <w:pStyle w:val="ATHeading3"/>
      </w:pPr>
      <w:bookmarkStart w:id="5" w:name="Sujet"/>
      <w:r w:rsidRPr="00DD0004">
        <w:t xml:space="preserve">Ψήφισμα του Ευρωπαϊκού Κοινοβουλίου της </w:t>
      </w:r>
      <w:r w:rsidR="007502D4" w:rsidRPr="00DD0004">
        <w:t xml:space="preserve">29ης Απριλίου </w:t>
      </w:r>
      <w:r w:rsidRPr="00DD0004">
        <w:t>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MON 94637 σύμφωνα με τον κανονισμό (ΕΚ) αριθ. 1829/2003 του Ευρωπαϊκού Κοινοβουλίου και του Συμβουλίου</w:t>
      </w:r>
      <w:bookmarkEnd w:id="5"/>
      <w:r w:rsidRPr="00DD0004">
        <w:t xml:space="preserve"> </w:t>
      </w:r>
      <w:bookmarkStart w:id="6" w:name="References"/>
      <w:r w:rsidRPr="00DD0004">
        <w:t>(D113501/03 – 2026/2651(RSP))</w:t>
      </w:r>
      <w:bookmarkEnd w:id="6"/>
    </w:p>
    <w:p w14:paraId="44636F57" w14:textId="77777777" w:rsidR="00BD2BCE" w:rsidRPr="00DD0004" w:rsidRDefault="00BD2BCE" w:rsidP="00BD2BCE">
      <w:pPr>
        <w:pStyle w:val="EPComma"/>
      </w:pPr>
      <w:bookmarkStart w:id="7" w:name="TextBodyBegin"/>
      <w:bookmarkEnd w:id="7"/>
      <w:r w:rsidRPr="00DD0004">
        <w:rPr>
          <w:i/>
        </w:rPr>
        <w:t>Το Ευρωπαϊκό Κοινοβούλιο</w:t>
      </w:r>
      <w:r w:rsidRPr="00DD0004">
        <w:t>,</w:t>
      </w:r>
    </w:p>
    <w:p w14:paraId="35B33818" w14:textId="77777777" w:rsidR="00BD2BCE" w:rsidRPr="00DD0004" w:rsidRDefault="00BD2BCE" w:rsidP="00BD2BCE">
      <w:pPr>
        <w:pStyle w:val="NormalHanging12a"/>
      </w:pPr>
      <w:r w:rsidRPr="00DD0004">
        <w:t>–</w:t>
      </w:r>
      <w:r w:rsidRPr="00DD0004">
        <w:tab/>
        <w:t>έχοντας υπόψη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MON 94637 σύμφωνα με τον κανονισμό (ΕΚ) αριθ. 1829/2003 του Ευρωπαϊκού Κοινοβουλίου και του Συμβουλίου (D113501/03),</w:t>
      </w:r>
    </w:p>
    <w:p w14:paraId="377BC23E" w14:textId="77777777" w:rsidR="00BD2BCE" w:rsidRPr="00DD0004" w:rsidRDefault="00BD2BCE" w:rsidP="00BD2BCE">
      <w:pPr>
        <w:pStyle w:val="NormalHanging12a"/>
      </w:pPr>
      <w:r w:rsidRPr="00DD0004">
        <w:t>–</w:t>
      </w:r>
      <w:r w:rsidRPr="00DD0004">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DD0004">
        <w:rPr>
          <w:rStyle w:val="FootnoteReference"/>
        </w:rPr>
        <w:footnoteReference w:id="1"/>
      </w:r>
      <w:r w:rsidRPr="00DD0004">
        <w:t>, και ιδίως το άρθρο 7 παράγραφος 3 και το άρθρο 19 παράγραφος 3,</w:t>
      </w:r>
    </w:p>
    <w:p w14:paraId="21D78FFA" w14:textId="77777777" w:rsidR="00BD2BCE" w:rsidRPr="00DD0004" w:rsidRDefault="00BD2BCE" w:rsidP="00BD2BCE">
      <w:pPr>
        <w:pStyle w:val="NormalHanging12a"/>
      </w:pPr>
      <w:r w:rsidRPr="00DD0004">
        <w:t>–</w:t>
      </w:r>
      <w:r w:rsidRPr="00DD0004">
        <w:tab/>
        <w:t>έχοντας υπόψη την ψηφοφορία στη Μόνιμη Επιτροπή Φυτών, Ζώων, Τροφίμων και Ζωοτροφών κατά το άρθρο 35 του κανονισμού (ΕΚ) αριθ. 1829/2003, η οποία πραγματοποιήθηκε στις 27 Φεβρουαρίου 2026, κατά την οποία δεν εκδόθηκε γνώμη,</w:t>
      </w:r>
      <w:bookmarkStart w:id="8" w:name="_Hlk219206484"/>
      <w:r w:rsidRPr="00DD0004">
        <w:t xml:space="preserve"> και την ψηφοφορία στην επιτροπή προσφυγών στις 31 Μαρτίου 2026, που κατέληξε επίσης σε μη έκδοση γνωμοδότησης,</w:t>
      </w:r>
      <w:bookmarkEnd w:id="8"/>
    </w:p>
    <w:p w14:paraId="65BB4049" w14:textId="2F66F8CD" w:rsidR="00BD2BCE" w:rsidRPr="00DD0004" w:rsidRDefault="00BD2BCE" w:rsidP="00BD2BCE">
      <w:pPr>
        <w:pStyle w:val="NormalHanging12a"/>
        <w:widowControl/>
      </w:pPr>
      <w:r w:rsidRPr="00DD0004">
        <w:t>–</w:t>
      </w:r>
      <w:r w:rsidRPr="00DD0004">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bookmarkStart w:id="9" w:name="_Hlk210662860"/>
      <w:r w:rsidRPr="00DD0004">
        <w:rPr>
          <w:rStyle w:val="FootnoteReference"/>
          <w:szCs w:val="24"/>
        </w:rPr>
        <w:footnoteReference w:id="2"/>
      </w:r>
      <w:bookmarkEnd w:id="9"/>
      <w:r w:rsidRPr="00DD0004">
        <w:t>,</w:t>
      </w:r>
    </w:p>
    <w:p w14:paraId="5B9E21E2" w14:textId="77777777" w:rsidR="00BD2BCE" w:rsidRPr="00DD0004" w:rsidRDefault="00BD2BCE" w:rsidP="00BD2BCE">
      <w:pPr>
        <w:pStyle w:val="NormalHanging12a"/>
      </w:pPr>
      <w:r w:rsidRPr="00DD0004">
        <w:t>–</w:t>
      </w:r>
      <w:r w:rsidRPr="00DD0004">
        <w:tab/>
        <w:t xml:space="preserve">έχοντας υπόψη τη γνώμη που εκδόθηκε από την Ευρωπαϊκή Αρχή για την Ασφάλεια των Τροφίμων (EFSA) την 1η Ιουλίου 2025 και δημοσιεύθηκε στις 23 Οκτωβρίου </w:t>
      </w:r>
      <w:r w:rsidRPr="00DD0004">
        <w:lastRenderedPageBreak/>
        <w:t>2025</w:t>
      </w:r>
      <w:r w:rsidRPr="00DD0004">
        <w:rPr>
          <w:rStyle w:val="FootnoteReference"/>
        </w:rPr>
        <w:footnoteReference w:id="3"/>
      </w:r>
      <w:r w:rsidRPr="00DD0004">
        <w:t>,</w:t>
      </w:r>
    </w:p>
    <w:p w14:paraId="5C86D47C" w14:textId="77777777" w:rsidR="00BD2BCE" w:rsidRPr="00DD0004" w:rsidRDefault="00BD2BCE" w:rsidP="00BD2BCE">
      <w:pPr>
        <w:pStyle w:val="NormalHanging12a"/>
      </w:pPr>
      <w:r w:rsidRPr="00DD0004">
        <w:t>–</w:t>
      </w:r>
      <w:r w:rsidRPr="00DD0004">
        <w:tab/>
        <w:t>έχοντας υπόψη τα προηγούμενα ψηφίσματά του που διατύπωναν αντίρρηση στην έγκριση γενετικώς τροποποιημένων οργανισμών («ΓΤΟ»)</w:t>
      </w:r>
      <w:r w:rsidRPr="00DD0004">
        <w:rPr>
          <w:rStyle w:val="FootnoteReference"/>
        </w:rPr>
        <w:footnoteReference w:id="4"/>
      </w:r>
      <w:r w:rsidRPr="00DD0004">
        <w:t>,</w:t>
      </w:r>
    </w:p>
    <w:p w14:paraId="3B927CC7" w14:textId="77777777" w:rsidR="00BD2BCE" w:rsidRPr="00DD0004" w:rsidRDefault="00BD2BCE" w:rsidP="00BD2BCE">
      <w:pPr>
        <w:pStyle w:val="NormalHanging12a"/>
      </w:pPr>
      <w:r w:rsidRPr="00DD0004">
        <w:lastRenderedPageBreak/>
        <w:t>–</w:t>
      </w:r>
      <w:r w:rsidRPr="00DD0004">
        <w:tab/>
        <w:t>έχοντας υπόψη το άρθρο 115 παράγραφοι 2 και 3 του Κανονισμού,</w:t>
      </w:r>
    </w:p>
    <w:p w14:paraId="7DC9AF10" w14:textId="77777777" w:rsidR="00BD2BCE" w:rsidRPr="00DD0004" w:rsidRDefault="00BD2BCE" w:rsidP="00BD2BCE">
      <w:pPr>
        <w:pStyle w:val="NormalHanging12a"/>
      </w:pPr>
      <w:r w:rsidRPr="00DD0004">
        <w:t>–</w:t>
      </w:r>
      <w:r w:rsidRPr="00DD0004">
        <w:tab/>
        <w:t>έχοντας υπόψη την πρόταση ψηφίσματος της Επιτροπής Περιβάλλοντος, Κλίματος και Ασφάλειας των Τροφίμων,</w:t>
      </w:r>
    </w:p>
    <w:p w14:paraId="3D4DF1AC" w14:textId="1C638CDE" w:rsidR="00BD2BCE" w:rsidRPr="00DD0004" w:rsidRDefault="00BD2BCE" w:rsidP="00BD2BCE">
      <w:pPr>
        <w:pStyle w:val="NormalHanging12a"/>
      </w:pPr>
      <w:r w:rsidRPr="00DD0004">
        <w:t>Α.</w:t>
      </w:r>
      <w:r w:rsidRPr="00DD0004">
        <w:tab/>
        <w:t>λαμβάνοντας υπόψη ότι η γενετικώς τροποποιημένη σόγια MON 94637 (</w:t>
      </w:r>
      <w:r w:rsidR="0056310A" w:rsidRPr="00DD0004">
        <w:t>«</w:t>
      </w:r>
      <w:r w:rsidRPr="00DD0004">
        <w:t>ΓΤ σόγια</w:t>
      </w:r>
      <w:r w:rsidR="0056310A" w:rsidRPr="00DD0004">
        <w:t>»</w:t>
      </w:r>
      <w:r w:rsidRPr="00DD0004">
        <w:t xml:space="preserve">) αναπτύχθηκε για να παρέχει προστασία από ορισμένα επιβλαβή λεπιδόπτερα μέσω της έκφρασης δύο πρόσφατα σχεδιασμένων χιμαιρικών πρωτεϊνών </w:t>
      </w:r>
      <w:proofErr w:type="spellStart"/>
      <w:r w:rsidRPr="00DD0004">
        <w:t>Bt</w:t>
      </w:r>
      <w:proofErr w:type="spellEnd"/>
      <w:r w:rsidRPr="00DD0004">
        <w:t>, των Cry1A.2 και Cry1B.2·</w:t>
      </w:r>
    </w:p>
    <w:p w14:paraId="723D2CDF" w14:textId="77777777" w:rsidR="00BD2BCE" w:rsidRPr="00DD0004" w:rsidRDefault="00BD2BCE" w:rsidP="00BD2BCE">
      <w:pPr>
        <w:pStyle w:val="NormalHanging12a"/>
      </w:pPr>
      <w:r w:rsidRPr="00DD0004">
        <w:t>Β.</w:t>
      </w:r>
      <w:r w:rsidRPr="00DD0004">
        <w:tab/>
        <w:t>λαμβάνοντας υπόψη ότι, την 1η Ιουλίου 2025, η EFSA εξέδωσε θετική γνώμη στην οποία κατέληγε στο συμπέρασμα ότι η ΓΤ σόγια είναι εξίσου ασφαλής με την αντίστοιχη συμβατική ποικιλία, καθώς και με δοκιμασμένες μη γενετικά τροποποιημένες ποικιλίες σόγιας, όσον αφορά τις πιθανές επιπτώσεις στην υγεία των ανθρώπων και των ζώων και στο περιβάλλον· λαμβάνοντας υπόψη ότι η EFSA κατέληξε στο συμπέρασμα ότι η κατανάλωση τροφίμων και ζωοτροφών από ΓΤ σόγια δεν αποτελεί διατροφική ανησυχία και ότι η τυχαία περιβαλλοντική έκθεση δεν εγείρει ανησυχίες για την ασφάλεια·</w:t>
      </w:r>
    </w:p>
    <w:p w14:paraId="2FEF5B9A" w14:textId="77777777" w:rsidR="00BD2BCE" w:rsidRPr="00DD0004" w:rsidRDefault="00BD2BCE" w:rsidP="00BD2BCE">
      <w:pPr>
        <w:pStyle w:val="NormalHanging12a"/>
      </w:pPr>
      <w:r w:rsidRPr="00DD0004">
        <w:t>Γ.</w:t>
      </w:r>
      <w:r w:rsidRPr="00DD0004">
        <w:tab/>
        <w:t xml:space="preserve">λαμβάνοντας υπόψη ότι η EFSA κατέληξε επίσης στο συμπέρασμα ότι ο μοριακός χαρακτηρισμός και οι αναλύσεις </w:t>
      </w:r>
      <w:proofErr w:type="spellStart"/>
      <w:r w:rsidRPr="00DD0004">
        <w:t>βιοπληροφορικής</w:t>
      </w:r>
      <w:proofErr w:type="spellEnd"/>
      <w:r w:rsidRPr="00DD0004">
        <w:t xml:space="preserve"> δεν εντόπισαν ζητήματα που απαιτούν πρόσθετη αξιολόγηση της ασφάλειας των τροφίμων ή των ζωοτροφών και ότι δεν κρίθηκε αναγκαία η παρακολούθηση των τροφίμων ή των ζωοτροφών μετά τη διάθεσή τους στην αγορά·</w:t>
      </w:r>
    </w:p>
    <w:p w14:paraId="0C99EEB4" w14:textId="77777777" w:rsidR="00BD2BCE" w:rsidRPr="00DD0004" w:rsidRDefault="00BD2BCE" w:rsidP="00BD2BCE">
      <w:pPr>
        <w:pStyle w:val="NormalHanging12a"/>
      </w:pPr>
      <w:r w:rsidRPr="00DD0004">
        <w:t>Δ.</w:t>
      </w:r>
      <w:r w:rsidRPr="00DD0004">
        <w:tab/>
        <w:t xml:space="preserve">λαμβάνοντας υπόψη ότι, παρά την ευνοϊκή αξιολόγηση της EFSA, η επιστημονική βιβλιογραφία δείχνει ότι οι πρόσφατα </w:t>
      </w:r>
      <w:proofErr w:type="spellStart"/>
      <w:r w:rsidRPr="00DD0004">
        <w:t>σχεδιασθείσες</w:t>
      </w:r>
      <w:proofErr w:type="spellEnd"/>
      <w:r w:rsidRPr="00DD0004">
        <w:t xml:space="preserve"> χιμαιρικές τοξίνες </w:t>
      </w:r>
      <w:proofErr w:type="spellStart"/>
      <w:r w:rsidRPr="00DD0004">
        <w:t>Bt</w:t>
      </w:r>
      <w:proofErr w:type="spellEnd"/>
      <w:r w:rsidRPr="00DD0004">
        <w:t xml:space="preserve"> Cry1A.2 και Cry1B.2 παρουσιάζουν σημαντικά ενισχυμένη εντομοκτόνο δράση σε σύγκριση με τις γονικές τοξίνες τους, εγείροντας συγκεκριμένα ζητήματα ασφάλειας που δεν έχουν </w:t>
      </w:r>
      <w:r w:rsidRPr="00DD0004">
        <w:lastRenderedPageBreak/>
        <w:t>αντιμετωπιστεί επαρκώς</w:t>
      </w:r>
      <w:r w:rsidRPr="00DD0004">
        <w:rPr>
          <w:rStyle w:val="FootnoteReference"/>
        </w:rPr>
        <w:footnoteReference w:id="5"/>
      </w:r>
      <w:r w:rsidRPr="00DD0004">
        <w:t>·</w:t>
      </w:r>
    </w:p>
    <w:p w14:paraId="08671502" w14:textId="77777777" w:rsidR="00BD2BCE" w:rsidRPr="00DD0004" w:rsidRDefault="00BD2BCE" w:rsidP="00BD2BCE">
      <w:pPr>
        <w:pStyle w:val="NormalHanging12a"/>
        <w:rPr>
          <w:color w:val="000000" w:themeColor="text1"/>
          <w:szCs w:val="24"/>
        </w:rPr>
      </w:pPr>
      <w:r w:rsidRPr="00DD0004">
        <w:rPr>
          <w:color w:val="000000" w:themeColor="text1"/>
        </w:rPr>
        <w:t>Ε.</w:t>
      </w:r>
      <w:r w:rsidRPr="00DD0004">
        <w:rPr>
          <w:color w:val="000000" w:themeColor="text1"/>
        </w:rPr>
        <w:tab/>
        <w:t>λαμβάνοντας υπόψη ότι η συστηματική ανασκόπηση της βιβλιογραφίας που υπέβαλε ο αιτών έχει επικριθεί για μεθοδολογικές ελλείψεις και για το γεγονός ότι δεν καλύπτει επαρκώς το πλήρες φάσμα της διαθέσιμης επιστημονικής βιβλιογραφίας·</w:t>
      </w:r>
    </w:p>
    <w:p w14:paraId="759DA83E" w14:textId="77777777" w:rsidR="00BD2BCE" w:rsidRPr="00DD0004" w:rsidRDefault="00BD2BCE" w:rsidP="00BD2BCE">
      <w:pPr>
        <w:spacing w:after="240"/>
        <w:ind w:left="567" w:hanging="567"/>
        <w:rPr>
          <w:szCs w:val="24"/>
        </w:rPr>
      </w:pPr>
      <w:r w:rsidRPr="00DD0004">
        <w:t>ΣΤ.</w:t>
      </w:r>
      <w:r w:rsidRPr="00DD0004">
        <w:tab/>
        <w:t xml:space="preserve">λαμβάνοντας υπόψη ότι ο μοριακός χαρακτηρισμός της ΓΤ σόγιας παραμένει ελλιπής, καθώς οι ακούσιες </w:t>
      </w:r>
      <w:proofErr w:type="spellStart"/>
      <w:r w:rsidRPr="00DD0004">
        <w:t>γονιδιωματικές</w:t>
      </w:r>
      <w:proofErr w:type="spellEnd"/>
      <w:r w:rsidRPr="00DD0004">
        <w:t xml:space="preserve"> αλλαγές και τα </w:t>
      </w:r>
      <w:proofErr w:type="spellStart"/>
      <w:r w:rsidRPr="00DD0004">
        <w:t>νεοδημιουργηθέντα</w:t>
      </w:r>
      <w:proofErr w:type="spellEnd"/>
      <w:r w:rsidRPr="00DD0004">
        <w:t xml:space="preserve"> ανοικτά πλαίσια ανάγνωσης δεν διερευνήθηκαν διεξοδικά με τη χρήση των πλέον προηγμένων προσεγγίσεων </w:t>
      </w:r>
      <w:proofErr w:type="spellStart"/>
      <w:r w:rsidRPr="00DD0004">
        <w:t>αλληλούχησης</w:t>
      </w:r>
      <w:proofErr w:type="spellEnd"/>
      <w:r w:rsidRPr="00DD0004">
        <w:t xml:space="preserve"> και «-</w:t>
      </w:r>
      <w:proofErr w:type="spellStart"/>
      <w:r w:rsidRPr="00DD0004">
        <w:t>ωματικής</w:t>
      </w:r>
      <w:proofErr w:type="spellEnd"/>
      <w:r w:rsidRPr="00DD0004">
        <w:t>»·</w:t>
      </w:r>
    </w:p>
    <w:p w14:paraId="3C4C4D68" w14:textId="77777777" w:rsidR="00BD2BCE" w:rsidRPr="00DD0004" w:rsidRDefault="00BD2BCE" w:rsidP="00BD2BCE">
      <w:pPr>
        <w:pStyle w:val="NormalHanging12a"/>
      </w:pPr>
      <w:r w:rsidRPr="00DD0004">
        <w:t>Ζ.</w:t>
      </w:r>
      <w:r w:rsidRPr="00DD0004">
        <w:tab/>
        <w:t xml:space="preserve">λαμβάνοντας υπόψη ότι η έκφραση γονιδίων αξιολογήθηκε μόνο υπό περιορισμένες συνθήκες πεδίου, συγκεκριμένα για ένα έτος και σε μία χώρα, χωρίς να ληφθούν επαρκώς υπόψη οι επιβαρυντικοί περιβαλλοντικοί παράγοντες ή τα διαφορετικά γενετικά υπόβαθρα, παρά τη γνωστή μεταβλητότητα στην έκφραση </w:t>
      </w:r>
      <w:proofErr w:type="spellStart"/>
      <w:r w:rsidRPr="00DD0004">
        <w:t>διαγονιδίων</w:t>
      </w:r>
      <w:proofErr w:type="spellEnd"/>
      <w:r w:rsidRPr="00DD0004">
        <w:t>·</w:t>
      </w:r>
    </w:p>
    <w:p w14:paraId="5642646C" w14:textId="77777777" w:rsidR="00BD2BCE" w:rsidRPr="00DD0004" w:rsidRDefault="00BD2BCE" w:rsidP="00BD2BCE">
      <w:pPr>
        <w:pStyle w:val="NormalWeb"/>
        <w:widowControl w:val="0"/>
        <w:spacing w:beforeAutospacing="0" w:after="240" w:afterAutospacing="0"/>
        <w:ind w:left="567" w:hanging="567"/>
      </w:pPr>
      <w:r w:rsidRPr="00DD0004">
        <w:t>Η.</w:t>
      </w:r>
      <w:r w:rsidRPr="00DD0004">
        <w:tab/>
        <w:t>λαμβάνοντας υπόψη ότι οι επιτόπιες δοκιμές που υποστηρίζουν την αίτηση ήταν περιορισμένες ως προς το γεωγραφικό και περιβαλλοντικό πεδίο εφαρμογής και δεν αντικατοπτρίζουν την ποικιλομορφία των περιβαλλοντικών συνθηκών υπό τις οποίες μπορεί να καλλιεργηθεί ή να μεταποιηθεί η σόγια·</w:t>
      </w:r>
    </w:p>
    <w:p w14:paraId="4C1374AD" w14:textId="77777777" w:rsidR="00BD2BCE" w:rsidRPr="00DD0004" w:rsidRDefault="00BD2BCE" w:rsidP="00BD2BCE">
      <w:pPr>
        <w:spacing w:after="240"/>
        <w:ind w:left="567" w:hanging="567"/>
      </w:pPr>
      <w:r w:rsidRPr="00DD0004">
        <w:t>Θ.</w:t>
      </w:r>
      <w:r w:rsidRPr="00DD0004">
        <w:tab/>
        <w:t xml:space="preserve">λαμβάνοντας υπόψη ότι οι περισσότερες τοξικολογικές μελέτες βασίστηκαν σε πρωτεΐνες </w:t>
      </w:r>
      <w:proofErr w:type="spellStart"/>
      <w:r w:rsidRPr="00DD0004">
        <w:t>Bt</w:t>
      </w:r>
      <w:proofErr w:type="spellEnd"/>
      <w:r w:rsidRPr="00DD0004">
        <w:t xml:space="preserve"> μικροβιακής προέλευσης και όχι σε πρωτεΐνες φυτικής προέλευσης, παρά τα στοιχεία που δείχνουν ότι συστατικά των φυτών, όπως οι αναστολείς </w:t>
      </w:r>
      <w:proofErr w:type="spellStart"/>
      <w:r w:rsidRPr="00DD0004">
        <w:t>πρωτεάσης</w:t>
      </w:r>
      <w:proofErr w:type="spellEnd"/>
      <w:r w:rsidRPr="00DD0004">
        <w:t xml:space="preserve">, μπορούν να ενισχύσουν την τοξικότητα του </w:t>
      </w:r>
      <w:proofErr w:type="spellStart"/>
      <w:r w:rsidRPr="00DD0004">
        <w:t>Bt</w:t>
      </w:r>
      <w:proofErr w:type="spellEnd"/>
      <w:r w:rsidRPr="00DD0004">
        <w:t>·</w:t>
      </w:r>
    </w:p>
    <w:p w14:paraId="216FEAD7" w14:textId="77777777" w:rsidR="00BD2BCE" w:rsidRPr="00DD0004" w:rsidRDefault="00BD2BCE" w:rsidP="00BD2BCE">
      <w:pPr>
        <w:pStyle w:val="NormalHanging12a"/>
      </w:pPr>
      <w:r w:rsidRPr="00DD0004">
        <w:t xml:space="preserve">Ι. </w:t>
      </w:r>
      <w:r w:rsidRPr="00DD0004">
        <w:tab/>
        <w:t>λαμβάνοντας υπόψη ότι αρκετά στατιστικά σημαντικά ευρήματα που παρατηρήθηκαν στις τοξικολογικές μελέτες διάρκειας 28 και 90 ημερών δεν οδήγησαν σε περαιτέρω διερευνητικές μελέτες·</w:t>
      </w:r>
    </w:p>
    <w:p w14:paraId="5D90F359" w14:textId="77777777" w:rsidR="00BD2BCE" w:rsidRPr="00DD0004" w:rsidRDefault="00BD2BCE" w:rsidP="00BD2BCE">
      <w:pPr>
        <w:spacing w:after="240"/>
        <w:ind w:left="567" w:hanging="567"/>
      </w:pPr>
      <w:r w:rsidRPr="00DD0004">
        <w:t>ΙΑ.</w:t>
      </w:r>
      <w:r w:rsidRPr="00DD0004">
        <w:tab/>
        <w:t xml:space="preserve">λαμβάνοντας υπόψη ότι οι πιθανές </w:t>
      </w:r>
      <w:proofErr w:type="spellStart"/>
      <w:r w:rsidRPr="00DD0004">
        <w:t>συνεργιστικές</w:t>
      </w:r>
      <w:proofErr w:type="spellEnd"/>
      <w:r w:rsidRPr="00DD0004">
        <w:t xml:space="preserve"> ή συνδυαστικές επιδράσεις μεταξύ των δύο τοξινών </w:t>
      </w:r>
      <w:proofErr w:type="spellStart"/>
      <w:r w:rsidRPr="00DD0004">
        <w:t>Bt</w:t>
      </w:r>
      <w:proofErr w:type="spellEnd"/>
      <w:r w:rsidRPr="00DD0004">
        <w:t>, με φυτικές ενώσεις ή με άλλους επιβαρυντικούς παράγοντες, δεν διερευνήθηκαν επαρκώς·</w:t>
      </w:r>
    </w:p>
    <w:p w14:paraId="1CD494D8" w14:textId="77777777" w:rsidR="00BD2BCE" w:rsidRPr="00DD0004" w:rsidRDefault="00BD2BCE" w:rsidP="00BD2BCE">
      <w:pPr>
        <w:spacing w:after="240"/>
        <w:ind w:left="567" w:hanging="567"/>
      </w:pPr>
      <w:r w:rsidRPr="00DD0004">
        <w:t>ΙΒ.</w:t>
      </w:r>
      <w:r w:rsidRPr="00DD0004">
        <w:tab/>
        <w:t>λαμβάνοντας υπόψη ότι η εκτίμηση περιβαλλοντικού κινδύνου δεν εξετάζει επαρκώς την πιθανή έκθεση μέσω διαρροών, κοπριάς ή λυμάτων, ούτε τις πιθανές επιπτώσεις σε μη στοχευόμενους οργανισμούς·</w:t>
      </w:r>
    </w:p>
    <w:p w14:paraId="225EF172" w14:textId="77777777" w:rsidR="00BD2BCE" w:rsidRPr="00DD0004" w:rsidRDefault="00BD2BCE" w:rsidP="00BD2BCE">
      <w:pPr>
        <w:pStyle w:val="NormalWeb"/>
        <w:widowControl w:val="0"/>
        <w:spacing w:beforeAutospacing="0" w:after="240" w:afterAutospacing="0"/>
        <w:ind w:left="567" w:hanging="567"/>
      </w:pPr>
      <w:r w:rsidRPr="00DD0004">
        <w:t>ΙΓ.</w:t>
      </w:r>
      <w:r w:rsidRPr="00DD0004">
        <w:tab/>
        <w:t xml:space="preserve">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w:t>
      </w:r>
      <w:r w:rsidRPr="00DD0004">
        <w:lastRenderedPageBreak/>
        <w:t>δημοκρατικό έλλειμμα·</w:t>
      </w:r>
    </w:p>
    <w:p w14:paraId="2F616720" w14:textId="77777777" w:rsidR="00BD2BCE" w:rsidRPr="00DD0004" w:rsidRDefault="00BD2BCE" w:rsidP="00BD2BCE">
      <w:pPr>
        <w:pStyle w:val="NormalWeb"/>
        <w:widowControl w:val="0"/>
        <w:shd w:val="clear" w:color="auto" w:fill="FFFFFF"/>
        <w:spacing w:beforeAutospacing="0" w:after="240" w:afterAutospacing="0"/>
        <w:ind w:left="567" w:hanging="567"/>
        <w:rPr>
          <w:color w:val="000000" w:themeColor="text1"/>
        </w:rPr>
      </w:pPr>
      <w:r w:rsidRPr="00DD0004">
        <w:rPr>
          <w:color w:val="000000" w:themeColor="text1"/>
        </w:rPr>
        <w:t>ΙΔ.</w:t>
      </w:r>
      <w:r w:rsidRPr="00DD0004">
        <w:rPr>
          <w:color w:val="000000" w:themeColor="text1"/>
        </w:rPr>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14:paraId="46BDFFC1" w14:textId="77777777" w:rsidR="00BD2BCE" w:rsidRPr="00DD0004" w:rsidRDefault="00BD2BCE" w:rsidP="00BD2BCE">
      <w:pPr>
        <w:spacing w:after="240"/>
        <w:ind w:left="567" w:hanging="567"/>
      </w:pPr>
      <w:r w:rsidRPr="00DD0004">
        <w:t>ΙΕ.</w:t>
      </w:r>
      <w:r w:rsidRPr="00DD0004">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διαρκούς βιωσιμότητας και ασφάλειας των ΓΤΟ·</w:t>
      </w:r>
    </w:p>
    <w:p w14:paraId="020973BF" w14:textId="77777777" w:rsidR="00BD2BCE" w:rsidRPr="00DD0004" w:rsidRDefault="00BD2BCE" w:rsidP="00BD2BCE">
      <w:pPr>
        <w:spacing w:after="240"/>
        <w:ind w:left="567" w:hanging="567"/>
      </w:pPr>
      <w:r w:rsidRPr="00DD0004">
        <w:t>1.</w:t>
      </w:r>
      <w:r w:rsidRPr="00DD0004">
        <w:tab/>
        <w:t>εκτιμά ότι το σχέδιο εκτελεστικής απόφασης της Επιτροπής υπερβαίνει τις εκτελεστικές αρμοδιότητες που προβλέπει ο κανονισμός (ΕΚ) αριθ. 1829/2003·</w:t>
      </w:r>
    </w:p>
    <w:p w14:paraId="3FAA17B1" w14:textId="77777777" w:rsidR="00BD2BCE" w:rsidRPr="00DD0004" w:rsidRDefault="00BD2BCE" w:rsidP="00BD2BCE">
      <w:pPr>
        <w:spacing w:after="240"/>
        <w:ind w:left="567" w:hanging="567"/>
      </w:pPr>
      <w:r w:rsidRPr="00DD0004">
        <w:t>2.</w:t>
      </w:r>
      <w:r w:rsidRPr="00DD0004">
        <w:tab/>
        <w:t>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DD0004">
        <w:rPr>
          <w:rStyle w:val="FootnoteReference"/>
        </w:rPr>
        <w:footnoteReference w:id="6"/>
      </w:r>
      <w:r w:rsidRPr="00DD0004">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14:paraId="7B5BA8B5" w14:textId="77777777" w:rsidR="00BD2BCE" w:rsidRPr="00DD0004" w:rsidRDefault="00BD2BCE" w:rsidP="00BD2BCE">
      <w:pPr>
        <w:spacing w:after="240"/>
        <w:ind w:left="567" w:hanging="567"/>
      </w:pPr>
      <w:bookmarkStart w:id="11" w:name="_Hlk213234159"/>
      <w:r w:rsidRPr="00DD0004">
        <w:t xml:space="preserve">3. </w:t>
      </w:r>
      <w:r w:rsidRPr="00DD0004">
        <w:tab/>
        <w:t>θεωρεί ότι η εκτίμηση κινδύνου παραμένει ελλιπής, ιδίως όσον αφορά τον μοριακό χαρακτηρισμό, την τοξικολογική αξιολόγηση και την εκτίμηση περιβαλλοντικού κινδύνου·</w:t>
      </w:r>
      <w:bookmarkEnd w:id="11"/>
    </w:p>
    <w:p w14:paraId="06641C92" w14:textId="77777777" w:rsidR="00BD2BCE" w:rsidRPr="00DD0004" w:rsidRDefault="00BD2BCE" w:rsidP="00BD2BCE">
      <w:pPr>
        <w:spacing w:after="240"/>
        <w:ind w:left="567" w:hanging="567"/>
      </w:pPr>
      <w:r w:rsidRPr="00DD0004">
        <w:t>4.</w:t>
      </w:r>
      <w:r w:rsidRPr="00DD0004">
        <w:tab/>
        <w:t>ζητεί από την Επιτροπή να αποσύρει την εκτελεστική απόφασή της·</w:t>
      </w:r>
    </w:p>
    <w:p w14:paraId="49A8C768" w14:textId="77777777" w:rsidR="00BD2BCE" w:rsidRPr="00DD0004" w:rsidRDefault="00BD2BCE" w:rsidP="00BD2BCE">
      <w:pPr>
        <w:spacing w:after="240"/>
        <w:ind w:left="567" w:hanging="567"/>
      </w:pPr>
      <w:r w:rsidRPr="00DD0004">
        <w:t>5.</w:t>
      </w:r>
      <w:r w:rsidRPr="00DD0004">
        <w:tab/>
        <w:t>καλεί την Επιτροπή να μην εγκρίνει τη ΓΤ σόγια λόγω της έλλειψης επαρκών στοιχείων σχετικά με τον μακροχρόνιο αντίκτυπο στη βιοποικιλότητα, την ασφάλεια των τροφίμων, τα μέσα διαβίωσης των γεωργών και την υγεία των ζώων, σύμφωνα με την προσέγγιση «Μία υγεία»·</w:t>
      </w:r>
    </w:p>
    <w:p w14:paraId="6AF6CDBA" w14:textId="77777777" w:rsidR="00BD2BCE" w:rsidRPr="00DD0004" w:rsidRDefault="00BD2BCE" w:rsidP="00BD2BCE">
      <w:pPr>
        <w:spacing w:after="240"/>
        <w:ind w:left="567" w:hanging="567"/>
      </w:pPr>
      <w:bookmarkStart w:id="12" w:name="_Hlk210900300"/>
      <w:r w:rsidRPr="00DD0004">
        <w:t>6.</w:t>
      </w:r>
      <w:r w:rsidRPr="00DD0004">
        <w:tab/>
        <w:t>ζητεί από την Επιτροπή να υποβάλει, χωρίς καθυστέρηση, νομοθετική πρόταση για τη μεταρρύθμιση της διαδικασίας λήψης αποφάσεων σχετικά με τους ΓΤΟ, προκειμένου να ανταποκριθεί στις συνεχείς αντιρρήσεις του Κοινοβουλίου και στην έλλειψη στήριξης από ειδική πλειοψηφία των κρατών μελών</w:t>
      </w:r>
      <w:bookmarkEnd w:id="12"/>
      <w:r w:rsidRPr="00DD0004">
        <w:t>·</w:t>
      </w:r>
    </w:p>
    <w:p w14:paraId="193F3675" w14:textId="77777777" w:rsidR="00BD2BCE" w:rsidRPr="00DD0004" w:rsidRDefault="00BD2BCE" w:rsidP="00BD2BCE">
      <w:pPr>
        <w:spacing w:after="240"/>
        <w:ind w:left="567" w:hanging="567"/>
      </w:pPr>
      <w:r w:rsidRPr="00DD0004">
        <w:t>7.</w:t>
      </w:r>
      <w:r w:rsidRPr="00DD0004">
        <w:tab/>
        <w:t xml:space="preserve">επισημαίνει, στο πλαίσιο αυτό, ότι η έγκριση της εισαγωγής για χρήση σε τρόφιμα ή ζωοτροφές οποιουδήποτε ΓΤ φυτού που έχει καταστεί ανθεκτικό σε απαγορευμένα από την ΕΕ ζιζανιοκτόνα, όπως το </w:t>
      </w:r>
      <w:proofErr w:type="spellStart"/>
      <w:r w:rsidRPr="00DD0004">
        <w:t>γλουφοσινικό</w:t>
      </w:r>
      <w:proofErr w:type="spellEnd"/>
      <w:r w:rsidRPr="00DD0004">
        <w:t xml:space="preserve">, δεν συνάδει με τις διεθνείς δεσμεύσεις της Ένωσης στο πλαίσιο, μεταξύ άλλων, της σύμβασης των Ηνωμένων Εθνών για τη βιολογική ποικιλότητα και των στόχων βιώσιμης ανάπτυξης των Ηνωμένων Εθνών, συμπεριλαμβανομένου του πλαισίου </w:t>
      </w:r>
      <w:proofErr w:type="spellStart"/>
      <w:r w:rsidRPr="00DD0004">
        <w:t>Κουνμίνγκ</w:t>
      </w:r>
      <w:proofErr w:type="spellEnd"/>
      <w:r w:rsidRPr="00DD0004">
        <w:t xml:space="preserve">-Μόντρεαλ, και δημιουργεί άνισους </w:t>
      </w:r>
      <w:r w:rsidRPr="00DD0004">
        <w:lastRenderedPageBreak/>
        <w:t>όρους ανταγωνισμού για τους γεωργούς της Ένωσης·</w:t>
      </w:r>
    </w:p>
    <w:p w14:paraId="2918F0E9" w14:textId="69FED08F" w:rsidR="005F45AA" w:rsidRPr="00DD0004" w:rsidRDefault="00BD2BCE" w:rsidP="005F45AA">
      <w:pPr>
        <w:spacing w:after="240"/>
        <w:ind w:left="567" w:hanging="567"/>
      </w:pPr>
      <w:bookmarkStart w:id="13" w:name="_Hlk210900241"/>
      <w:bookmarkEnd w:id="13"/>
      <w:r w:rsidRPr="00DD0004">
        <w:t>8.</w:t>
      </w:r>
      <w:r w:rsidRPr="00DD0004">
        <w:tab/>
        <w:t>αναθέτει στην Πρόεδρό του να διαβιβάσει το παρόν ψήφισμα στο Συμβούλιο και στην Επιτροπή, καθώς και στις κυβερνήσεις και τα κοινοβούλια των κρατών μελών.</w:t>
      </w:r>
    </w:p>
    <w:p w14:paraId="5DCF63EC" w14:textId="3EC0E945" w:rsidR="00E365E1" w:rsidRPr="00DD0004" w:rsidRDefault="00E365E1" w:rsidP="00095F42"/>
    <w:sectPr w:rsidR="00E365E1" w:rsidRPr="00DD0004" w:rsidSect="005F45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AAA6B" w14:textId="77777777" w:rsidR="00095F42" w:rsidRPr="005F45AA" w:rsidRDefault="00095F42">
      <w:r w:rsidRPr="005F45AA">
        <w:separator/>
      </w:r>
    </w:p>
  </w:endnote>
  <w:endnote w:type="continuationSeparator" w:id="0">
    <w:p w14:paraId="213A432F" w14:textId="77777777" w:rsidR="00095F42" w:rsidRPr="005F45AA" w:rsidRDefault="00095F42">
      <w:r w:rsidRPr="005F45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63A78" w14:textId="77777777" w:rsidR="00064002" w:rsidRPr="005F45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2EE30" w14:textId="77777777" w:rsidR="00064002" w:rsidRPr="005F45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25CEB" w14:textId="77777777" w:rsidR="00064002" w:rsidRPr="005F45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10030" w14:textId="77777777" w:rsidR="00095F42" w:rsidRPr="005F45AA" w:rsidRDefault="00095F42">
      <w:r w:rsidRPr="005F45AA">
        <w:separator/>
      </w:r>
    </w:p>
  </w:footnote>
  <w:footnote w:type="continuationSeparator" w:id="0">
    <w:p w14:paraId="098CB6DA" w14:textId="77777777" w:rsidR="00095F42" w:rsidRPr="005F45AA" w:rsidRDefault="00095F42">
      <w:r w:rsidRPr="005F45AA">
        <w:continuationSeparator/>
      </w:r>
    </w:p>
  </w:footnote>
  <w:footnote w:id="1">
    <w:p w14:paraId="6D0E738C" w14:textId="00091E74" w:rsidR="00BD2BCE" w:rsidRPr="005F45AA" w:rsidRDefault="00BD2BCE" w:rsidP="005F45AA">
      <w:pPr>
        <w:pStyle w:val="FootnoteText"/>
        <w:ind w:left="567" w:hanging="567"/>
        <w:rPr>
          <w:sz w:val="24"/>
          <w:lang w:val="el-GR"/>
        </w:rPr>
      </w:pPr>
      <w:r w:rsidRPr="005F45AA">
        <w:rPr>
          <w:rStyle w:val="Funotenzeichen"/>
          <w:sz w:val="24"/>
          <w:lang w:val="el-GR"/>
        </w:rPr>
        <w:footnoteRef/>
      </w:r>
      <w:r w:rsidR="005F45AA" w:rsidRPr="005F45AA">
        <w:rPr>
          <w:sz w:val="24"/>
          <w:lang w:val="el-GR"/>
        </w:rPr>
        <w:t xml:space="preserve"> </w:t>
      </w:r>
      <w:r w:rsidR="005F45AA" w:rsidRPr="005F45AA">
        <w:rPr>
          <w:sz w:val="24"/>
          <w:lang w:val="el-GR"/>
        </w:rPr>
        <w:tab/>
      </w:r>
      <w:r w:rsidRPr="005F45AA">
        <w:rPr>
          <w:sz w:val="24"/>
          <w:lang w:val="el-GR"/>
        </w:rPr>
        <w:t xml:space="preserve">ΕΕ L 268 της 18.10.2003, σ. 1, ELI: </w:t>
      </w:r>
      <w:hyperlink r:id="rId1" w:tooltip="Πρόσβαση στο έγγραφο μέσω URI τύπου ELI." w:history="1">
        <w:r w:rsidRPr="005F45AA">
          <w:rPr>
            <w:rStyle w:val="Hyperlink"/>
            <w:sz w:val="24"/>
            <w:lang w:val="el-GR"/>
          </w:rPr>
          <w:t>http://data.europa.eu/eli/reg/2003/1829/oj</w:t>
        </w:r>
      </w:hyperlink>
      <w:r w:rsidRPr="005F45AA">
        <w:rPr>
          <w:sz w:val="24"/>
          <w:lang w:val="el-GR"/>
        </w:rPr>
        <w:t>.</w:t>
      </w:r>
    </w:p>
  </w:footnote>
  <w:footnote w:id="2">
    <w:p w14:paraId="5E73B087" w14:textId="52CDA398" w:rsidR="00BD2BCE" w:rsidRPr="005F45AA" w:rsidRDefault="00BD2BCE" w:rsidP="005F45AA">
      <w:pPr>
        <w:pStyle w:val="FootnoteText"/>
        <w:ind w:left="567" w:hanging="567"/>
        <w:rPr>
          <w:sz w:val="24"/>
          <w:lang w:val="el-GR"/>
        </w:rPr>
      </w:pPr>
      <w:r w:rsidRPr="005F45AA">
        <w:rPr>
          <w:rStyle w:val="Funotenzeichen"/>
          <w:sz w:val="24"/>
          <w:lang w:val="el-GR"/>
        </w:rPr>
        <w:footnoteRef/>
      </w:r>
      <w:bookmarkStart w:id="10" w:name="_Hlk210663104_Kopie_1"/>
      <w:r w:rsidR="005F45AA" w:rsidRPr="005F45AA">
        <w:rPr>
          <w:sz w:val="24"/>
          <w:lang w:val="el-GR"/>
        </w:rPr>
        <w:t xml:space="preserve"> </w:t>
      </w:r>
      <w:r w:rsidR="005F45AA" w:rsidRPr="005F45AA">
        <w:rPr>
          <w:sz w:val="24"/>
          <w:lang w:val="el-GR"/>
        </w:rPr>
        <w:tab/>
      </w:r>
      <w:r w:rsidRPr="005F45AA">
        <w:rPr>
          <w:sz w:val="24"/>
          <w:lang w:val="el-GR"/>
        </w:rPr>
        <w:t xml:space="preserve">ΕΕ L 55 της 28.2.2011, σ. </w:t>
      </w:r>
      <w:r w:rsidRPr="005F45AA">
        <w:rPr>
          <w:sz w:val="24"/>
          <w:lang w:val="el-GR"/>
        </w:rPr>
        <w:t xml:space="preserve">13, ELI: </w:t>
      </w:r>
      <w:hyperlink r:id="rId2">
        <w:r w:rsidRPr="005F45AA">
          <w:rPr>
            <w:rStyle w:val="Hyperlink"/>
            <w:sz w:val="24"/>
            <w:lang w:val="el-GR"/>
          </w:rPr>
          <w:t>http://data.europa.eu/eli/reg/2011/182/oj</w:t>
        </w:r>
      </w:hyperlink>
      <w:r w:rsidRPr="005F45AA">
        <w:rPr>
          <w:sz w:val="24"/>
          <w:lang w:val="el-GR"/>
        </w:rPr>
        <w:t>.</w:t>
      </w:r>
      <w:bookmarkEnd w:id="10"/>
    </w:p>
  </w:footnote>
  <w:footnote w:id="3">
    <w:p w14:paraId="17480FD3" w14:textId="7226550C" w:rsidR="00BD2BCE" w:rsidRPr="005F45AA" w:rsidRDefault="00BD2BCE" w:rsidP="005F45AA">
      <w:pPr>
        <w:pStyle w:val="FootnoteText"/>
        <w:ind w:left="567" w:hanging="567"/>
        <w:rPr>
          <w:sz w:val="24"/>
          <w:lang w:val="el-GR"/>
        </w:rPr>
      </w:pPr>
      <w:r w:rsidRPr="005F45AA">
        <w:rPr>
          <w:rStyle w:val="Funotenzeichen"/>
          <w:sz w:val="24"/>
          <w:lang w:val="el-GR"/>
        </w:rPr>
        <w:footnoteRef/>
      </w:r>
      <w:r w:rsidR="005F45AA" w:rsidRPr="005F45AA">
        <w:rPr>
          <w:sz w:val="24"/>
          <w:lang w:val="el-GR"/>
        </w:rPr>
        <w:t xml:space="preserve"> </w:t>
      </w:r>
      <w:r w:rsidR="005F45AA" w:rsidRPr="005F45AA">
        <w:rPr>
          <w:sz w:val="24"/>
          <w:lang w:val="el-GR"/>
        </w:rPr>
        <w:tab/>
      </w:r>
      <w:r w:rsidRPr="005F45AA">
        <w:rPr>
          <w:sz w:val="24"/>
          <w:lang w:val="el-GR"/>
        </w:rPr>
        <w:t xml:space="preserve">Επιστημονική γνώμη της ομάδας της EFSA για τους γενετικώς τροποποιημένους οργανισμούς, «Αξιολόγηση της γενετικώς τροποποιημένης σόγιας MON 94637 (αίτηση GMFF-2023-21116)», </w:t>
      </w:r>
      <w:r w:rsidRPr="005F45AA">
        <w:rPr>
          <w:i/>
          <w:sz w:val="24"/>
          <w:lang w:val="el-GR"/>
        </w:rPr>
        <w:t>EFSA Journal</w:t>
      </w:r>
      <w:r w:rsidRPr="005F45AA">
        <w:rPr>
          <w:sz w:val="24"/>
          <w:lang w:val="el-GR"/>
        </w:rPr>
        <w:t xml:space="preserve"> 2025·23(10):e9581, </w:t>
      </w:r>
      <w:hyperlink r:id="rId3">
        <w:r w:rsidRPr="005F45AA">
          <w:rPr>
            <w:rStyle w:val="Hyperlink"/>
            <w:sz w:val="24"/>
            <w:lang w:val="el-GR"/>
          </w:rPr>
          <w:t>https://doi.org/10.2903/j.efsa.2025.9581</w:t>
        </w:r>
      </w:hyperlink>
      <w:r w:rsidRPr="005F45AA">
        <w:rPr>
          <w:rStyle w:val="Hyperlink"/>
          <w:sz w:val="24"/>
          <w:lang w:val="el-GR"/>
        </w:rPr>
        <w:t>.</w:t>
      </w:r>
    </w:p>
  </w:footnote>
  <w:footnote w:id="4">
    <w:p w14:paraId="4293D0E4" w14:textId="6A39ACB5" w:rsidR="00BD2BCE" w:rsidRPr="005F45AA" w:rsidRDefault="00BD2BCE" w:rsidP="005F45AA">
      <w:pPr>
        <w:pStyle w:val="FootnoteText"/>
        <w:ind w:left="567" w:hanging="567"/>
        <w:rPr>
          <w:color w:val="000000" w:themeColor="text1"/>
          <w:sz w:val="24"/>
          <w:vertAlign w:val="superscript"/>
          <w:lang w:val="el-GR"/>
        </w:rPr>
      </w:pPr>
      <w:r w:rsidRPr="005F45AA">
        <w:rPr>
          <w:rStyle w:val="Funotenzeichen"/>
          <w:sz w:val="24"/>
          <w:lang w:val="el-GR"/>
        </w:rPr>
        <w:footnoteRef/>
      </w:r>
      <w:r w:rsidR="005F45AA" w:rsidRPr="005F45AA">
        <w:rPr>
          <w:sz w:val="24"/>
          <w:lang w:val="el-GR"/>
        </w:rPr>
        <w:t xml:space="preserve"> </w:t>
      </w:r>
      <w:r w:rsidR="005F45AA" w:rsidRPr="005F45AA">
        <w:rPr>
          <w:sz w:val="24"/>
          <w:lang w:val="el-GR"/>
        </w:rPr>
        <w:tab/>
      </w:r>
      <w:r w:rsidRPr="005F45AA">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5F45AA">
        <w:rPr>
          <w:color w:val="000000" w:themeColor="text1"/>
          <w:sz w:val="24"/>
          <w:lang w:val="el-GR"/>
        </w:rPr>
        <w:t xml:space="preserve"> Επιπλέον, κατά τη δέκατη κοινοβουλευτική του περίοδο, το Κοινοβούλιο έχει εγκρίνει τα ακόλουθα ψηφίσματα:</w:t>
      </w:r>
    </w:p>
    <w:p w14:paraId="3BC1A05B" w14:textId="0C69C6A9" w:rsidR="00BD2BCE" w:rsidRPr="005F45AA" w:rsidRDefault="00BD2BCE" w:rsidP="00DD0004">
      <w:pPr>
        <w:pStyle w:val="FootnoteText"/>
        <w:ind w:left="1134" w:hanging="567"/>
        <w:rPr>
          <w:color w:val="000000" w:themeColor="text1"/>
          <w:sz w:val="24"/>
          <w:vertAlign w:val="superscript"/>
          <w:lang w:val="el-GR"/>
        </w:rPr>
      </w:pPr>
      <w:r w:rsidRPr="005F45AA">
        <w:rPr>
          <w:color w:val="000000" w:themeColor="text1"/>
          <w:sz w:val="24"/>
          <w:lang w:val="el-GR"/>
        </w:rPr>
        <w:t>–</w:t>
      </w:r>
      <w:r w:rsidRPr="005F45AA">
        <w:rPr>
          <w:color w:val="000000" w:themeColor="text1"/>
          <w:sz w:val="24"/>
          <w:lang w:val="el-GR"/>
        </w:rPr>
        <w:tab/>
        <w:t xml:space="preserve">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hyperlink r:id="rId4">
        <w:r w:rsidRPr="005F45AA">
          <w:rPr>
            <w:rStyle w:val="Hyperlink"/>
            <w:sz w:val="24"/>
            <w:lang w:val="el-GR"/>
          </w:rPr>
          <w:t>http://data.europa.eu/eli/C/2025/1797/oj</w:t>
        </w:r>
      </w:hyperlink>
      <w:r w:rsidRPr="005F45AA">
        <w:rPr>
          <w:color w:val="000000" w:themeColor="text1"/>
          <w:sz w:val="24"/>
          <w:lang w:val="el-GR"/>
        </w:rPr>
        <w:t>).</w:t>
      </w:r>
    </w:p>
    <w:p w14:paraId="0E31A19F" w14:textId="2C4DE9FF" w:rsidR="00BD2BCE" w:rsidRPr="005F45AA" w:rsidRDefault="00BD2BCE" w:rsidP="00DD0004">
      <w:pPr>
        <w:pStyle w:val="FootnoteText"/>
        <w:ind w:left="1134" w:hanging="567"/>
        <w:rPr>
          <w:color w:val="000000" w:themeColor="text1"/>
          <w:sz w:val="24"/>
          <w:vertAlign w:val="superscript"/>
          <w:lang w:val="el-GR"/>
        </w:rPr>
      </w:pPr>
      <w:r w:rsidRPr="005F45AA">
        <w:rPr>
          <w:color w:val="000000" w:themeColor="text1"/>
          <w:sz w:val="24"/>
          <w:lang w:val="el-GR"/>
        </w:rPr>
        <w:t>–</w:t>
      </w:r>
      <w:r w:rsidRPr="005F45AA">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r w:rsidRPr="005F45AA">
          <w:rPr>
            <w:rStyle w:val="Hyperlink"/>
            <w:sz w:val="24"/>
            <w:lang w:val="el-GR"/>
          </w:rPr>
          <w:t>http://data.europa.eu/eli/C/2025/1798/oj</w:t>
        </w:r>
      </w:hyperlink>
      <w:r w:rsidRPr="005F45AA">
        <w:rPr>
          <w:color w:val="000000" w:themeColor="text1"/>
          <w:sz w:val="24"/>
          <w:lang w:val="el-GR"/>
        </w:rPr>
        <w:t>).</w:t>
      </w:r>
    </w:p>
    <w:p w14:paraId="21120D15" w14:textId="34A4AD5C" w:rsidR="00BD2BCE" w:rsidRPr="005F45AA" w:rsidRDefault="00BD2BCE" w:rsidP="00DD0004">
      <w:pPr>
        <w:pStyle w:val="FootnoteText"/>
        <w:ind w:left="1134" w:hanging="567"/>
        <w:rPr>
          <w:color w:val="000000" w:themeColor="text1"/>
          <w:sz w:val="24"/>
          <w:vertAlign w:val="superscript"/>
          <w:lang w:val="el-GR"/>
        </w:rPr>
      </w:pPr>
      <w:r w:rsidRPr="005F45AA">
        <w:rPr>
          <w:color w:val="000000" w:themeColor="text1"/>
          <w:sz w:val="24"/>
          <w:lang w:val="el-GR"/>
        </w:rPr>
        <w:t>–</w:t>
      </w:r>
      <w:r w:rsidRPr="005F45AA">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r w:rsidRPr="005F45AA">
          <w:rPr>
            <w:rStyle w:val="Hyperlink"/>
            <w:sz w:val="24"/>
            <w:lang w:val="el-GR"/>
          </w:rPr>
          <w:t>http://data.europa.eu/eli/C/2025/1799/oj</w:t>
        </w:r>
      </w:hyperlink>
      <w:r w:rsidRPr="005F45AA">
        <w:rPr>
          <w:color w:val="000000" w:themeColor="text1"/>
          <w:sz w:val="24"/>
          <w:lang w:val="el-GR"/>
        </w:rPr>
        <w:t>).</w:t>
      </w:r>
    </w:p>
    <w:p w14:paraId="4C8C9A92" w14:textId="5F9F9A30" w:rsidR="00BD2BCE" w:rsidRPr="005F45AA" w:rsidRDefault="00BD2BCE" w:rsidP="00DD0004">
      <w:pPr>
        <w:pStyle w:val="FootnoteText"/>
        <w:ind w:left="1134" w:hanging="567"/>
        <w:rPr>
          <w:color w:val="000000" w:themeColor="text1"/>
          <w:sz w:val="24"/>
          <w:vertAlign w:val="superscript"/>
          <w:lang w:val="el-GR"/>
        </w:rPr>
      </w:pPr>
      <w:r w:rsidRPr="005F45AA">
        <w:rPr>
          <w:color w:val="000000" w:themeColor="text1"/>
          <w:sz w:val="24"/>
          <w:lang w:val="el-GR"/>
        </w:rPr>
        <w:t>–</w:t>
      </w:r>
      <w:r w:rsidRPr="005F45AA">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r w:rsidRPr="005F45AA">
          <w:rPr>
            <w:rStyle w:val="Hyperlink"/>
            <w:sz w:val="24"/>
            <w:lang w:val="el-GR"/>
          </w:rPr>
          <w:t>http://data.europa.eu/eli/C/2025/1800/oj</w:t>
        </w:r>
      </w:hyperlink>
      <w:r w:rsidRPr="005F45AA">
        <w:rPr>
          <w:color w:val="000000" w:themeColor="text1"/>
          <w:sz w:val="24"/>
          <w:lang w:val="el-GR"/>
        </w:rPr>
        <w:t>).</w:t>
      </w:r>
    </w:p>
    <w:p w14:paraId="4912B8DE" w14:textId="3DDA723C" w:rsidR="00BD2BCE" w:rsidRPr="005F45AA" w:rsidRDefault="00BD2BCE" w:rsidP="00DD0004">
      <w:pPr>
        <w:pStyle w:val="FootnoteText"/>
        <w:ind w:left="1134" w:hanging="567"/>
        <w:rPr>
          <w:color w:val="000000" w:themeColor="text1"/>
          <w:sz w:val="24"/>
          <w:vertAlign w:val="superscript"/>
          <w:lang w:val="el-GR"/>
        </w:rPr>
      </w:pPr>
      <w:r w:rsidRPr="005F45AA">
        <w:rPr>
          <w:color w:val="000000" w:themeColor="text1"/>
          <w:sz w:val="24"/>
          <w:lang w:val="el-GR"/>
        </w:rPr>
        <w:t>–</w:t>
      </w:r>
      <w:r w:rsidRPr="005F45AA">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r w:rsidRPr="005F45AA">
          <w:rPr>
            <w:rStyle w:val="Hyperlink"/>
            <w:sz w:val="24"/>
            <w:lang w:val="el-GR"/>
          </w:rPr>
          <w:t>http://data.europa.eu/eli/C/2025/1801/oj</w:t>
        </w:r>
      </w:hyperlink>
      <w:r w:rsidRPr="005F45AA">
        <w:rPr>
          <w:color w:val="000000" w:themeColor="text1"/>
          <w:sz w:val="24"/>
          <w:lang w:val="el-GR"/>
        </w:rPr>
        <w:t>).</w:t>
      </w:r>
    </w:p>
    <w:p w14:paraId="6E4AF0B7" w14:textId="161BCB56" w:rsidR="00BD2BCE" w:rsidRPr="005F45AA" w:rsidRDefault="00BD2BCE" w:rsidP="00DD0004">
      <w:pPr>
        <w:pStyle w:val="FootnoteText"/>
        <w:ind w:left="1134" w:hanging="567"/>
        <w:rPr>
          <w:color w:val="000000" w:themeColor="text1"/>
          <w:sz w:val="24"/>
          <w:vertAlign w:val="superscript"/>
          <w:lang w:val="el-GR"/>
        </w:rPr>
      </w:pPr>
      <w:r w:rsidRPr="005F45AA">
        <w:rPr>
          <w:color w:val="000000" w:themeColor="text1"/>
          <w:sz w:val="24"/>
          <w:lang w:val="el-GR"/>
        </w:rPr>
        <w:t>–</w:t>
      </w:r>
      <w:r w:rsidRPr="005F45AA">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r w:rsidRPr="005F45AA">
          <w:rPr>
            <w:rStyle w:val="Hyperlink"/>
            <w:sz w:val="24"/>
            <w:lang w:val="el-GR"/>
          </w:rPr>
          <w:t>http://data.europa.eu/eli/C/2025/1802/oj</w:t>
        </w:r>
      </w:hyperlink>
      <w:r w:rsidRPr="005F45AA">
        <w:rPr>
          <w:color w:val="000000" w:themeColor="text1"/>
          <w:sz w:val="24"/>
          <w:lang w:val="el-GR"/>
        </w:rPr>
        <w:t>).</w:t>
      </w:r>
    </w:p>
    <w:p w14:paraId="4C01950A" w14:textId="16C8041C" w:rsidR="00BD2BCE" w:rsidRPr="005F45AA" w:rsidRDefault="00BD2BCE" w:rsidP="00DD0004">
      <w:pPr>
        <w:pStyle w:val="FootnoteText"/>
        <w:ind w:left="1134" w:hanging="567"/>
        <w:rPr>
          <w:color w:val="000000" w:themeColor="text1"/>
          <w:sz w:val="24"/>
          <w:vertAlign w:val="superscript"/>
          <w:lang w:val="el-GR"/>
        </w:rPr>
      </w:pPr>
      <w:r w:rsidRPr="005F45AA">
        <w:rPr>
          <w:color w:val="000000" w:themeColor="text1"/>
          <w:sz w:val="24"/>
          <w:lang w:val="el-GR"/>
        </w:rPr>
        <w:t>–</w:t>
      </w:r>
      <w:r w:rsidRPr="005F45AA">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r w:rsidRPr="005F45AA">
          <w:rPr>
            <w:rStyle w:val="Hyperlink"/>
            <w:sz w:val="24"/>
            <w:lang w:val="el-GR"/>
          </w:rPr>
          <w:t>http://data.europa.eu/eli/C/2025/1803/oj</w:t>
        </w:r>
      </w:hyperlink>
      <w:r w:rsidRPr="005F45AA">
        <w:rPr>
          <w:color w:val="000000" w:themeColor="text1"/>
          <w:sz w:val="24"/>
          <w:lang w:val="el-GR"/>
        </w:rPr>
        <w:t>).</w:t>
      </w:r>
    </w:p>
    <w:p w14:paraId="73BF8482" w14:textId="7C0F696E" w:rsidR="00BD2BCE" w:rsidRPr="005F45AA" w:rsidRDefault="00BD2BCE" w:rsidP="00DD0004">
      <w:pPr>
        <w:pStyle w:val="FootnoteText"/>
        <w:ind w:left="1134" w:hanging="567"/>
        <w:rPr>
          <w:color w:val="000000" w:themeColor="text1"/>
          <w:sz w:val="24"/>
          <w:vertAlign w:val="superscript"/>
          <w:lang w:val="el-GR"/>
        </w:rPr>
      </w:pPr>
      <w:r w:rsidRPr="005F45AA">
        <w:rPr>
          <w:color w:val="000000" w:themeColor="text1"/>
          <w:sz w:val="24"/>
          <w:lang w:val="el-GR"/>
        </w:rPr>
        <w:t>–</w:t>
      </w:r>
      <w:r w:rsidRPr="005F45AA">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r w:rsidRPr="005F45AA">
          <w:rPr>
            <w:rStyle w:val="Hyperlink"/>
            <w:sz w:val="24"/>
            <w:lang w:val="el-GR"/>
          </w:rPr>
          <w:t>http://data.europa.eu/eli/C/2025/1804/oj</w:t>
        </w:r>
      </w:hyperlink>
      <w:r w:rsidRPr="005F45AA">
        <w:rPr>
          <w:color w:val="000000" w:themeColor="text1"/>
          <w:sz w:val="24"/>
          <w:lang w:val="el-GR"/>
        </w:rPr>
        <w:t>).</w:t>
      </w:r>
    </w:p>
    <w:p w14:paraId="154B744D" w14:textId="74FAB823" w:rsidR="00BD2BCE" w:rsidRPr="005F45AA" w:rsidRDefault="00BD2BCE" w:rsidP="00DD0004">
      <w:pPr>
        <w:pStyle w:val="FootnoteText"/>
        <w:ind w:left="1134" w:hanging="567"/>
        <w:rPr>
          <w:sz w:val="24"/>
          <w:vertAlign w:val="superscript"/>
          <w:lang w:val="el-GR"/>
        </w:rPr>
      </w:pPr>
      <w:r w:rsidRPr="005F45AA">
        <w:rPr>
          <w:color w:val="000000" w:themeColor="text1"/>
          <w:sz w:val="24"/>
          <w:lang w:val="el-GR"/>
        </w:rPr>
        <w:t>–</w:t>
      </w:r>
      <w:r w:rsidRPr="005F45AA">
        <w:rPr>
          <w:color w:val="000000" w:themeColor="text1"/>
          <w:sz w:val="24"/>
          <w:lang w:val="el-GR"/>
        </w:rPr>
        <w:tab/>
      </w:r>
      <w:r w:rsidRPr="005F45AA">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2" w:tooltip="Πρόσβαση στο έγγραφο μέσω URI τύπου ELI.">
        <w:r w:rsidRPr="005F45AA">
          <w:rPr>
            <w:rStyle w:val="Hyperlink"/>
            <w:sz w:val="24"/>
            <w:lang w:val="el-GR"/>
          </w:rPr>
          <w:t>http://data.europa.eu/eli/C/2025/2246/oj</w:t>
        </w:r>
      </w:hyperlink>
      <w:r w:rsidRPr="005F45AA">
        <w:rPr>
          <w:sz w:val="24"/>
          <w:lang w:val="el-GR"/>
        </w:rPr>
        <w:t>).</w:t>
      </w:r>
    </w:p>
    <w:p w14:paraId="0AB9783B" w14:textId="5F3B9830"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3" w:tooltip="Πρόσβαση στο έγγραφο μέσω URI τύπου ELI.">
        <w:r w:rsidRPr="005F45AA">
          <w:rPr>
            <w:rStyle w:val="Hyperlink"/>
            <w:sz w:val="24"/>
            <w:lang w:val="el-GR"/>
          </w:rPr>
          <w:t>http://data.europa.eu/eli/C/2025/2247/oj</w:t>
        </w:r>
      </w:hyperlink>
      <w:r w:rsidRPr="005F45AA">
        <w:rPr>
          <w:sz w:val="24"/>
          <w:lang w:val="el-GR"/>
        </w:rPr>
        <w:t>).</w:t>
      </w:r>
    </w:p>
    <w:p w14:paraId="08462323" w14:textId="1A065551"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(EE C, C/2026/586, 24.2.2026, ELI: </w:t>
      </w:r>
      <w:hyperlink r:id="rId14" w:tooltip="Πρόσβαση στο έγγραφο μέσω URI τύπου ELI." w:history="1">
        <w:r w:rsidRPr="005F45AA">
          <w:rPr>
            <w:rStyle w:val="Hyperlink"/>
            <w:sz w:val="24"/>
            <w:lang w:val="el-GR"/>
          </w:rPr>
          <w:t>http://data.europa.eu/eli/C/2026/586/oj</w:t>
        </w:r>
      </w:hyperlink>
      <w:r w:rsidRPr="005F45AA">
        <w:rPr>
          <w:sz w:val="24"/>
          <w:lang w:val="el-GR"/>
        </w:rPr>
        <w:t>).</w:t>
      </w:r>
    </w:p>
    <w:p w14:paraId="05BEB5EF" w14:textId="2E111849"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[Κείμενα που εγκρίθηκαν, P10_TA(2025)0222].</w:t>
      </w:r>
    </w:p>
    <w:p w14:paraId="0056387E" w14:textId="284737D0"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[Κείμενα που εγκρίθηκαν, P10_TA(2025)0288].</w:t>
      </w:r>
    </w:p>
    <w:p w14:paraId="06C1E2C3" w14:textId="3EFE655C"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[Κείμενα που εγκρίθηκαν, P10_TA(2025)0289].</w:t>
      </w:r>
    </w:p>
    <w:p w14:paraId="57251407" w14:textId="06955EED"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[Κείμενα που εγκρίθηκαν, P10_TA(2025)0290].</w:t>
      </w:r>
    </w:p>
    <w:p w14:paraId="447E39CF" w14:textId="358C5873"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[Κείμενα που εγκρίθηκαν, P10_TA(2025)0291].</w:t>
      </w:r>
    </w:p>
    <w:p w14:paraId="397C8C9F" w14:textId="39E3B465"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[Κείμενα που εγκρίθηκαν, P10_TA(2025)0292].</w:t>
      </w:r>
    </w:p>
    <w:p w14:paraId="7A2B821B" w14:textId="74945347"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16ης Δεκεμβρίου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 [Κείμενα που εγκρίθηκαν, P10_TA(2025)0327].</w:t>
      </w:r>
    </w:p>
    <w:p w14:paraId="722B378C" w14:textId="6A363BB6"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16ης Δεκεμβρίου 2025 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 [Κείμενα που εγκρίθηκαν, P10_TA(2025)0328].</w:t>
      </w:r>
    </w:p>
    <w:p w14:paraId="7EFEEBDE" w14:textId="63C3B92B"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11ης Φεβρουαρίου 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DBN-09004-6, σύμφωνα με τον κανονισμό (ΕΚ) αριθ. 1829/2003 του Ευρωπαϊκού Κοινοβουλίου και του Συμβουλίου [Κείμενα που εγκρίθηκαν, P10_TA(2026)0041].</w:t>
      </w:r>
    </w:p>
    <w:p w14:paraId="14ABA727" w14:textId="2E524930"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11ης Φεβρουαρίου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T25 (ACS-ZMØØ3-2), σύμφωνα με τον κανονισμό (ΕΚ) αριθ. 1829/2003 του Ευρωπαϊκού Κοινοβουλίου και του Συμβουλίου [Κείμενα που εγκρίθηκαν, P10_TA(2026)0042].</w:t>
      </w:r>
    </w:p>
    <w:p w14:paraId="18382E41" w14:textId="009304B1" w:rsidR="00BD2BCE" w:rsidRPr="005F45AA" w:rsidRDefault="00BD2BCE" w:rsidP="00DD0004">
      <w:pPr>
        <w:pStyle w:val="FootnoteText"/>
        <w:ind w:left="1134" w:hanging="567"/>
        <w:rPr>
          <w:sz w:val="24"/>
          <w:vertAlign w:val="superscript"/>
          <w:lang w:val="el-GR"/>
        </w:rPr>
      </w:pPr>
      <w:r w:rsidRPr="005F45AA">
        <w:rPr>
          <w:sz w:val="24"/>
          <w:lang w:val="el-GR"/>
        </w:rPr>
        <w:t>–</w:t>
      </w:r>
      <w:r w:rsidRPr="005F45AA">
        <w:rPr>
          <w:sz w:val="24"/>
          <w:lang w:val="el-GR"/>
        </w:rPr>
        <w:tab/>
        <w:t>Ψήφισμα του Ευρωπαϊκού Κοινοβουλίου της 11ης Φεβρουαρίου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GHB614 × LLCotton25, σύμφωνα με τον κανονισμό (ΕΚ) αριθ. 1829/2003 του Ευρωπαϊκού Κοινοβουλίου και του Συμβουλίου [Κείμενα που εγκρίθηκαν, P10_TA(2026)0043].</w:t>
      </w:r>
    </w:p>
    <w:p w14:paraId="3E533819" w14:textId="463C6634" w:rsidR="00BD2BCE" w:rsidRPr="005F45AA" w:rsidRDefault="00BD2BCE" w:rsidP="00DD0004">
      <w:pPr>
        <w:pStyle w:val="FootnoteText"/>
        <w:ind w:left="1134" w:hanging="567"/>
        <w:rPr>
          <w:sz w:val="24"/>
          <w:lang w:val="el-GR"/>
        </w:rPr>
      </w:pPr>
      <w:r w:rsidRPr="005F45AA">
        <w:rPr>
          <w:sz w:val="24"/>
          <w:lang w:val="el-GR"/>
        </w:rPr>
        <w:t>–</w:t>
      </w:r>
      <w:r w:rsidRPr="005F45AA">
        <w:rPr>
          <w:sz w:val="24"/>
          <w:lang w:val="el-GR"/>
        </w:rPr>
        <w:tab/>
        <w:t>Ψήφισμα του Ευρωπαϊκού Κοινοβουλίου της 11ης Φεβρουαρίου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T304-40, σύμφωνα με τον κανονισμό (ΕΚ) αριθ. 1829/2003 του Ευρωπαϊκού Κοινοβουλίου και του Συμβουλίου [Κείμενα που εγκρίθηκαν, P10_TA(2026)0044].</w:t>
      </w:r>
    </w:p>
  </w:footnote>
  <w:footnote w:id="5">
    <w:p w14:paraId="199BF1AC" w14:textId="52F7CAD2" w:rsidR="00BD2BCE" w:rsidRPr="005F45AA" w:rsidRDefault="00BD2BCE" w:rsidP="005F45AA">
      <w:pPr>
        <w:pStyle w:val="FootnoteText"/>
        <w:ind w:left="567" w:hanging="567"/>
        <w:rPr>
          <w:sz w:val="24"/>
          <w:lang w:val="el-GR"/>
        </w:rPr>
      </w:pPr>
      <w:r w:rsidRPr="005F45AA">
        <w:rPr>
          <w:rStyle w:val="FootnoteReference"/>
          <w:sz w:val="24"/>
          <w:lang w:val="el-GR"/>
        </w:rPr>
        <w:footnoteRef/>
      </w:r>
      <w:r w:rsidR="005F45AA" w:rsidRPr="005F45AA">
        <w:rPr>
          <w:sz w:val="24"/>
          <w:lang w:val="el-GR"/>
        </w:rPr>
        <w:t xml:space="preserve"> </w:t>
      </w:r>
      <w:r w:rsidR="005F45AA" w:rsidRPr="005F45AA">
        <w:rPr>
          <w:sz w:val="24"/>
          <w:lang w:val="el-GR"/>
        </w:rPr>
        <w:tab/>
      </w:r>
      <w:proofErr w:type="spellStart"/>
      <w:r w:rsidRPr="005F45AA">
        <w:rPr>
          <w:sz w:val="24"/>
          <w:lang w:val="el-GR"/>
        </w:rPr>
        <w:t>Chen</w:t>
      </w:r>
      <w:proofErr w:type="spellEnd"/>
      <w:r w:rsidRPr="005F45AA">
        <w:rPr>
          <w:sz w:val="24"/>
          <w:lang w:val="el-GR"/>
        </w:rPr>
        <w:t xml:space="preserve">, D., </w:t>
      </w:r>
      <w:proofErr w:type="spellStart"/>
      <w:r w:rsidRPr="005F45AA">
        <w:rPr>
          <w:sz w:val="24"/>
          <w:lang w:val="el-GR"/>
        </w:rPr>
        <w:t>Moar</w:t>
      </w:r>
      <w:proofErr w:type="spellEnd"/>
      <w:r w:rsidRPr="005F45AA">
        <w:rPr>
          <w:sz w:val="24"/>
          <w:lang w:val="el-GR"/>
        </w:rPr>
        <w:t xml:space="preserve">, W.J., </w:t>
      </w:r>
      <w:proofErr w:type="spellStart"/>
      <w:r w:rsidRPr="005F45AA">
        <w:rPr>
          <w:sz w:val="24"/>
          <w:lang w:val="el-GR"/>
        </w:rPr>
        <w:t>Jerga</w:t>
      </w:r>
      <w:proofErr w:type="spellEnd"/>
      <w:r w:rsidRPr="005F45AA">
        <w:rPr>
          <w:sz w:val="24"/>
          <w:lang w:val="el-GR"/>
        </w:rPr>
        <w:t xml:space="preserve">, A., </w:t>
      </w:r>
      <w:proofErr w:type="spellStart"/>
      <w:r w:rsidRPr="005F45AA">
        <w:rPr>
          <w:sz w:val="24"/>
          <w:lang w:val="el-GR"/>
        </w:rPr>
        <w:t>Gowda</w:t>
      </w:r>
      <w:proofErr w:type="spellEnd"/>
      <w:r w:rsidRPr="005F45AA">
        <w:rPr>
          <w:sz w:val="24"/>
          <w:lang w:val="el-GR"/>
        </w:rPr>
        <w:t xml:space="preserve">, A., </w:t>
      </w:r>
      <w:proofErr w:type="spellStart"/>
      <w:r w:rsidRPr="005F45AA">
        <w:rPr>
          <w:sz w:val="24"/>
          <w:lang w:val="el-GR"/>
        </w:rPr>
        <w:t>Milligan</w:t>
      </w:r>
      <w:proofErr w:type="spellEnd"/>
      <w:r w:rsidRPr="005F45AA">
        <w:rPr>
          <w:sz w:val="24"/>
          <w:lang w:val="el-GR"/>
        </w:rPr>
        <w:t xml:space="preserve">, J.S., </w:t>
      </w:r>
      <w:proofErr w:type="spellStart"/>
      <w:r w:rsidRPr="005F45AA">
        <w:rPr>
          <w:sz w:val="24"/>
          <w:lang w:val="el-GR"/>
        </w:rPr>
        <w:t>Bretsynder</w:t>
      </w:r>
      <w:proofErr w:type="spellEnd"/>
      <w:r w:rsidRPr="005F45AA">
        <w:rPr>
          <w:sz w:val="24"/>
          <w:lang w:val="el-GR"/>
        </w:rPr>
        <w:t xml:space="preserve">, E.C., </w:t>
      </w:r>
      <w:proofErr w:type="spellStart"/>
      <w:r w:rsidRPr="005F45AA">
        <w:rPr>
          <w:sz w:val="24"/>
          <w:lang w:val="el-GR"/>
        </w:rPr>
        <w:t>Rydel</w:t>
      </w:r>
      <w:proofErr w:type="spellEnd"/>
      <w:r w:rsidRPr="005F45AA">
        <w:rPr>
          <w:sz w:val="24"/>
          <w:lang w:val="el-GR"/>
        </w:rPr>
        <w:t xml:space="preserve">, T.J., </w:t>
      </w:r>
      <w:proofErr w:type="spellStart"/>
      <w:r w:rsidRPr="005F45AA">
        <w:rPr>
          <w:sz w:val="24"/>
          <w:lang w:val="el-GR"/>
        </w:rPr>
        <w:t>Baum</w:t>
      </w:r>
      <w:proofErr w:type="spellEnd"/>
      <w:r w:rsidRPr="005F45AA">
        <w:rPr>
          <w:sz w:val="24"/>
          <w:lang w:val="el-GR"/>
        </w:rPr>
        <w:t xml:space="preserve">, J.A., </w:t>
      </w:r>
      <w:proofErr w:type="spellStart"/>
      <w:r w:rsidRPr="005F45AA">
        <w:rPr>
          <w:sz w:val="24"/>
          <w:lang w:val="el-GR"/>
        </w:rPr>
        <w:t>Semeao</w:t>
      </w:r>
      <w:proofErr w:type="spellEnd"/>
      <w:r w:rsidRPr="005F45AA">
        <w:rPr>
          <w:sz w:val="24"/>
          <w:lang w:val="el-GR"/>
        </w:rPr>
        <w:t xml:space="preserve">, A., </w:t>
      </w:r>
      <w:proofErr w:type="spellStart"/>
      <w:r w:rsidRPr="005F45AA">
        <w:rPr>
          <w:sz w:val="24"/>
          <w:lang w:val="el-GR"/>
        </w:rPr>
        <w:t>Fu</w:t>
      </w:r>
      <w:proofErr w:type="spellEnd"/>
      <w:r w:rsidRPr="005F45AA">
        <w:rPr>
          <w:sz w:val="24"/>
          <w:lang w:val="el-GR"/>
        </w:rPr>
        <w:t xml:space="preserve">, S., </w:t>
      </w:r>
      <w:proofErr w:type="spellStart"/>
      <w:r w:rsidRPr="005F45AA">
        <w:rPr>
          <w:sz w:val="24"/>
          <w:lang w:val="el-GR"/>
        </w:rPr>
        <w:t>Guzov</w:t>
      </w:r>
      <w:proofErr w:type="spellEnd"/>
      <w:r w:rsidRPr="005F45AA">
        <w:rPr>
          <w:sz w:val="24"/>
          <w:lang w:val="el-GR"/>
        </w:rPr>
        <w:t xml:space="preserve">, V., </w:t>
      </w:r>
      <w:proofErr w:type="spellStart"/>
      <w:r w:rsidRPr="005F45AA">
        <w:rPr>
          <w:sz w:val="24"/>
          <w:lang w:val="el-GR"/>
        </w:rPr>
        <w:t>Gabbert</w:t>
      </w:r>
      <w:proofErr w:type="spellEnd"/>
      <w:r w:rsidRPr="005F45AA">
        <w:rPr>
          <w:sz w:val="24"/>
          <w:lang w:val="el-GR"/>
        </w:rPr>
        <w:t xml:space="preserve">, K., </w:t>
      </w:r>
      <w:proofErr w:type="spellStart"/>
      <w:r w:rsidRPr="005F45AA">
        <w:rPr>
          <w:sz w:val="24"/>
          <w:lang w:val="el-GR"/>
        </w:rPr>
        <w:t>Head</w:t>
      </w:r>
      <w:proofErr w:type="spellEnd"/>
      <w:r w:rsidRPr="005F45AA">
        <w:rPr>
          <w:sz w:val="24"/>
          <w:lang w:val="el-GR"/>
        </w:rPr>
        <w:t xml:space="preserve">, P.H., </w:t>
      </w:r>
      <w:proofErr w:type="spellStart"/>
      <w:r w:rsidRPr="005F45AA">
        <w:rPr>
          <w:sz w:val="24"/>
          <w:lang w:val="el-GR"/>
        </w:rPr>
        <w:t>Haas</w:t>
      </w:r>
      <w:proofErr w:type="spellEnd"/>
      <w:r w:rsidRPr="005F45AA">
        <w:rPr>
          <w:sz w:val="24"/>
          <w:lang w:val="el-GR"/>
        </w:rPr>
        <w:t xml:space="preserve">, J.A. (2021), </w:t>
      </w:r>
      <w:r w:rsidRPr="005F45AA">
        <w:rPr>
          <w:sz w:val="24"/>
          <w:shd w:val="clear" w:color="auto" w:fill="FFFFFF"/>
          <w:lang w:val="el-GR"/>
        </w:rPr>
        <w:t>«</w:t>
      </w:r>
      <w:proofErr w:type="spellStart"/>
      <w:r w:rsidRPr="005F45AA">
        <w:rPr>
          <w:i/>
          <w:sz w:val="24"/>
          <w:lang w:val="el-GR"/>
        </w:rPr>
        <w:t>Bacillus</w:t>
      </w:r>
      <w:proofErr w:type="spellEnd"/>
      <w:r w:rsidRPr="005F45AA">
        <w:rPr>
          <w:i/>
          <w:sz w:val="24"/>
          <w:lang w:val="el-GR"/>
        </w:rPr>
        <w:t xml:space="preserve"> </w:t>
      </w:r>
      <w:proofErr w:type="spellStart"/>
      <w:r w:rsidRPr="005F45AA">
        <w:rPr>
          <w:i/>
          <w:sz w:val="24"/>
          <w:lang w:val="el-GR"/>
        </w:rPr>
        <w:t>thuringiensis</w:t>
      </w:r>
      <w:proofErr w:type="spellEnd"/>
      <w:r w:rsidRPr="005F45AA">
        <w:rPr>
          <w:sz w:val="24"/>
          <w:lang w:val="el-GR"/>
        </w:rPr>
        <w:t xml:space="preserve"> </w:t>
      </w:r>
      <w:proofErr w:type="spellStart"/>
      <w:r w:rsidRPr="005F45AA">
        <w:rPr>
          <w:sz w:val="24"/>
          <w:lang w:val="el-GR"/>
        </w:rPr>
        <w:t>chimeric</w:t>
      </w:r>
      <w:proofErr w:type="spellEnd"/>
      <w:r w:rsidRPr="005F45AA">
        <w:rPr>
          <w:sz w:val="24"/>
          <w:lang w:val="el-GR"/>
        </w:rPr>
        <w:t xml:space="preserve"> </w:t>
      </w:r>
      <w:proofErr w:type="spellStart"/>
      <w:r w:rsidRPr="005F45AA">
        <w:rPr>
          <w:sz w:val="24"/>
          <w:lang w:val="el-GR"/>
        </w:rPr>
        <w:t>proteins</w:t>
      </w:r>
      <w:proofErr w:type="spellEnd"/>
      <w:r w:rsidRPr="005F45AA">
        <w:rPr>
          <w:sz w:val="24"/>
          <w:lang w:val="el-GR"/>
        </w:rPr>
        <w:t xml:space="preserve"> Cry1A. 2 and Cry1B. 2 </w:t>
      </w:r>
      <w:proofErr w:type="spellStart"/>
      <w:r w:rsidRPr="005F45AA">
        <w:rPr>
          <w:sz w:val="24"/>
          <w:lang w:val="el-GR"/>
        </w:rPr>
        <w:t>to</w:t>
      </w:r>
      <w:proofErr w:type="spellEnd"/>
      <w:r w:rsidRPr="005F45AA">
        <w:rPr>
          <w:sz w:val="24"/>
          <w:lang w:val="el-GR"/>
        </w:rPr>
        <w:t xml:space="preserve"> </w:t>
      </w:r>
      <w:proofErr w:type="spellStart"/>
      <w:r w:rsidRPr="005F45AA">
        <w:rPr>
          <w:sz w:val="24"/>
          <w:lang w:val="el-GR"/>
        </w:rPr>
        <w:t>control</w:t>
      </w:r>
      <w:proofErr w:type="spellEnd"/>
      <w:r w:rsidRPr="005F45AA">
        <w:rPr>
          <w:sz w:val="24"/>
          <w:lang w:val="el-GR"/>
        </w:rPr>
        <w:t xml:space="preserve"> </w:t>
      </w:r>
      <w:proofErr w:type="spellStart"/>
      <w:r w:rsidRPr="005F45AA">
        <w:rPr>
          <w:sz w:val="24"/>
          <w:lang w:val="el-GR"/>
        </w:rPr>
        <w:t>soybean</w:t>
      </w:r>
      <w:proofErr w:type="spellEnd"/>
      <w:r w:rsidRPr="005F45AA">
        <w:rPr>
          <w:sz w:val="24"/>
          <w:lang w:val="el-GR"/>
        </w:rPr>
        <w:t xml:space="preserve"> </w:t>
      </w:r>
      <w:proofErr w:type="spellStart"/>
      <w:r w:rsidRPr="005F45AA">
        <w:rPr>
          <w:sz w:val="24"/>
          <w:lang w:val="el-GR"/>
        </w:rPr>
        <w:t>lepidopteran</w:t>
      </w:r>
      <w:proofErr w:type="spellEnd"/>
      <w:r w:rsidRPr="005F45AA">
        <w:rPr>
          <w:sz w:val="24"/>
          <w:lang w:val="el-GR"/>
        </w:rPr>
        <w:t xml:space="preserve"> </w:t>
      </w:r>
      <w:proofErr w:type="spellStart"/>
      <w:r w:rsidRPr="005F45AA">
        <w:rPr>
          <w:sz w:val="24"/>
          <w:lang w:val="el-GR"/>
        </w:rPr>
        <w:t>pests</w:t>
      </w:r>
      <w:proofErr w:type="spellEnd"/>
      <w:r w:rsidRPr="005F45AA">
        <w:rPr>
          <w:sz w:val="24"/>
          <w:lang w:val="el-GR"/>
        </w:rPr>
        <w:t xml:space="preserve">: </w:t>
      </w:r>
      <w:proofErr w:type="spellStart"/>
      <w:r w:rsidRPr="005F45AA">
        <w:rPr>
          <w:sz w:val="24"/>
          <w:lang w:val="el-GR"/>
        </w:rPr>
        <w:t>New</w:t>
      </w:r>
      <w:proofErr w:type="spellEnd"/>
      <w:r w:rsidRPr="005F45AA">
        <w:rPr>
          <w:sz w:val="24"/>
          <w:lang w:val="el-GR"/>
        </w:rPr>
        <w:t xml:space="preserve"> </w:t>
      </w:r>
      <w:proofErr w:type="spellStart"/>
      <w:r w:rsidRPr="005F45AA">
        <w:rPr>
          <w:sz w:val="24"/>
          <w:lang w:val="el-GR"/>
        </w:rPr>
        <w:t>domain</w:t>
      </w:r>
      <w:proofErr w:type="spellEnd"/>
      <w:r w:rsidRPr="005F45AA">
        <w:rPr>
          <w:sz w:val="24"/>
          <w:lang w:val="el-GR"/>
        </w:rPr>
        <w:t xml:space="preserve"> </w:t>
      </w:r>
      <w:proofErr w:type="spellStart"/>
      <w:r w:rsidRPr="005F45AA">
        <w:rPr>
          <w:sz w:val="24"/>
          <w:lang w:val="el-GR"/>
        </w:rPr>
        <w:t>combinations</w:t>
      </w:r>
      <w:proofErr w:type="spellEnd"/>
      <w:r w:rsidRPr="005F45AA">
        <w:rPr>
          <w:sz w:val="24"/>
          <w:lang w:val="el-GR"/>
        </w:rPr>
        <w:t xml:space="preserve"> </w:t>
      </w:r>
      <w:proofErr w:type="spellStart"/>
      <w:r w:rsidRPr="005F45AA">
        <w:rPr>
          <w:sz w:val="24"/>
          <w:lang w:val="el-GR"/>
        </w:rPr>
        <w:t>enhance</w:t>
      </w:r>
      <w:proofErr w:type="spellEnd"/>
      <w:r w:rsidRPr="005F45AA">
        <w:rPr>
          <w:sz w:val="24"/>
          <w:lang w:val="el-GR"/>
        </w:rPr>
        <w:t xml:space="preserve"> </w:t>
      </w:r>
      <w:proofErr w:type="spellStart"/>
      <w:r w:rsidRPr="005F45AA">
        <w:rPr>
          <w:sz w:val="24"/>
          <w:lang w:val="el-GR"/>
        </w:rPr>
        <w:t>insecticidal</w:t>
      </w:r>
      <w:proofErr w:type="spellEnd"/>
      <w:r w:rsidRPr="005F45AA">
        <w:rPr>
          <w:sz w:val="24"/>
          <w:lang w:val="el-GR"/>
        </w:rPr>
        <w:t xml:space="preserve"> </w:t>
      </w:r>
      <w:proofErr w:type="spellStart"/>
      <w:r w:rsidRPr="005F45AA">
        <w:rPr>
          <w:sz w:val="24"/>
          <w:lang w:val="el-GR"/>
        </w:rPr>
        <w:t>spectrum</w:t>
      </w:r>
      <w:proofErr w:type="spellEnd"/>
      <w:r w:rsidRPr="005F45AA">
        <w:rPr>
          <w:sz w:val="24"/>
          <w:lang w:val="el-GR"/>
        </w:rPr>
        <w:t xml:space="preserve"> of </w:t>
      </w:r>
      <w:proofErr w:type="spellStart"/>
      <w:r w:rsidRPr="005F45AA">
        <w:rPr>
          <w:sz w:val="24"/>
          <w:lang w:val="el-GR"/>
        </w:rPr>
        <w:t>activity</w:t>
      </w:r>
      <w:proofErr w:type="spellEnd"/>
      <w:r w:rsidRPr="005F45AA">
        <w:rPr>
          <w:sz w:val="24"/>
          <w:lang w:val="el-GR"/>
        </w:rPr>
        <w:t xml:space="preserve"> and </w:t>
      </w:r>
      <w:proofErr w:type="spellStart"/>
      <w:r w:rsidRPr="005F45AA">
        <w:rPr>
          <w:sz w:val="24"/>
          <w:lang w:val="el-GR"/>
        </w:rPr>
        <w:t>novel</w:t>
      </w:r>
      <w:proofErr w:type="spellEnd"/>
      <w:r w:rsidRPr="005F45AA">
        <w:rPr>
          <w:sz w:val="24"/>
          <w:lang w:val="el-GR"/>
        </w:rPr>
        <w:t xml:space="preserve"> </w:t>
      </w:r>
      <w:proofErr w:type="spellStart"/>
      <w:r w:rsidRPr="005F45AA">
        <w:rPr>
          <w:sz w:val="24"/>
          <w:lang w:val="el-GR"/>
        </w:rPr>
        <w:t>receptor</w:t>
      </w:r>
      <w:proofErr w:type="spellEnd"/>
      <w:r w:rsidRPr="005F45AA">
        <w:rPr>
          <w:sz w:val="24"/>
          <w:lang w:val="el-GR"/>
        </w:rPr>
        <w:t xml:space="preserve"> </w:t>
      </w:r>
      <w:proofErr w:type="spellStart"/>
      <w:r w:rsidRPr="005F45AA">
        <w:rPr>
          <w:sz w:val="24"/>
          <w:lang w:val="el-GR"/>
        </w:rPr>
        <w:t>contributions</w:t>
      </w:r>
      <w:proofErr w:type="spellEnd"/>
      <w:r w:rsidRPr="005F45AA">
        <w:rPr>
          <w:sz w:val="24"/>
          <w:shd w:val="clear" w:color="auto" w:fill="FFFFFF"/>
          <w:lang w:val="el-GR"/>
        </w:rPr>
        <w:t>»</w:t>
      </w:r>
      <w:r w:rsidRPr="005F45AA">
        <w:rPr>
          <w:sz w:val="24"/>
          <w:lang w:val="el-GR"/>
        </w:rPr>
        <w:t xml:space="preserve"> (Οι χιμαιρικές πρωτεΐνες </w:t>
      </w:r>
      <w:proofErr w:type="spellStart"/>
      <w:r w:rsidRPr="005F45AA">
        <w:rPr>
          <w:i/>
          <w:sz w:val="24"/>
          <w:lang w:val="el-GR"/>
        </w:rPr>
        <w:t>Bacillus</w:t>
      </w:r>
      <w:proofErr w:type="spellEnd"/>
      <w:r w:rsidRPr="005F45AA">
        <w:rPr>
          <w:i/>
          <w:sz w:val="24"/>
          <w:lang w:val="el-GR"/>
        </w:rPr>
        <w:t xml:space="preserve"> </w:t>
      </w:r>
      <w:proofErr w:type="spellStart"/>
      <w:r w:rsidRPr="005F45AA">
        <w:rPr>
          <w:i/>
          <w:sz w:val="24"/>
          <w:lang w:val="el-GR"/>
        </w:rPr>
        <w:t>thuringiensis</w:t>
      </w:r>
      <w:proofErr w:type="spellEnd"/>
      <w:r w:rsidRPr="005F45AA">
        <w:rPr>
          <w:sz w:val="24"/>
          <w:lang w:val="el-GR"/>
        </w:rPr>
        <w:t xml:space="preserve"> Cry1A. 2 και Cry1B. </w:t>
      </w:r>
      <w:r w:rsidRPr="005F45AA">
        <w:rPr>
          <w:sz w:val="24"/>
          <w:lang w:val="el-GR"/>
        </w:rPr>
        <w:t xml:space="preserve">2 για την καταπολέμηση επιβλαβών λεπιδόπτερων της σόγιας: νέοι συνδυασμοί τομέων ενισχύουν το φάσμα εντομοκτόνου δράσης και τη συμβολή νέων υποδοχέων», </w:t>
      </w:r>
      <w:proofErr w:type="spellStart"/>
      <w:r w:rsidRPr="005F45AA">
        <w:rPr>
          <w:sz w:val="24"/>
          <w:lang w:val="el-GR"/>
        </w:rPr>
        <w:t>PLoS</w:t>
      </w:r>
      <w:proofErr w:type="spellEnd"/>
      <w:r w:rsidRPr="005F45AA">
        <w:rPr>
          <w:sz w:val="24"/>
          <w:lang w:val="el-GR"/>
        </w:rPr>
        <w:t xml:space="preserve"> </w:t>
      </w:r>
      <w:proofErr w:type="spellStart"/>
      <w:r w:rsidRPr="005F45AA">
        <w:rPr>
          <w:sz w:val="24"/>
          <w:lang w:val="el-GR"/>
        </w:rPr>
        <w:t>One</w:t>
      </w:r>
      <w:proofErr w:type="spellEnd"/>
      <w:r w:rsidRPr="005F45AA">
        <w:rPr>
          <w:sz w:val="24"/>
          <w:lang w:val="el-GR"/>
        </w:rPr>
        <w:t xml:space="preserve">, Ιούνιος 2017, 16 (6), e0249150, </w:t>
      </w:r>
      <w:hyperlink r:id="rId15" w:history="1">
        <w:r w:rsidRPr="005F45AA">
          <w:rPr>
            <w:rStyle w:val="Hyperlink"/>
            <w:sz w:val="24"/>
            <w:lang w:val="el-GR"/>
          </w:rPr>
          <w:t>https://doi.org/10.1371/journal.pone.0249150</w:t>
        </w:r>
      </w:hyperlink>
      <w:r w:rsidRPr="005F45AA">
        <w:rPr>
          <w:rStyle w:val="Hyperlink"/>
          <w:sz w:val="24"/>
          <w:lang w:val="el-GR"/>
        </w:rPr>
        <w:t>.</w:t>
      </w:r>
    </w:p>
  </w:footnote>
  <w:footnote w:id="6">
    <w:p w14:paraId="0E931E1E" w14:textId="0C4A0652" w:rsidR="00BD2BCE" w:rsidRPr="005F45AA" w:rsidRDefault="00BD2BCE" w:rsidP="005F45AA">
      <w:pPr>
        <w:pStyle w:val="FootnoteText"/>
        <w:ind w:left="567" w:hanging="567"/>
        <w:rPr>
          <w:sz w:val="24"/>
          <w:lang w:val="el-GR"/>
        </w:rPr>
      </w:pPr>
      <w:r w:rsidRPr="005F45AA">
        <w:rPr>
          <w:rStyle w:val="Funotenzeichen"/>
          <w:sz w:val="24"/>
          <w:lang w:val="el-GR"/>
        </w:rPr>
        <w:footnoteRef/>
      </w:r>
      <w:r w:rsidR="005F45AA" w:rsidRPr="005F45AA">
        <w:rPr>
          <w:sz w:val="24"/>
          <w:lang w:val="el-GR"/>
        </w:rPr>
        <w:t xml:space="preserve"> </w:t>
      </w:r>
      <w:r w:rsidR="005F45AA" w:rsidRPr="005F45AA">
        <w:rPr>
          <w:sz w:val="24"/>
          <w:lang w:val="el-GR"/>
        </w:rPr>
        <w:tab/>
      </w:r>
      <w:r w:rsidRPr="005F45AA">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5F45AA">
        <w:rPr>
          <w:sz w:val="24"/>
          <w:lang w:val="el-GR"/>
        </w:rPr>
        <w:t>1, ELI: </w:t>
      </w:r>
      <w:hyperlink r:id="rId16" w:tgtFrame="Gives%20access%20to%20this%20document%20through%20its%20ELI%20URI.">
        <w:r w:rsidRPr="005F45AA">
          <w:rPr>
            <w:rStyle w:val="Hyperlink"/>
            <w:sz w:val="24"/>
            <w:lang w:val="el-GR"/>
          </w:rPr>
          <w:t>http://data.europa.eu/eli/reg/2002/178/oj</w:t>
        </w:r>
      </w:hyperlink>
      <w:r w:rsidRPr="005F45A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19D3" w14:textId="77777777" w:rsidR="00064002" w:rsidRPr="005F45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5268D" w14:textId="77777777" w:rsidR="00064002" w:rsidRPr="005F45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4F4D" w14:textId="77777777" w:rsidR="00064002" w:rsidRPr="005F45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6797018">
    <w:abstractNumId w:val="9"/>
  </w:num>
  <w:num w:numId="2" w16cid:durableId="1926186992">
    <w:abstractNumId w:val="9"/>
  </w:num>
  <w:num w:numId="3" w16cid:durableId="449587060">
    <w:abstractNumId w:val="7"/>
  </w:num>
  <w:num w:numId="4" w16cid:durableId="1472362456">
    <w:abstractNumId w:val="7"/>
  </w:num>
  <w:num w:numId="5" w16cid:durableId="190724841">
    <w:abstractNumId w:val="6"/>
  </w:num>
  <w:num w:numId="6" w16cid:durableId="1806313330">
    <w:abstractNumId w:val="6"/>
  </w:num>
  <w:num w:numId="7" w16cid:durableId="1266577974">
    <w:abstractNumId w:val="5"/>
  </w:num>
  <w:num w:numId="8" w16cid:durableId="786002829">
    <w:abstractNumId w:val="5"/>
  </w:num>
  <w:num w:numId="9" w16cid:durableId="333915925">
    <w:abstractNumId w:val="4"/>
  </w:num>
  <w:num w:numId="10" w16cid:durableId="885874701">
    <w:abstractNumId w:val="4"/>
  </w:num>
  <w:num w:numId="11" w16cid:durableId="784889065">
    <w:abstractNumId w:val="8"/>
  </w:num>
  <w:num w:numId="12" w16cid:durableId="639770338">
    <w:abstractNumId w:val="8"/>
  </w:num>
  <w:num w:numId="13" w16cid:durableId="1147429016">
    <w:abstractNumId w:val="3"/>
  </w:num>
  <w:num w:numId="14" w16cid:durableId="443380021">
    <w:abstractNumId w:val="3"/>
  </w:num>
  <w:num w:numId="15" w16cid:durableId="1350447341">
    <w:abstractNumId w:val="2"/>
  </w:num>
  <w:num w:numId="16" w16cid:durableId="919480789">
    <w:abstractNumId w:val="2"/>
  </w:num>
  <w:num w:numId="17" w16cid:durableId="2002006587">
    <w:abstractNumId w:val="1"/>
  </w:num>
  <w:num w:numId="18" w16cid:durableId="345208730">
    <w:abstractNumId w:val="1"/>
  </w:num>
  <w:num w:numId="19" w16cid:durableId="818035729">
    <w:abstractNumId w:val="0"/>
  </w:num>
  <w:num w:numId="20" w16cid:durableId="1295016745">
    <w:abstractNumId w:val="0"/>
  </w:num>
  <w:num w:numId="21" w16cid:durableId="1477182934">
    <w:abstractNumId w:val="9"/>
  </w:num>
  <w:num w:numId="22" w16cid:durableId="1031303518">
    <w:abstractNumId w:val="7"/>
  </w:num>
  <w:num w:numId="23" w16cid:durableId="245306892">
    <w:abstractNumId w:val="6"/>
  </w:num>
  <w:num w:numId="24" w16cid:durableId="67193328">
    <w:abstractNumId w:val="5"/>
  </w:num>
  <w:num w:numId="25" w16cid:durableId="1802575442">
    <w:abstractNumId w:val="4"/>
  </w:num>
  <w:num w:numId="26" w16cid:durableId="1117408925">
    <w:abstractNumId w:val="8"/>
  </w:num>
  <w:num w:numId="27" w16cid:durableId="800421897">
    <w:abstractNumId w:val="3"/>
  </w:num>
  <w:num w:numId="28" w16cid:durableId="376971410">
    <w:abstractNumId w:val="2"/>
  </w:num>
  <w:num w:numId="29" w16cid:durableId="1371110351">
    <w:abstractNumId w:val="1"/>
  </w:num>
  <w:num w:numId="30" w16cid:durableId="80755876">
    <w:abstractNumId w:val="0"/>
  </w:num>
  <w:num w:numId="31" w16cid:durableId="1780101940">
    <w:abstractNumId w:val="9"/>
  </w:num>
  <w:num w:numId="32" w16cid:durableId="416098928">
    <w:abstractNumId w:val="7"/>
  </w:num>
  <w:num w:numId="33" w16cid:durableId="1263025635">
    <w:abstractNumId w:val="6"/>
  </w:num>
  <w:num w:numId="34" w16cid:durableId="1938561575">
    <w:abstractNumId w:val="5"/>
  </w:num>
  <w:num w:numId="35" w16cid:durableId="1814835675">
    <w:abstractNumId w:val="4"/>
  </w:num>
  <w:num w:numId="36" w16cid:durableId="464272488">
    <w:abstractNumId w:val="8"/>
  </w:num>
  <w:num w:numId="37" w16cid:durableId="1685471686">
    <w:abstractNumId w:val="3"/>
  </w:num>
  <w:num w:numId="38" w16cid:durableId="199513771">
    <w:abstractNumId w:val="2"/>
  </w:num>
  <w:num w:numId="39" w16cid:durableId="1365986183">
    <w:abstractNumId w:val="1"/>
  </w:num>
  <w:num w:numId="40" w16cid:durableId="1099641580">
    <w:abstractNumId w:val="0"/>
  </w:num>
  <w:num w:numId="41" w16cid:durableId="2120417486">
    <w:abstractNumId w:val="10"/>
  </w:num>
  <w:num w:numId="42" w16cid:durableId="1704282765">
    <w:abstractNumId w:val="10"/>
  </w:num>
  <w:num w:numId="43" w16cid:durableId="1610576370">
    <w:abstractNumId w:val="10"/>
  </w:num>
  <w:num w:numId="44" w16cid:durableId="320425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EL"/>
    <w:docVar w:name="dvnumam" w:val="0"/>
    <w:docVar w:name="dvpe" w:val="785.406"/>
    <w:docVar w:name="dvtitre" w:val="Ψήφισμα του Ευρωπαϊκού Κοινοβουλίου της ... 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MON 94637 σύμφωνα με τον κανονισμό (ΕΚ) αριθ. 1829/2003 του Ευρωπαϊκού Κοινοβουλίου και του Συμβουλίου(D113501/03 – 2026/2651(RSP))"/>
  </w:docVars>
  <w:rsids>
    <w:rsidRoot w:val="00095F42"/>
    <w:rsid w:val="00002272"/>
    <w:rsid w:val="00064002"/>
    <w:rsid w:val="000677B9"/>
    <w:rsid w:val="000831BA"/>
    <w:rsid w:val="00095F42"/>
    <w:rsid w:val="000A42CC"/>
    <w:rsid w:val="000B4444"/>
    <w:rsid w:val="000E7DD9"/>
    <w:rsid w:val="0010095E"/>
    <w:rsid w:val="00125B37"/>
    <w:rsid w:val="00187494"/>
    <w:rsid w:val="001F32AE"/>
    <w:rsid w:val="002767FF"/>
    <w:rsid w:val="002B18FE"/>
    <w:rsid w:val="002B5493"/>
    <w:rsid w:val="002F070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87D"/>
    <w:rsid w:val="00545827"/>
    <w:rsid w:val="00560270"/>
    <w:rsid w:val="0056310A"/>
    <w:rsid w:val="005C2568"/>
    <w:rsid w:val="005F1B17"/>
    <w:rsid w:val="005F45AA"/>
    <w:rsid w:val="006037C0"/>
    <w:rsid w:val="006631B6"/>
    <w:rsid w:val="00680577"/>
    <w:rsid w:val="006F74FA"/>
    <w:rsid w:val="00731ADD"/>
    <w:rsid w:val="00734777"/>
    <w:rsid w:val="00747932"/>
    <w:rsid w:val="007502D4"/>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BC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178"/>
    <w:rsid w:val="00DD0004"/>
    <w:rsid w:val="00DD0F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47A8C"/>
  <w15:chartTrackingRefBased/>
  <w15:docId w15:val="{C1B31EC5-AD38-4B6D-AF9C-D6603D23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BD2BCE"/>
    <w:pPr>
      <w:spacing w:before="480" w:after="240"/>
    </w:pPr>
  </w:style>
  <w:style w:type="paragraph" w:customStyle="1" w:styleId="NormalHanging12a">
    <w:name w:val="NormalHanging12a"/>
    <w:basedOn w:val="Normal"/>
    <w:qFormat/>
    <w:rsid w:val="00BD2BCE"/>
    <w:pPr>
      <w:spacing w:after="240"/>
      <w:ind w:left="567" w:hanging="567"/>
    </w:pPr>
  </w:style>
  <w:style w:type="paragraph" w:customStyle="1" w:styleId="NormalBold">
    <w:name w:val="NormalBold"/>
    <w:basedOn w:val="Normal"/>
    <w:qFormat/>
    <w:rsid w:val="00BD2BCE"/>
    <w:rPr>
      <w:b/>
    </w:rPr>
  </w:style>
  <w:style w:type="character" w:styleId="Hyperlink">
    <w:name w:val="Hyperlink"/>
    <w:basedOn w:val="DefaultParagraphFont"/>
    <w:uiPriority w:val="99"/>
    <w:unhideWhenUsed/>
    <w:rsid w:val="00BD2BCE"/>
    <w:rPr>
      <w:color w:val="0000FF"/>
      <w:u w:val="single"/>
    </w:rPr>
  </w:style>
  <w:style w:type="character" w:customStyle="1" w:styleId="Funotenzeichen">
    <w:name w:val="Fußnotenzeichen"/>
    <w:basedOn w:val="DefaultParagraphFont"/>
    <w:uiPriority w:val="99"/>
    <w:qFormat/>
    <w:rsid w:val="00BD2BCE"/>
    <w:rPr>
      <w:rFonts w:cs="Times New Roman"/>
      <w:vertAlign w:val="superscript"/>
    </w:rPr>
  </w:style>
  <w:style w:type="paragraph" w:styleId="NormalWeb">
    <w:name w:val="Normal (Web)"/>
    <w:basedOn w:val="Normal"/>
    <w:uiPriority w:val="99"/>
    <w:unhideWhenUsed/>
    <w:qFormat/>
    <w:rsid w:val="00BD2BCE"/>
    <w:pPr>
      <w:widowControl/>
      <w:suppressAutoHyphens/>
      <w:spacing w:beforeAutospacing="1" w:afterAutospacing="1"/>
    </w:pPr>
    <w:rPr>
      <w:szCs w:val="24"/>
    </w:rPr>
  </w:style>
  <w:style w:type="paragraph" w:styleId="Revision">
    <w:name w:val="Revision"/>
    <w:hidden/>
    <w:uiPriority w:val="99"/>
    <w:semiHidden/>
    <w:rsid w:val="007502D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1248</Words>
  <Characters>7487</Characters>
  <Application>Microsoft Office Word</Application>
  <DocSecurity>0</DocSecurity>
  <Lines>311</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2026-04-29T13:16:00Z</dcterms:created>
  <dcterms:modified xsi:type="dcterms:W3CDTF">2026-04-29T13:16:00Z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B10-0186/2026</vt:lpwstr>
  </property>
  <property fmtid="{D5CDD505-2E9C-101B-9397-08002B2CF9AE}" pid="4" name="&lt;Type&gt;">
    <vt:lpwstr>RR</vt:lpwstr>
  </property>
</Properties>
</file>