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4207" w14:paraId="43EBB6A1" w14:textId="77777777" w:rsidTr="0010095E">
        <w:trPr>
          <w:trHeight w:hRule="exact" w:val="1418"/>
        </w:trPr>
        <w:tc>
          <w:tcPr>
            <w:tcW w:w="6804" w:type="dxa"/>
            <w:shd w:val="clear" w:color="auto" w:fill="auto"/>
            <w:vAlign w:val="center"/>
          </w:tcPr>
          <w:p w14:paraId="271FD0C3" w14:textId="77777777" w:rsidR="00751A4A" w:rsidRPr="003F4207" w:rsidRDefault="003B4A3F" w:rsidP="0010095E">
            <w:pPr>
              <w:pStyle w:val="EPName"/>
            </w:pPr>
            <w:r w:rsidRPr="003F4207">
              <w:t>Parlamento Europeo</w:t>
            </w:r>
          </w:p>
          <w:p w14:paraId="0A987E44" w14:textId="77777777" w:rsidR="00751A4A" w:rsidRPr="003F4207" w:rsidRDefault="005F1B17" w:rsidP="005F1B17">
            <w:pPr>
              <w:pStyle w:val="EPTerm"/>
              <w:rPr>
                <w:rStyle w:val="HideTWBExt"/>
                <w:noProof w:val="0"/>
                <w:vanish w:val="0"/>
                <w:color w:val="auto"/>
              </w:rPr>
            </w:pPr>
            <w:r w:rsidRPr="003F4207">
              <w:t>2024</w:t>
            </w:r>
            <w:r w:rsidR="00817416" w:rsidRPr="003F4207">
              <w:t>-202</w:t>
            </w:r>
            <w:r w:rsidRPr="003F4207">
              <w:t>9</w:t>
            </w:r>
          </w:p>
        </w:tc>
        <w:tc>
          <w:tcPr>
            <w:tcW w:w="2268" w:type="dxa"/>
            <w:shd w:val="clear" w:color="auto" w:fill="auto"/>
          </w:tcPr>
          <w:p w14:paraId="1730BDBD" w14:textId="77777777" w:rsidR="00751A4A" w:rsidRPr="003F4207" w:rsidRDefault="00187494" w:rsidP="0010095E">
            <w:pPr>
              <w:pStyle w:val="EPLogo"/>
            </w:pPr>
            <w:r w:rsidRPr="003F4207">
              <w:rPr>
                <w:noProof/>
                <w:lang w:eastAsia="ja-JP"/>
              </w:rPr>
              <w:drawing>
                <wp:inline distT="0" distB="0" distL="0" distR="0" wp14:anchorId="769B5682" wp14:editId="4052A9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CA1674" w14:textId="77777777" w:rsidR="00D058B8" w:rsidRPr="003F4207" w:rsidRDefault="00D058B8" w:rsidP="004C5D52">
      <w:pPr>
        <w:pStyle w:val="LineTop"/>
      </w:pPr>
    </w:p>
    <w:p w14:paraId="17CC436C" w14:textId="77777777" w:rsidR="00680577" w:rsidRPr="003F4207" w:rsidRDefault="003B4A3F" w:rsidP="00680577">
      <w:pPr>
        <w:pStyle w:val="EPBodyTA1"/>
      </w:pPr>
      <w:r w:rsidRPr="003F4207">
        <w:t>TEXTOS APROBADOS</w:t>
      </w:r>
    </w:p>
    <w:p w14:paraId="12435390" w14:textId="77777777" w:rsidR="00D058B8" w:rsidRPr="003F4207" w:rsidRDefault="00D058B8" w:rsidP="00D058B8">
      <w:pPr>
        <w:pStyle w:val="LineBottom"/>
      </w:pPr>
    </w:p>
    <w:p w14:paraId="3BE9802C" w14:textId="6C6A5569" w:rsidR="003B4A3F" w:rsidRPr="003F4207" w:rsidRDefault="003B4A3F" w:rsidP="003B4A3F">
      <w:pPr>
        <w:pStyle w:val="ATHeading1"/>
      </w:pPr>
      <w:bookmarkStart w:id="0" w:name="TANumber"/>
      <w:r w:rsidRPr="003F4207">
        <w:t>P10_TA(2026)0</w:t>
      </w:r>
      <w:r w:rsidR="004A2194" w:rsidRPr="003F4207">
        <w:t>150</w:t>
      </w:r>
      <w:bookmarkEnd w:id="0"/>
    </w:p>
    <w:p w14:paraId="07E6EF0E" w14:textId="0A5FE03C" w:rsidR="003B4A3F" w:rsidRPr="003F4207" w:rsidRDefault="000044C0" w:rsidP="003B4A3F">
      <w:pPr>
        <w:pStyle w:val="ATHeading2"/>
      </w:pPr>
      <w:bookmarkStart w:id="1" w:name="title"/>
      <w:r w:rsidRPr="003F4207">
        <w:t>La s</w:t>
      </w:r>
      <w:r w:rsidR="003B4A3F" w:rsidRPr="003F4207">
        <w:t xml:space="preserve">oja modificada genéticamente MON 94637 </w:t>
      </w:r>
      <w:bookmarkEnd w:id="1"/>
    </w:p>
    <w:p w14:paraId="416DA21C" w14:textId="77777777" w:rsidR="003B4A3F" w:rsidRPr="003F4207" w:rsidRDefault="003B4A3F" w:rsidP="003B4A3F">
      <w:pPr>
        <w:rPr>
          <w:i/>
          <w:vanish/>
        </w:rPr>
      </w:pPr>
      <w:r w:rsidRPr="003F4207">
        <w:rPr>
          <w:i/>
        </w:rPr>
        <w:fldChar w:fldCharType="begin"/>
      </w:r>
      <w:r w:rsidRPr="003F4207">
        <w:rPr>
          <w:i/>
        </w:rPr>
        <w:instrText xml:space="preserve"> TC"(</w:instrText>
      </w:r>
      <w:bookmarkStart w:id="2" w:name="DocNumber"/>
      <w:r w:rsidRPr="003F4207">
        <w:rPr>
          <w:i/>
        </w:rPr>
        <w:instrText>B10-0186/2026</w:instrText>
      </w:r>
      <w:bookmarkEnd w:id="2"/>
      <w:r w:rsidRPr="003F4207">
        <w:rPr>
          <w:i/>
        </w:rPr>
        <w:instrText xml:space="preserve">)"\l3 \n&gt; \* MERGEFORMAT </w:instrText>
      </w:r>
      <w:r w:rsidRPr="003F4207">
        <w:rPr>
          <w:i/>
        </w:rPr>
        <w:fldChar w:fldCharType="end"/>
      </w:r>
    </w:p>
    <w:p w14:paraId="25F0E497" w14:textId="77777777" w:rsidR="003B4A3F" w:rsidRPr="003F4207" w:rsidRDefault="003B4A3F" w:rsidP="003B4A3F">
      <w:pPr>
        <w:rPr>
          <w:vanish/>
        </w:rPr>
      </w:pPr>
      <w:bookmarkStart w:id="3" w:name="PE"/>
      <w:r w:rsidRPr="003F4207">
        <w:rPr>
          <w:vanish/>
        </w:rPr>
        <w:t>PE785.406</w:t>
      </w:r>
      <w:bookmarkEnd w:id="3"/>
    </w:p>
    <w:p w14:paraId="257E3539" w14:textId="767A5C9A" w:rsidR="003B4A3F" w:rsidRPr="003F4207" w:rsidRDefault="003B4A3F" w:rsidP="003B4A3F">
      <w:pPr>
        <w:pStyle w:val="ATHeading3"/>
      </w:pPr>
      <w:bookmarkStart w:id="4" w:name="Sujet"/>
      <w:r w:rsidRPr="003F4207">
        <w:t>Resolución del Parlamento Europeo, de 29 de abril de 2026, sobre el proyecto de Decisión de Ejecución de la Comisión por la que se autoriza la comercialización de productos que contengan o estén compuestos por la soja modificada genéticamente MON 94637 o hayan sido producidos a partir de ella, con arreglo al Reglamento (CE) n.º 1829/2003 del Parlamento Europeo y del Consejo</w:t>
      </w:r>
      <w:bookmarkEnd w:id="4"/>
      <w:r w:rsidRPr="003F4207">
        <w:t xml:space="preserve"> </w:t>
      </w:r>
      <w:bookmarkStart w:id="5" w:name="References"/>
      <w:r w:rsidRPr="003F4207">
        <w:t>(D113501/03 – 2026/2651(RSP))</w:t>
      </w:r>
      <w:bookmarkEnd w:id="5"/>
    </w:p>
    <w:p w14:paraId="45AAF4E5" w14:textId="77777777" w:rsidR="00EB7A91" w:rsidRPr="003F4207" w:rsidRDefault="00EB7A91" w:rsidP="00EB7A91">
      <w:pPr>
        <w:pStyle w:val="EPComma"/>
      </w:pPr>
      <w:bookmarkStart w:id="6" w:name="TextBodyBegin"/>
      <w:bookmarkEnd w:id="6"/>
      <w:r w:rsidRPr="003F4207">
        <w:rPr>
          <w:i/>
          <w:iCs/>
        </w:rPr>
        <w:t>El Parlamento Europeo</w:t>
      </w:r>
      <w:r w:rsidRPr="003F4207">
        <w:t>,</w:t>
      </w:r>
    </w:p>
    <w:p w14:paraId="4A81D207" w14:textId="77777777" w:rsidR="00EB7A91" w:rsidRPr="003F4207" w:rsidRDefault="00EB7A91" w:rsidP="00EB7A91">
      <w:pPr>
        <w:pStyle w:val="NormalHanging12a"/>
      </w:pPr>
      <w:r w:rsidRPr="003F4207">
        <w:t>–</w:t>
      </w:r>
      <w:r w:rsidRPr="003F4207">
        <w:tab/>
        <w:t>Visto el proyecto de Decisión de Ejecución de la Comisión por la que se autoriza la comercialización de productos que contengan, se compongan o se hayan producido a partir de soja modificada genéticamente MON 94637, con arreglo al Reglamento (CE) n.º 1829/2003 del Parlamento Europeo y del Consejo (D113501/03),</w:t>
      </w:r>
    </w:p>
    <w:p w14:paraId="71633267" w14:textId="77777777" w:rsidR="00EB7A91" w:rsidRPr="003F4207" w:rsidRDefault="00EB7A91" w:rsidP="00EB7A91">
      <w:pPr>
        <w:pStyle w:val="NormalHanging12a"/>
      </w:pPr>
      <w:r w:rsidRPr="003F4207">
        <w:t>–</w:t>
      </w:r>
      <w:r w:rsidRPr="003F4207">
        <w:tab/>
        <w:t>Visto el Reglamento (CE) n.º 1829/2003 del Parlamento Europeo y del Consejo, de 22 de septiembre de 2003, sobre alimentos y piensos modificados genéticamente</w:t>
      </w:r>
      <w:r w:rsidRPr="003F4207">
        <w:rPr>
          <w:rStyle w:val="FootnoteReference"/>
        </w:rPr>
        <w:footnoteReference w:id="1"/>
      </w:r>
      <w:r w:rsidRPr="003F4207">
        <w:t>, y en particular su artículo 7, apartado 3, y su artículo 19, apartado 3,</w:t>
      </w:r>
    </w:p>
    <w:p w14:paraId="05918DC9" w14:textId="77777777" w:rsidR="00EB7A91" w:rsidRPr="003F4207" w:rsidRDefault="00EB7A91" w:rsidP="00EB7A91">
      <w:pPr>
        <w:pStyle w:val="NormalHanging12a"/>
      </w:pPr>
      <w:r w:rsidRPr="003F4207">
        <w:t>–</w:t>
      </w:r>
      <w:r w:rsidRPr="003F4207">
        <w:tab/>
        <w:t xml:space="preserve">Vistas la votación del 27 de febrero de 2026 en el Comité Permanente de Vegetales, Animales, Alimentos y Piensos al que se refiere el artículo 35 del Reglamento (CE) n.º 1829/2003, en la que no se emitió dictamen, </w:t>
      </w:r>
      <w:bookmarkStart w:id="7" w:name="_Hlk219206484"/>
      <w:r w:rsidRPr="003F4207">
        <w:t>y la votación del 31 de marzo de 2026 en el comité de apelación, en la que tampoco se emitió dictamen</w:t>
      </w:r>
      <w:bookmarkEnd w:id="7"/>
      <w:r w:rsidRPr="003F4207">
        <w:t>,</w:t>
      </w:r>
    </w:p>
    <w:p w14:paraId="3BF90EF1" w14:textId="77777777" w:rsidR="00EB7A91" w:rsidRPr="003F4207" w:rsidRDefault="00EB7A91" w:rsidP="00EB7A91">
      <w:pPr>
        <w:pStyle w:val="NormalHanging12a"/>
        <w:widowControl/>
      </w:pPr>
      <w:r w:rsidRPr="003F4207">
        <w:t>–</w:t>
      </w:r>
      <w:r w:rsidRPr="003F4207">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bookmarkStart w:id="8" w:name="_Hlk210662860"/>
      <w:r w:rsidRPr="003F4207">
        <w:rPr>
          <w:rStyle w:val="FootnoteReference"/>
          <w:szCs w:val="24"/>
        </w:rPr>
        <w:footnoteReference w:id="2"/>
      </w:r>
      <w:bookmarkEnd w:id="8"/>
      <w:r w:rsidRPr="003F4207">
        <w:t>,</w:t>
      </w:r>
    </w:p>
    <w:p w14:paraId="5CBF12DC" w14:textId="77777777" w:rsidR="00EB7A91" w:rsidRPr="003F4207" w:rsidRDefault="00EB7A91" w:rsidP="00EB7A91">
      <w:pPr>
        <w:pStyle w:val="NormalHanging12a"/>
      </w:pPr>
      <w:r w:rsidRPr="003F4207">
        <w:t>–</w:t>
      </w:r>
      <w:r w:rsidRPr="003F4207">
        <w:tab/>
        <w:t>Visto el Dictamen adoptado por la Autoridad Europea de Seguridad Alimentaria (EFSA) el 1 de julio de 2025 y publicado el 23 de octubre de 2025</w:t>
      </w:r>
      <w:r w:rsidRPr="003F4207">
        <w:rPr>
          <w:rStyle w:val="FootnoteReference"/>
        </w:rPr>
        <w:footnoteReference w:id="3"/>
      </w:r>
      <w:r w:rsidRPr="003F4207">
        <w:t>,</w:t>
      </w:r>
    </w:p>
    <w:p w14:paraId="29435D90" w14:textId="77777777" w:rsidR="00EB7A91" w:rsidRPr="003F4207" w:rsidRDefault="00EB7A91" w:rsidP="00EB7A91">
      <w:pPr>
        <w:pStyle w:val="NormalHanging12a"/>
      </w:pPr>
      <w:r w:rsidRPr="003F4207">
        <w:t>–</w:t>
      </w:r>
      <w:r w:rsidRPr="003F4207">
        <w:tab/>
        <w:t xml:space="preserve">Vistas sus anteriores Resoluciones de oposición a la autorización de organismos </w:t>
      </w:r>
      <w:r w:rsidRPr="003F4207">
        <w:lastRenderedPageBreak/>
        <w:t>modificados genéticamente</w:t>
      </w:r>
      <w:r w:rsidRPr="003F4207">
        <w:rPr>
          <w:rStyle w:val="FootnoteReference"/>
        </w:rPr>
        <w:footnoteReference w:id="4"/>
      </w:r>
      <w:r w:rsidRPr="003F4207">
        <w:t>,</w:t>
      </w:r>
    </w:p>
    <w:p w14:paraId="18691669" w14:textId="77777777" w:rsidR="00EB7A91" w:rsidRPr="003F4207" w:rsidRDefault="00EB7A91" w:rsidP="00EB7A91">
      <w:pPr>
        <w:pStyle w:val="NormalHanging12a"/>
      </w:pPr>
      <w:r w:rsidRPr="003F4207">
        <w:lastRenderedPageBreak/>
        <w:t>–</w:t>
      </w:r>
      <w:r w:rsidRPr="003F4207">
        <w:tab/>
        <w:t>Visto el artículo 115, apartados 2 y 3, de su Reglamento interno,</w:t>
      </w:r>
    </w:p>
    <w:p w14:paraId="128D7D5C" w14:textId="77777777" w:rsidR="00EB7A91" w:rsidRPr="003F4207" w:rsidRDefault="00EB7A91" w:rsidP="00EB7A91">
      <w:pPr>
        <w:pStyle w:val="NormalHanging12a"/>
      </w:pPr>
      <w:r w:rsidRPr="003F4207">
        <w:t>–</w:t>
      </w:r>
      <w:r w:rsidRPr="003F4207">
        <w:tab/>
        <w:t>Vista la propuesta de Resolución de la Comisión de Medio Ambiente, Clima y Seguridad Alimentaria,</w:t>
      </w:r>
    </w:p>
    <w:p w14:paraId="590EE346" w14:textId="77777777" w:rsidR="00EB7A91" w:rsidRPr="003F4207" w:rsidRDefault="00EB7A91" w:rsidP="00EB7A91">
      <w:pPr>
        <w:pStyle w:val="NormalHanging12a"/>
      </w:pPr>
      <w:r w:rsidRPr="003F4207">
        <w:lastRenderedPageBreak/>
        <w:t>A.</w:t>
      </w:r>
      <w:r w:rsidRPr="003F4207">
        <w:tab/>
        <w:t>Considerando que la soja modificada genéticamente MON 94637 (en lo sucesivo, «soja modificada genéticamente») se desarrolló para proteger contra determinadas plagas de lepidópteros mediante la expresión de dos proteínas de fusión </w:t>
      </w:r>
      <w:proofErr w:type="spellStart"/>
      <w:r w:rsidRPr="003F4207">
        <w:t>Bt</w:t>
      </w:r>
      <w:proofErr w:type="spellEnd"/>
      <w:r w:rsidRPr="003F4207">
        <w:t xml:space="preserve"> recientemente concebidas, Cry1A.2 y Cry1B.2;</w:t>
      </w:r>
    </w:p>
    <w:p w14:paraId="2B31DEC1" w14:textId="77777777" w:rsidR="00EB7A91" w:rsidRPr="003F4207" w:rsidRDefault="00EB7A91" w:rsidP="00EB7A91">
      <w:pPr>
        <w:pStyle w:val="NormalHanging12a"/>
      </w:pPr>
      <w:r w:rsidRPr="003F4207">
        <w:t>B.</w:t>
      </w:r>
      <w:r w:rsidRPr="003F4207">
        <w:tab/>
        <w:t>Considerando que, el 1 de julio de 2025, la EFSA adoptó un dictamen favorable en el que concluía que la soja modificada genéticamente es tan segura como su homóloga convencional y sometió a ensayo variedades de soja no modificadas genéticamente con respecto a los posibles efectos en la salud humana y animal y en el medio ambiente; que la EFSA llegó a la conclusión de que el consumo de alimentos y piensos procedentes de la soja modificada genéticamente no representa un problema nutricional y que la exposición accidental al medio ambiente no plantearía problemas de seguridad;</w:t>
      </w:r>
    </w:p>
    <w:p w14:paraId="333B624A" w14:textId="77777777" w:rsidR="00EB7A91" w:rsidRPr="003F4207" w:rsidRDefault="00EB7A91" w:rsidP="00EB7A91">
      <w:pPr>
        <w:pStyle w:val="NormalHanging12a"/>
      </w:pPr>
      <w:r w:rsidRPr="003F4207">
        <w:t>C.</w:t>
      </w:r>
      <w:r w:rsidRPr="003F4207">
        <w:tab/>
        <w:t>Considerando que la EFSA concluyó además que la caracterización molecular y los análisis bioinformáticos no detectaron problemas que requirieran una evaluación adicional de la seguridad de los alimentos o los piensos y que no se consideraba necesario un seguimiento posterior a la comercialización de los alimentos o los piensos;</w:t>
      </w:r>
    </w:p>
    <w:p w14:paraId="08367200" w14:textId="77777777" w:rsidR="00EB7A91" w:rsidRPr="003F4207" w:rsidRDefault="00EB7A91" w:rsidP="00EB7A91">
      <w:pPr>
        <w:pStyle w:val="NormalHanging12a"/>
      </w:pPr>
      <w:r w:rsidRPr="003F4207">
        <w:t>D.</w:t>
      </w:r>
      <w:r w:rsidRPr="003F4207">
        <w:tab/>
        <w:t>Considerando que, a pesar de la evaluación favorable de la EFSA, la bibliografía científica indica que las toxinas de fusión </w:t>
      </w:r>
      <w:proofErr w:type="spellStart"/>
      <w:r w:rsidRPr="003F4207">
        <w:t>Bt</w:t>
      </w:r>
      <w:proofErr w:type="spellEnd"/>
      <w:r w:rsidRPr="003F4207">
        <w:t xml:space="preserve"> Cry1A.2 y Cry1B.2, recientemente concebidas, presentan una actividad insecticida sustancialmente mejorada en comparación con sus toxinas parentales, lo que plantea cuestiones específicas de seguridad que no se han abordado suficientemente</w:t>
      </w:r>
      <w:r w:rsidRPr="003F4207">
        <w:rPr>
          <w:rStyle w:val="FootnoteReference"/>
        </w:rPr>
        <w:footnoteReference w:id="5"/>
      </w:r>
      <w:r w:rsidRPr="003F4207">
        <w:t>;</w:t>
      </w:r>
    </w:p>
    <w:p w14:paraId="2BC0178F" w14:textId="77777777" w:rsidR="00EB7A91" w:rsidRPr="003F4207" w:rsidRDefault="00EB7A91" w:rsidP="00EB7A91">
      <w:pPr>
        <w:pStyle w:val="NormalHanging12a"/>
        <w:rPr>
          <w:color w:val="000000" w:themeColor="text1"/>
          <w:szCs w:val="24"/>
        </w:rPr>
      </w:pPr>
      <w:r w:rsidRPr="003F4207">
        <w:rPr>
          <w:color w:val="000000" w:themeColor="text1"/>
        </w:rPr>
        <w:t>E.</w:t>
      </w:r>
      <w:r w:rsidRPr="003F4207">
        <w:rPr>
          <w:color w:val="000000" w:themeColor="text1"/>
        </w:rPr>
        <w:tab/>
        <w:t>Considerando que la revisión sistemática de la bibliografía presentada por el solicitante ha sido criticada por deficiencias metodológicas y por no cubrir adecuadamente la totalidad de la bibliografía científica disponible;</w:t>
      </w:r>
    </w:p>
    <w:p w14:paraId="03548D37" w14:textId="77777777" w:rsidR="00EB7A91" w:rsidRPr="003F4207" w:rsidRDefault="00EB7A91" w:rsidP="00EB7A91">
      <w:pPr>
        <w:spacing w:after="240"/>
        <w:ind w:left="567" w:hanging="567"/>
        <w:rPr>
          <w:szCs w:val="24"/>
        </w:rPr>
      </w:pPr>
      <w:r w:rsidRPr="003F4207">
        <w:t>F.</w:t>
      </w:r>
      <w:r w:rsidRPr="003F4207">
        <w:tab/>
        <w:t>Considerando que la caracterización molecular de la soja modificada genéticamente sigue siendo incompleta, ya que las alteraciones genómicas involuntarias y los marcos abiertos de lectura de nueva creación no se investigaron exhaustivamente utilizando los enfoques de secuenciación y «-ómicos» más avanzados;</w:t>
      </w:r>
    </w:p>
    <w:p w14:paraId="5DBA164D" w14:textId="77777777" w:rsidR="00EB7A91" w:rsidRPr="003F4207" w:rsidRDefault="00EB7A91" w:rsidP="00EB7A91">
      <w:pPr>
        <w:pStyle w:val="NormalHanging12a"/>
      </w:pPr>
      <w:r w:rsidRPr="003F4207">
        <w:t>G.</w:t>
      </w:r>
      <w:r w:rsidRPr="003F4207">
        <w:tab/>
        <w:t>Considerando que la expresión genética solo se evaluó en condiciones de campo limitadas, a saber, un año y un país, sin tener suficientemente en cuenta los factores de estrés medioambiental o los diferentes orígenes genéticos, a pesar de la variabilidad conocida en la expresión transgénica;</w:t>
      </w:r>
    </w:p>
    <w:p w14:paraId="46F65EF7" w14:textId="77777777" w:rsidR="00EB7A91" w:rsidRPr="003F4207" w:rsidRDefault="00EB7A91" w:rsidP="00EB7A91">
      <w:pPr>
        <w:pStyle w:val="NormalWeb"/>
        <w:widowControl w:val="0"/>
        <w:spacing w:beforeAutospacing="0" w:after="240" w:afterAutospacing="0"/>
        <w:ind w:left="567" w:hanging="567"/>
      </w:pPr>
      <w:r w:rsidRPr="003F4207">
        <w:t>H.</w:t>
      </w:r>
      <w:r w:rsidRPr="003F4207">
        <w:tab/>
        <w:t>Considerando que los ensayos de campo en apoyo de la solicitud tenían un alcance geográfico y medioambiental limitado y no reflejan la diversidad de las condiciones medioambientales en las que puede cultivarse o transformarse la soja;</w:t>
      </w:r>
    </w:p>
    <w:p w14:paraId="74A61626" w14:textId="77777777" w:rsidR="00EB7A91" w:rsidRPr="003F4207" w:rsidRDefault="00EB7A91" w:rsidP="00EB7A91">
      <w:pPr>
        <w:spacing w:after="240"/>
        <w:ind w:left="567" w:hanging="567"/>
      </w:pPr>
      <w:r w:rsidRPr="003F4207">
        <w:t>I.</w:t>
      </w:r>
      <w:r w:rsidRPr="003F4207">
        <w:tab/>
        <w:t xml:space="preserve">Considerando que la mayoría de los estudios toxicológicos se basaron en proteínas </w:t>
      </w:r>
      <w:proofErr w:type="spellStart"/>
      <w:r w:rsidRPr="003F4207">
        <w:t>Bt</w:t>
      </w:r>
      <w:proofErr w:type="spellEnd"/>
      <w:r w:rsidRPr="003F4207">
        <w:t xml:space="preserve"> producidas microbianamente en lugar de en proteínas vegetales, a pesar de las pruebas de que los componentes vegetales, como los inhibidores de la proteasa, pueden </w:t>
      </w:r>
      <w:r w:rsidRPr="003F4207">
        <w:lastRenderedPageBreak/>
        <w:t xml:space="preserve">aumentar la toxicidad de </w:t>
      </w:r>
      <w:proofErr w:type="spellStart"/>
      <w:r w:rsidRPr="003F4207">
        <w:t>Bt</w:t>
      </w:r>
      <w:proofErr w:type="spellEnd"/>
      <w:r w:rsidRPr="003F4207">
        <w:t>;</w:t>
      </w:r>
    </w:p>
    <w:p w14:paraId="22ACA9A4" w14:textId="77777777" w:rsidR="00EB7A91" w:rsidRPr="003F4207" w:rsidRDefault="00EB7A91" w:rsidP="00EB7A91">
      <w:pPr>
        <w:pStyle w:val="NormalHanging12a"/>
      </w:pPr>
      <w:r w:rsidRPr="003F4207">
        <w:t xml:space="preserve">J. </w:t>
      </w:r>
      <w:r w:rsidRPr="003F4207">
        <w:tab/>
        <w:t>Considerando que varios resultados estadísticamente significativos observados en los estudios toxicológicos de 28 y 90 días de duración no dieron lugar a investigaciones de seguimiento adicionales;</w:t>
      </w:r>
    </w:p>
    <w:p w14:paraId="54F4B98A" w14:textId="77777777" w:rsidR="00EB7A91" w:rsidRPr="003F4207" w:rsidRDefault="00EB7A91" w:rsidP="00EB7A91">
      <w:pPr>
        <w:spacing w:after="240"/>
        <w:ind w:left="567" w:hanging="567"/>
      </w:pPr>
      <w:r w:rsidRPr="003F4207">
        <w:t>K.</w:t>
      </w:r>
      <w:r w:rsidRPr="003F4207">
        <w:tab/>
        <w:t xml:space="preserve">Considerando que no se investigaron adecuadamente los posibles efectos sinérgicos o combinatorios entre las dos toxinas </w:t>
      </w:r>
      <w:proofErr w:type="spellStart"/>
      <w:r w:rsidRPr="003F4207">
        <w:t>Bt</w:t>
      </w:r>
      <w:proofErr w:type="spellEnd"/>
      <w:r w:rsidRPr="003F4207">
        <w:t>, con compuestos vegetales o con otros factores de estrés;</w:t>
      </w:r>
    </w:p>
    <w:p w14:paraId="4B7ECF7B" w14:textId="77777777" w:rsidR="00EB7A91" w:rsidRPr="003F4207" w:rsidRDefault="00EB7A91" w:rsidP="00EB7A91">
      <w:pPr>
        <w:spacing w:after="240"/>
        <w:ind w:left="567" w:hanging="567"/>
      </w:pPr>
      <w:r w:rsidRPr="003F4207">
        <w:t>L.</w:t>
      </w:r>
      <w:r w:rsidRPr="003F4207">
        <w:tab/>
        <w:t>Considerando que la evaluación del riesgo para el medio ambiente no aborda suficientemente la posible exposición a través de derrames, estiércol o aguas residuales, ni los posibles efectos en organismos no objetivo;</w:t>
      </w:r>
    </w:p>
    <w:p w14:paraId="5AEA6E2F" w14:textId="77777777" w:rsidR="00EB7A91" w:rsidRPr="003F4207" w:rsidRDefault="00EB7A91" w:rsidP="00EB7A91">
      <w:pPr>
        <w:pStyle w:val="NormalWeb"/>
        <w:widowControl w:val="0"/>
        <w:spacing w:beforeAutospacing="0" w:after="240" w:afterAutospacing="0"/>
        <w:ind w:left="567" w:hanging="567"/>
      </w:pPr>
      <w:r w:rsidRPr="003F4207">
        <w:t>M.</w:t>
      </w:r>
      <w:r w:rsidRPr="003F4207">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6E91EC5E" w14:textId="77777777" w:rsidR="00EB7A91" w:rsidRPr="003F4207" w:rsidRDefault="00EB7A91" w:rsidP="00EB7A91">
      <w:pPr>
        <w:pStyle w:val="NormalWeb"/>
        <w:widowControl w:val="0"/>
        <w:shd w:val="clear" w:color="auto" w:fill="FFFFFF"/>
        <w:spacing w:beforeAutospacing="0" w:after="240" w:afterAutospacing="0"/>
        <w:ind w:left="567" w:hanging="567"/>
        <w:rPr>
          <w:color w:val="000000" w:themeColor="text1"/>
        </w:rPr>
      </w:pPr>
      <w:r w:rsidRPr="003F4207">
        <w:rPr>
          <w:color w:val="000000" w:themeColor="text1"/>
        </w:rPr>
        <w:t>N.</w:t>
      </w:r>
      <w:r w:rsidRPr="003F4207">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6F25D68B" w14:textId="77777777" w:rsidR="00EB7A91" w:rsidRPr="003F4207" w:rsidRDefault="00EB7A91" w:rsidP="00EB7A91">
      <w:pPr>
        <w:spacing w:after="240"/>
        <w:ind w:left="567" w:hanging="567"/>
      </w:pPr>
      <w:r w:rsidRPr="003F4207">
        <w:t>O.</w:t>
      </w:r>
      <w:r w:rsidRPr="003F4207">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19A49134" w14:textId="77777777" w:rsidR="00EB7A91" w:rsidRPr="003F4207" w:rsidRDefault="00EB7A91" w:rsidP="00EB7A91">
      <w:pPr>
        <w:spacing w:after="240"/>
        <w:ind w:left="567" w:hanging="567"/>
      </w:pPr>
      <w:r w:rsidRPr="003F4207">
        <w:t>1.</w:t>
      </w:r>
      <w:r w:rsidRPr="003F4207">
        <w:tab/>
        <w:t>Considera que el proyecto de Decisión de Ejecución de la Comisión excede de las competencias de ejecución previstas en el Reglamento (CE) n.º 1829/2003;</w:t>
      </w:r>
    </w:p>
    <w:p w14:paraId="5963315C" w14:textId="77777777" w:rsidR="00EB7A91" w:rsidRPr="003F4207" w:rsidRDefault="00EB7A91" w:rsidP="00EB7A91">
      <w:pPr>
        <w:spacing w:after="240"/>
        <w:ind w:left="567" w:hanging="567"/>
      </w:pPr>
      <w:r w:rsidRPr="003F4207">
        <w:t>2.</w:t>
      </w:r>
      <w:r w:rsidRPr="003F4207">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3F4207">
        <w:rPr>
          <w:rStyle w:val="FootnoteReference"/>
        </w:rPr>
        <w:footnoteReference w:id="6"/>
      </w:r>
      <w:r w:rsidRPr="003F4207">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14:paraId="4D697C79" w14:textId="77777777" w:rsidR="00EB7A91" w:rsidRPr="003F4207" w:rsidRDefault="00EB7A91" w:rsidP="00EB7A91">
      <w:pPr>
        <w:spacing w:after="240"/>
        <w:ind w:left="567" w:hanging="567"/>
      </w:pPr>
      <w:bookmarkStart w:id="10" w:name="_Hlk213234159"/>
      <w:r w:rsidRPr="003F4207">
        <w:t xml:space="preserve">3. </w:t>
      </w:r>
      <w:r w:rsidRPr="003F4207">
        <w:tab/>
        <w:t>Considera que la evaluación del riesgo sigue siendo incompleta, en particular en lo que se refiere a la caracterización molecular, la evaluación toxicológica y la evaluación del riesgo medioambiental;</w:t>
      </w:r>
      <w:bookmarkEnd w:id="10"/>
    </w:p>
    <w:p w14:paraId="62D916EE" w14:textId="77777777" w:rsidR="00EB7A91" w:rsidRPr="003F4207" w:rsidRDefault="00EB7A91" w:rsidP="00EB7A91">
      <w:pPr>
        <w:spacing w:after="240"/>
        <w:ind w:left="567" w:hanging="567"/>
      </w:pPr>
      <w:r w:rsidRPr="003F4207">
        <w:lastRenderedPageBreak/>
        <w:t>4.</w:t>
      </w:r>
      <w:r w:rsidRPr="003F4207">
        <w:tab/>
        <w:t>Pide a la Comisión que retire su proyecto de Decisión de Ejecución;</w:t>
      </w:r>
    </w:p>
    <w:p w14:paraId="3D5194A8" w14:textId="77777777" w:rsidR="00EB7A91" w:rsidRPr="003F4207" w:rsidRDefault="00EB7A91" w:rsidP="00EB7A91">
      <w:pPr>
        <w:spacing w:after="240"/>
        <w:ind w:left="567" w:hanging="567"/>
      </w:pPr>
      <w:r w:rsidRPr="003F4207">
        <w:t>5.</w:t>
      </w:r>
      <w:r w:rsidRPr="003F4207">
        <w:tab/>
        <w:t>Pide a la Comisión que no autorice la soja modificada genéticamente debido a la falta de pruebas suficientes sobre sus efectos a largo plazo en la biodiversidad, la seguridad alimentaria, los medios de subsistencia de los agricultores y la salud animal, en consonancia con el enfoque de «Una sola salud»;</w:t>
      </w:r>
    </w:p>
    <w:p w14:paraId="7DC0D5F5" w14:textId="77777777" w:rsidR="00EB7A91" w:rsidRPr="003F4207" w:rsidRDefault="00EB7A91" w:rsidP="00EB7A91">
      <w:pPr>
        <w:spacing w:after="240"/>
        <w:ind w:left="567" w:hanging="567"/>
      </w:pPr>
      <w:bookmarkStart w:id="11" w:name="_Hlk210900300"/>
      <w:r w:rsidRPr="003F4207">
        <w:t>6.</w:t>
      </w:r>
      <w:r w:rsidRPr="003F4207">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1"/>
      <w:r w:rsidRPr="003F4207">
        <w:t>;</w:t>
      </w:r>
    </w:p>
    <w:p w14:paraId="69DD0B8B" w14:textId="77777777" w:rsidR="00EB7A91" w:rsidRPr="003F4207" w:rsidRDefault="00EB7A91" w:rsidP="00EB7A91">
      <w:pPr>
        <w:spacing w:after="240"/>
        <w:ind w:left="567" w:hanging="567"/>
      </w:pPr>
      <w:r w:rsidRPr="003F4207">
        <w:t>7.</w:t>
      </w:r>
      <w:r w:rsidRPr="003F4207">
        <w:tab/>
        <w:t xml:space="preserve">Destaca, a este respecto, que autorizar la importación para su uso en alimentos o piensos de cualquier planta modificada genéticamente que se haya hecho tolerante a herbicidas prohibidos en la Unión, como el </w:t>
      </w:r>
      <w:proofErr w:type="spellStart"/>
      <w:r w:rsidRPr="003F4207">
        <w:t>glufosinato</w:t>
      </w:r>
      <w:proofErr w:type="spellEnd"/>
      <w:r w:rsidRPr="003F4207">
        <w:t>, es incoherente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p w14:paraId="127B5037" w14:textId="3A94E35B" w:rsidR="00E365E1" w:rsidRPr="003F4207" w:rsidRDefault="00EB7A91" w:rsidP="004A2194">
      <w:pPr>
        <w:spacing w:after="240"/>
        <w:ind w:left="567" w:hanging="567"/>
      </w:pPr>
      <w:bookmarkStart w:id="12" w:name="_Hlk210900241"/>
      <w:bookmarkEnd w:id="12"/>
      <w:r w:rsidRPr="003F4207">
        <w:t>8.</w:t>
      </w:r>
      <w:r w:rsidRPr="003F4207">
        <w:tab/>
        <w:t>Encarga a su presidenta que transmita la presente Resolución al Consejo y a la Comisión, así como a los Gobiernos y Parlamentos de los Estados miembros.</w:t>
      </w:r>
    </w:p>
    <w:sectPr w:rsidR="00E365E1" w:rsidRPr="003F4207" w:rsidSect="00235C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2922C" w14:textId="77777777" w:rsidR="003B4A3F" w:rsidRPr="00235C4F" w:rsidRDefault="003B4A3F">
      <w:r w:rsidRPr="00235C4F">
        <w:separator/>
      </w:r>
    </w:p>
  </w:endnote>
  <w:endnote w:type="continuationSeparator" w:id="0">
    <w:p w14:paraId="6DC599B0" w14:textId="77777777" w:rsidR="003B4A3F" w:rsidRPr="00235C4F" w:rsidRDefault="003B4A3F">
      <w:r w:rsidRPr="00235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0357" w14:textId="77777777" w:rsidR="00064002" w:rsidRPr="00235C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F958" w14:textId="77777777" w:rsidR="00064002" w:rsidRPr="00235C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02CE" w14:textId="77777777" w:rsidR="00064002" w:rsidRPr="00235C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57B5" w14:textId="77777777" w:rsidR="003B4A3F" w:rsidRPr="00235C4F" w:rsidRDefault="003B4A3F">
      <w:r w:rsidRPr="00235C4F">
        <w:separator/>
      </w:r>
    </w:p>
  </w:footnote>
  <w:footnote w:type="continuationSeparator" w:id="0">
    <w:p w14:paraId="097B04EA" w14:textId="77777777" w:rsidR="003B4A3F" w:rsidRPr="00235C4F" w:rsidRDefault="003B4A3F">
      <w:r w:rsidRPr="00235C4F">
        <w:continuationSeparator/>
      </w:r>
    </w:p>
  </w:footnote>
  <w:footnote w:id="1">
    <w:p w14:paraId="421CD816" w14:textId="102F12FE" w:rsidR="00EB7A91" w:rsidRPr="003F4207" w:rsidRDefault="00EB7A91" w:rsidP="00235C4F">
      <w:pPr>
        <w:pStyle w:val="FootnoteText"/>
        <w:ind w:left="567" w:hanging="567"/>
        <w:rPr>
          <w:sz w:val="24"/>
          <w:lang w:val="pt-PT"/>
        </w:rPr>
      </w:pPr>
      <w:r w:rsidRPr="00235C4F">
        <w:rPr>
          <w:rStyle w:val="Funotenzeichen"/>
          <w:sz w:val="24"/>
          <w:lang w:val="es-ES_tradnl"/>
        </w:rPr>
        <w:footnoteRef/>
      </w:r>
      <w:r w:rsidR="00235C4F" w:rsidRPr="003F4207">
        <w:rPr>
          <w:sz w:val="24"/>
          <w:lang w:val="pt-PT"/>
        </w:rPr>
        <w:t xml:space="preserve"> </w:t>
      </w:r>
      <w:r w:rsidR="00235C4F" w:rsidRPr="003F4207">
        <w:rPr>
          <w:sz w:val="24"/>
          <w:lang w:val="pt-PT"/>
        </w:rPr>
        <w:tab/>
      </w:r>
      <w:r w:rsidRPr="003F4207">
        <w:rPr>
          <w:sz w:val="24"/>
          <w:lang w:val="pt-PT"/>
        </w:rPr>
        <w:t xml:space="preserve">DO L 268 de 18.10.2003, p. 1, ELI: </w:t>
      </w:r>
      <w:hyperlink r:id="rId1" w:tooltip="Da acceso a este documento a través de su ELI URI." w:history="1">
        <w:r w:rsidRPr="003F4207">
          <w:rPr>
            <w:rStyle w:val="Hyperlink"/>
            <w:sz w:val="24"/>
            <w:lang w:val="pt-PT"/>
          </w:rPr>
          <w:t>http://data.europa.eu/eli/reg/2003/1829/oj</w:t>
        </w:r>
      </w:hyperlink>
      <w:r w:rsidRPr="003F4207">
        <w:rPr>
          <w:sz w:val="24"/>
          <w:lang w:val="pt-PT"/>
        </w:rPr>
        <w:t>.</w:t>
      </w:r>
    </w:p>
  </w:footnote>
  <w:footnote w:id="2">
    <w:p w14:paraId="679AAD7D" w14:textId="6FD9B128" w:rsidR="00EB7A91" w:rsidRPr="003F4207" w:rsidRDefault="00EB7A91" w:rsidP="00235C4F">
      <w:pPr>
        <w:pStyle w:val="FootnoteText"/>
        <w:ind w:left="567" w:hanging="567"/>
        <w:rPr>
          <w:sz w:val="24"/>
          <w:lang w:val="pt-PT"/>
        </w:rPr>
      </w:pPr>
      <w:r w:rsidRPr="00235C4F">
        <w:rPr>
          <w:rStyle w:val="Funotenzeichen"/>
          <w:sz w:val="24"/>
          <w:lang w:val="es-ES_tradnl"/>
        </w:rPr>
        <w:footnoteRef/>
      </w:r>
      <w:bookmarkStart w:id="9" w:name="_Hlk210663104_Kopie_1"/>
      <w:r w:rsidR="00235C4F" w:rsidRPr="003F4207">
        <w:rPr>
          <w:sz w:val="24"/>
          <w:lang w:val="pt-PT"/>
        </w:rPr>
        <w:t xml:space="preserve"> </w:t>
      </w:r>
      <w:r w:rsidR="00235C4F" w:rsidRPr="003F4207">
        <w:rPr>
          <w:sz w:val="24"/>
          <w:lang w:val="pt-PT"/>
        </w:rPr>
        <w:tab/>
      </w:r>
      <w:r w:rsidRPr="003F4207">
        <w:rPr>
          <w:sz w:val="24"/>
          <w:lang w:val="pt-PT"/>
        </w:rPr>
        <w:t xml:space="preserve">DO L 55 de 28.2.2011, p. 13, ELI: </w:t>
      </w:r>
      <w:hyperlink r:id="rId2">
        <w:r w:rsidRPr="003F4207">
          <w:rPr>
            <w:rStyle w:val="Hyperlink"/>
            <w:sz w:val="24"/>
            <w:lang w:val="pt-PT"/>
          </w:rPr>
          <w:t>http://data.europa.eu/eli/reg/2011/182/oj</w:t>
        </w:r>
      </w:hyperlink>
      <w:r w:rsidRPr="003F4207">
        <w:rPr>
          <w:sz w:val="24"/>
          <w:lang w:val="pt-PT"/>
        </w:rPr>
        <w:t>.</w:t>
      </w:r>
      <w:bookmarkEnd w:id="9"/>
    </w:p>
  </w:footnote>
  <w:footnote w:id="3">
    <w:p w14:paraId="33FE8B06" w14:textId="57FF4DB6" w:rsidR="00EB7A91" w:rsidRPr="00235C4F" w:rsidRDefault="00EB7A91" w:rsidP="00235C4F">
      <w:pPr>
        <w:pStyle w:val="FootnoteText"/>
        <w:ind w:left="567" w:hanging="567"/>
        <w:rPr>
          <w:sz w:val="24"/>
          <w:lang w:val="es-ES_tradnl"/>
        </w:rPr>
      </w:pPr>
      <w:r w:rsidRPr="00235C4F">
        <w:rPr>
          <w:rStyle w:val="Funotenzeichen"/>
          <w:sz w:val="24"/>
          <w:lang w:val="es-ES_tradnl"/>
        </w:rPr>
        <w:footnoteRef/>
      </w:r>
      <w:r w:rsidR="00235C4F" w:rsidRPr="00235C4F">
        <w:rPr>
          <w:sz w:val="24"/>
          <w:lang w:val="es-ES_tradnl"/>
        </w:rPr>
        <w:t xml:space="preserve"> </w:t>
      </w:r>
      <w:r w:rsidR="00235C4F" w:rsidRPr="00235C4F">
        <w:rPr>
          <w:sz w:val="24"/>
          <w:lang w:val="es-ES_tradnl"/>
        </w:rPr>
        <w:tab/>
      </w:r>
      <w:r w:rsidRPr="00235C4F">
        <w:rPr>
          <w:sz w:val="24"/>
          <w:lang w:val="es-ES_tradnl"/>
        </w:rPr>
        <w:t xml:space="preserve">Dictamen científico de la Comisión Técnica de Organismos Modificados Genéticamente de la EFSA sobre la evaluación de la soja modificada genéticamente MON 94637 (solicitud GMFF-2023-21116), </w:t>
      </w:r>
      <w:proofErr w:type="spellStart"/>
      <w:r w:rsidRPr="00235C4F">
        <w:rPr>
          <w:i/>
          <w:iCs/>
          <w:sz w:val="24"/>
          <w:lang w:val="es-ES_tradnl"/>
        </w:rPr>
        <w:t>EFSA</w:t>
      </w:r>
      <w:proofErr w:type="spellEnd"/>
      <w:r w:rsidRPr="00235C4F">
        <w:rPr>
          <w:i/>
          <w:iCs/>
          <w:sz w:val="24"/>
          <w:lang w:val="es-ES_tradnl"/>
        </w:rPr>
        <w:t xml:space="preserve"> </w:t>
      </w:r>
      <w:proofErr w:type="spellStart"/>
      <w:r w:rsidRPr="00235C4F">
        <w:rPr>
          <w:i/>
          <w:iCs/>
          <w:sz w:val="24"/>
          <w:lang w:val="es-ES_tradnl"/>
        </w:rPr>
        <w:t>Journal</w:t>
      </w:r>
      <w:proofErr w:type="spellEnd"/>
      <w:r w:rsidRPr="00235C4F">
        <w:rPr>
          <w:sz w:val="24"/>
          <w:lang w:val="es-ES_tradnl"/>
        </w:rPr>
        <w:t xml:space="preserve"> 2025, 23(10):e9581,</w:t>
      </w:r>
      <w:hyperlink r:id="rId3">
        <w:r w:rsidRPr="00235C4F">
          <w:rPr>
            <w:rStyle w:val="Hyperlink"/>
            <w:sz w:val="24"/>
            <w:lang w:val="es-ES_tradnl"/>
          </w:rPr>
          <w:t xml:space="preserve"> https://doi.org/10.2903/j.efsa.2025.9503</w:t>
        </w:r>
      </w:hyperlink>
      <w:r w:rsidRPr="00235C4F">
        <w:rPr>
          <w:rStyle w:val="Hyperlink"/>
          <w:sz w:val="24"/>
          <w:lang w:val="es-ES_tradnl"/>
        </w:rPr>
        <w:t>.</w:t>
      </w:r>
    </w:p>
  </w:footnote>
  <w:footnote w:id="4">
    <w:p w14:paraId="47282D43" w14:textId="1F202918" w:rsidR="00EB7A91" w:rsidRPr="00235C4F" w:rsidRDefault="00EB7A91" w:rsidP="00235C4F">
      <w:pPr>
        <w:pStyle w:val="FootnoteText"/>
        <w:ind w:left="567" w:hanging="567"/>
        <w:rPr>
          <w:color w:val="000000" w:themeColor="text1"/>
          <w:sz w:val="24"/>
          <w:vertAlign w:val="superscript"/>
          <w:lang w:val="es-ES_tradnl"/>
        </w:rPr>
      </w:pPr>
      <w:r w:rsidRPr="00235C4F">
        <w:rPr>
          <w:rStyle w:val="Funotenzeichen"/>
          <w:sz w:val="24"/>
          <w:lang w:val="es-ES_tradnl"/>
        </w:rPr>
        <w:footnoteRef/>
      </w:r>
      <w:r w:rsidR="00235C4F" w:rsidRPr="00235C4F">
        <w:rPr>
          <w:sz w:val="24"/>
          <w:lang w:val="es-ES_tradnl"/>
        </w:rPr>
        <w:t xml:space="preserve"> </w:t>
      </w:r>
      <w:r w:rsidR="00235C4F" w:rsidRPr="00235C4F">
        <w:rPr>
          <w:sz w:val="24"/>
          <w:lang w:val="es-ES_tradnl"/>
        </w:rPr>
        <w:tab/>
      </w:r>
      <w:r w:rsidRPr="00235C4F">
        <w:rPr>
          <w:sz w:val="24"/>
          <w:lang w:val="es-ES_tradnl"/>
        </w:rPr>
        <w:t>En su octava y novena legislaturas, el Parlamento aprobó respectivamente 36 y 38 Resoluciones de oposición a la autorización de organismos modificados genéticamente.</w:t>
      </w:r>
      <w:r w:rsidRPr="00235C4F">
        <w:rPr>
          <w:color w:val="000000" w:themeColor="text1"/>
          <w:sz w:val="24"/>
          <w:lang w:val="es-ES_tradnl"/>
        </w:rPr>
        <w:t xml:space="preserve"> Además, en su décima legislatura, el Parlamento ha aprobado las siguientes Resoluciones:</w:t>
      </w:r>
    </w:p>
    <w:p w14:paraId="6B5D3323" w14:textId="2FD52F19"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r w:rsidR="00EB7A91" w:rsidRPr="00235C4F">
          <w:rPr>
            <w:rStyle w:val="Hyperlink"/>
            <w:sz w:val="24"/>
            <w:lang w:val="es-ES_tradnl"/>
          </w:rPr>
          <w:t>http://data.europa.eu/eli/C/2025/1797/oj</w:t>
        </w:r>
      </w:hyperlink>
      <w:r w:rsidR="00EB7A91" w:rsidRPr="00235C4F">
        <w:rPr>
          <w:color w:val="000000" w:themeColor="text1"/>
          <w:sz w:val="24"/>
          <w:lang w:val="es-ES_tradnl"/>
        </w:rPr>
        <w:t>).</w:t>
      </w:r>
    </w:p>
    <w:p w14:paraId="717FB0B6" w14:textId="207CA076"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r w:rsidR="00EB7A91" w:rsidRPr="00235C4F">
          <w:rPr>
            <w:rStyle w:val="Hyperlink"/>
            <w:sz w:val="24"/>
            <w:lang w:val="es-ES_tradnl"/>
          </w:rPr>
          <w:t>http://data.europa.eu/eli/C/2025/1798/oj</w:t>
        </w:r>
      </w:hyperlink>
      <w:r w:rsidR="00EB7A91" w:rsidRPr="00235C4F">
        <w:rPr>
          <w:color w:val="000000" w:themeColor="text1"/>
          <w:sz w:val="24"/>
          <w:lang w:val="es-ES_tradnl"/>
        </w:rPr>
        <w:t>).</w:t>
      </w:r>
    </w:p>
    <w:p w14:paraId="4AAB1EA4" w14:textId="68248231"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6">
        <w:r w:rsidR="00EB7A91" w:rsidRPr="00235C4F">
          <w:rPr>
            <w:rStyle w:val="Hyperlink"/>
            <w:sz w:val="24"/>
            <w:lang w:val="es-ES_tradnl"/>
          </w:rPr>
          <w:t>http://data.europa.eu/eli/C/2025/1799/oj</w:t>
        </w:r>
      </w:hyperlink>
      <w:r w:rsidR="00EB7A91" w:rsidRPr="00235C4F">
        <w:rPr>
          <w:color w:val="000000" w:themeColor="text1"/>
          <w:sz w:val="24"/>
          <w:lang w:val="es-ES_tradnl"/>
        </w:rPr>
        <w:t>).</w:t>
      </w:r>
    </w:p>
    <w:p w14:paraId="21C36268" w14:textId="5BA37BE6"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r w:rsidR="00EB7A91" w:rsidRPr="00235C4F">
          <w:rPr>
            <w:rStyle w:val="Hyperlink"/>
            <w:sz w:val="24"/>
            <w:lang w:val="es-ES_tradnl"/>
          </w:rPr>
          <w:t>http://data.europa.eu/eli/C/2025/1800/oj</w:t>
        </w:r>
      </w:hyperlink>
      <w:r w:rsidR="00EB7A91" w:rsidRPr="00235C4F">
        <w:rPr>
          <w:color w:val="000000" w:themeColor="text1"/>
          <w:sz w:val="24"/>
          <w:lang w:val="es-ES_tradnl"/>
        </w:rPr>
        <w:t>).</w:t>
      </w:r>
    </w:p>
    <w:p w14:paraId="5FA2E7AD" w14:textId="29D50830"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r w:rsidR="00EB7A91" w:rsidRPr="00235C4F">
          <w:rPr>
            <w:rStyle w:val="Hyperlink"/>
            <w:sz w:val="24"/>
            <w:lang w:val="es-ES_tradnl"/>
          </w:rPr>
          <w:t>http://data.europa.eu/eli/C/2025/1801/oj</w:t>
        </w:r>
      </w:hyperlink>
      <w:r w:rsidR="00EB7A91" w:rsidRPr="00235C4F">
        <w:rPr>
          <w:color w:val="000000" w:themeColor="text1"/>
          <w:sz w:val="24"/>
          <w:lang w:val="es-ES_tradnl"/>
        </w:rPr>
        <w:t>).</w:t>
      </w:r>
    </w:p>
    <w:p w14:paraId="079EC506" w14:textId="6CA7E6E9"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r w:rsidR="00EB7A91" w:rsidRPr="00235C4F">
          <w:rPr>
            <w:rStyle w:val="Hyperlink"/>
            <w:sz w:val="24"/>
            <w:lang w:val="es-ES_tradnl"/>
          </w:rPr>
          <w:t>http://data.europa.eu/eli/C/2025/1802/oj</w:t>
        </w:r>
      </w:hyperlink>
      <w:r w:rsidR="00EB7A91" w:rsidRPr="00235C4F">
        <w:rPr>
          <w:color w:val="000000" w:themeColor="text1"/>
          <w:sz w:val="24"/>
          <w:lang w:val="es-ES_tradnl"/>
        </w:rPr>
        <w:t>).</w:t>
      </w:r>
    </w:p>
    <w:p w14:paraId="70F91D3E" w14:textId="005271CF"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r w:rsidR="00EB7A91" w:rsidRPr="00235C4F">
          <w:rPr>
            <w:rStyle w:val="Hyperlink"/>
            <w:sz w:val="24"/>
            <w:lang w:val="es-ES_tradnl"/>
          </w:rPr>
          <w:t>http://data.europa.eu/eli/C/2025/1803/oj</w:t>
        </w:r>
      </w:hyperlink>
      <w:r w:rsidR="00EB7A91" w:rsidRPr="00235C4F">
        <w:rPr>
          <w:color w:val="000000" w:themeColor="text1"/>
          <w:sz w:val="24"/>
          <w:lang w:val="es-ES_tradnl"/>
        </w:rPr>
        <w:t>).</w:t>
      </w:r>
    </w:p>
    <w:p w14:paraId="1FE3B7DB" w14:textId="75E4BABC" w:rsidR="00EB7A91" w:rsidRPr="00235C4F" w:rsidRDefault="00235C4F" w:rsidP="00235C4F">
      <w:pPr>
        <w:pStyle w:val="FootnoteText"/>
        <w:ind w:left="567" w:hanging="567"/>
        <w:rPr>
          <w:color w:val="000000" w:themeColor="text1"/>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r w:rsidR="00EB7A91" w:rsidRPr="00235C4F">
          <w:rPr>
            <w:rStyle w:val="Hyperlink"/>
            <w:sz w:val="24"/>
            <w:lang w:val="es-ES_tradnl"/>
          </w:rPr>
          <w:t>http://data.europa.eu/eli/C/2025/1804/oj</w:t>
        </w:r>
      </w:hyperlink>
      <w:r w:rsidR="00EB7A91" w:rsidRPr="00235C4F">
        <w:rPr>
          <w:color w:val="000000" w:themeColor="text1"/>
          <w:sz w:val="24"/>
          <w:lang w:val="es-ES_tradnl"/>
        </w:rPr>
        <w:t>).</w:t>
      </w:r>
    </w:p>
    <w:p w14:paraId="7E11086C" w14:textId="62DCA267" w:rsidR="00EB7A91" w:rsidRPr="00235C4F" w:rsidRDefault="00235C4F" w:rsidP="00235C4F">
      <w:pPr>
        <w:pStyle w:val="FootnoteText"/>
        <w:ind w:left="567" w:hanging="567"/>
        <w:rPr>
          <w:sz w:val="24"/>
          <w:vertAlign w:val="superscript"/>
          <w:lang w:val="es-ES_tradnl"/>
        </w:rPr>
      </w:pPr>
      <w:r w:rsidRPr="00235C4F">
        <w:rPr>
          <w:color w:val="000000" w:themeColor="text1"/>
          <w:sz w:val="24"/>
          <w:lang w:val="es-ES_tradnl"/>
        </w:rPr>
        <w:t xml:space="preserve"> </w:t>
      </w:r>
      <w:r w:rsidRPr="00235C4F">
        <w:rPr>
          <w:color w:val="000000" w:themeColor="text1"/>
          <w:sz w:val="24"/>
          <w:lang w:val="es-ES_tradnl"/>
        </w:rPr>
        <w:tab/>
      </w:r>
      <w:r w:rsidR="00EB7A91" w:rsidRPr="00235C4F">
        <w:rPr>
          <w:color w:val="000000" w:themeColor="text1"/>
          <w:sz w:val="24"/>
          <w:lang w:val="es-ES_tradnl"/>
        </w:rPr>
        <w:t>–</w:t>
      </w:r>
      <w:r w:rsidR="00EB7A91" w:rsidRPr="00235C4F">
        <w:rPr>
          <w:color w:val="000000" w:themeColor="text1"/>
          <w:sz w:val="24"/>
          <w:lang w:val="es-ES_tradnl"/>
        </w:rPr>
        <w:tab/>
      </w:r>
      <w:r w:rsidR="00EB7A91" w:rsidRPr="00235C4F">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Gives access to this document through its ELI URI.">
        <w:r w:rsidR="00EB7A91" w:rsidRPr="00235C4F">
          <w:rPr>
            <w:rStyle w:val="Hyperlink"/>
            <w:sz w:val="24"/>
            <w:lang w:val="es-ES_tradnl"/>
          </w:rPr>
          <w:t>http://data.europa.eu/eli/C/2025/2246/oj</w:t>
        </w:r>
      </w:hyperlink>
      <w:r w:rsidR="00EB7A91" w:rsidRPr="00235C4F">
        <w:rPr>
          <w:sz w:val="24"/>
          <w:lang w:val="es-ES_tradnl"/>
        </w:rPr>
        <w:t>).</w:t>
      </w:r>
    </w:p>
    <w:p w14:paraId="6E7D1C74" w14:textId="454F250E"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tooltip="Da acceso a este documento a través de su ELI URI.">
        <w:r w:rsidR="00EB7A91" w:rsidRPr="00235C4F">
          <w:rPr>
            <w:rStyle w:val="Hyperlink"/>
            <w:sz w:val="24"/>
            <w:lang w:val="es-ES_tradnl"/>
          </w:rPr>
          <w:t>http://data.europa.eu/eli/C/2025/2247/oj</w:t>
        </w:r>
      </w:hyperlink>
      <w:r w:rsidR="00EB7A91" w:rsidRPr="00235C4F">
        <w:rPr>
          <w:sz w:val="24"/>
          <w:lang w:val="es-ES_tradnl"/>
        </w:rPr>
        <w:t>).</w:t>
      </w:r>
    </w:p>
    <w:p w14:paraId="50B98CD8" w14:textId="084D698C"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(DO C, C/2026/586, 24.2.2026, ELI: </w:t>
      </w:r>
      <w:hyperlink r:id="rId14" w:tooltip="Da acceso a este documento a través de su ELI URI." w:history="1">
        <w:r w:rsidR="00EB7A91" w:rsidRPr="00235C4F">
          <w:rPr>
            <w:rStyle w:val="Hyperlink"/>
            <w:sz w:val="24"/>
            <w:lang w:val="es-ES_tradnl"/>
          </w:rPr>
          <w:t>http://data.europa.eu/eli/C/2026/586/oj</w:t>
        </w:r>
      </w:hyperlink>
      <w:r w:rsidR="00EB7A91" w:rsidRPr="00235C4F">
        <w:rPr>
          <w:sz w:val="24"/>
          <w:lang w:val="es-ES_tradnl"/>
        </w:rPr>
        <w:t>).</w:t>
      </w:r>
    </w:p>
    <w:p w14:paraId="795D1A4D" w14:textId="1CD6E313"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maíz modificado genéticamente DP51291 o hayan sido producidos a partir de él, con arreglo al Reglamento (CE) n.º 1829/2003 del Parlamento Europeo y del Consejo (Textos Aprobados, P10_TA(2025)0222).</w:t>
      </w:r>
    </w:p>
    <w:p w14:paraId="03C6E207" w14:textId="7AD200C1"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(Textos Aprobados, P10_TA(2025)0288).</w:t>
      </w:r>
    </w:p>
    <w:p w14:paraId="7FD9E94D" w14:textId="6573D66F"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(Textos Aprobados, P10_TA(2025)0289).</w:t>
      </w:r>
    </w:p>
    <w:p w14:paraId="65D8291B" w14:textId="27F656F0"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(Textos Aprobados, P10_TA(2025)0290).</w:t>
      </w:r>
    </w:p>
    <w:p w14:paraId="30ADCDA5" w14:textId="3071FD45"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(Textos Aprobados, P10_TA(2025)0291).</w:t>
      </w:r>
    </w:p>
    <w:p w14:paraId="16B70ECE" w14:textId="200E0FDE"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(Textos Aprobados, P10_TA(2025)0292).</w:t>
      </w:r>
    </w:p>
    <w:p w14:paraId="07BFC2D7" w14:textId="56837C48"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(Textos Aprobados, P10_TA(2025)0327).</w:t>
      </w:r>
    </w:p>
    <w:p w14:paraId="62A268F4" w14:textId="0D43BEAF"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(Textos Aprobados, P10_TA(2025)0328).</w:t>
      </w:r>
    </w:p>
    <w:p w14:paraId="0BA130FC" w14:textId="7AF701F5"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(Textos Aprobados, P10_TA(2026)0041).</w:t>
      </w:r>
    </w:p>
    <w:p w14:paraId="41E0ECF1" w14:textId="711311A8"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 (Textos Aprobados, P10_TA(2026)0042).</w:t>
      </w:r>
    </w:p>
    <w:p w14:paraId="6CEEB8A2" w14:textId="33E556B8" w:rsidR="00EB7A91" w:rsidRPr="00235C4F" w:rsidRDefault="00235C4F" w:rsidP="00235C4F">
      <w:pPr>
        <w:pStyle w:val="FootnoteText"/>
        <w:ind w:left="567" w:hanging="567"/>
        <w:rPr>
          <w:sz w:val="24"/>
          <w:vertAlign w:val="superscript"/>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 (Textos Aprobados, P10_TA(2026)0043).</w:t>
      </w:r>
    </w:p>
    <w:p w14:paraId="1D2E0BF3" w14:textId="5D5658FC" w:rsidR="00EB7A91" w:rsidRPr="00235C4F" w:rsidRDefault="00235C4F" w:rsidP="00235C4F">
      <w:pPr>
        <w:pStyle w:val="FootnoteText"/>
        <w:ind w:left="567" w:hanging="567"/>
        <w:rPr>
          <w:sz w:val="24"/>
          <w:lang w:val="es-ES_tradnl"/>
        </w:rPr>
      </w:pPr>
      <w:r w:rsidRPr="00235C4F">
        <w:rPr>
          <w:sz w:val="24"/>
          <w:lang w:val="es-ES_tradnl"/>
        </w:rPr>
        <w:t xml:space="preserve"> </w:t>
      </w:r>
      <w:r w:rsidRPr="00235C4F">
        <w:rPr>
          <w:sz w:val="24"/>
          <w:lang w:val="es-ES_tradnl"/>
        </w:rPr>
        <w:tab/>
      </w:r>
      <w:r w:rsidR="00EB7A91" w:rsidRPr="00235C4F">
        <w:rPr>
          <w:sz w:val="24"/>
          <w:lang w:val="es-ES_tradnl"/>
        </w:rPr>
        <w:t>–</w:t>
      </w:r>
      <w:r w:rsidR="00EB7A91" w:rsidRPr="00235C4F">
        <w:rPr>
          <w:sz w:val="24"/>
          <w:lang w:val="es-ES_tradnl"/>
        </w:rPr>
        <w:tab/>
        <w:t>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 (Textos Aprobados, P10_TA(2026)0044).</w:t>
      </w:r>
    </w:p>
  </w:footnote>
  <w:footnote w:id="5">
    <w:p w14:paraId="0A8D2EBD" w14:textId="2C3ADAD3" w:rsidR="00EB7A91" w:rsidRPr="003F4207" w:rsidRDefault="00EB7A91" w:rsidP="00235C4F">
      <w:pPr>
        <w:pStyle w:val="FootnoteText"/>
        <w:ind w:left="567" w:hanging="567"/>
        <w:rPr>
          <w:sz w:val="24"/>
          <w:lang w:val="en-GB"/>
        </w:rPr>
      </w:pPr>
      <w:r w:rsidRPr="00235C4F">
        <w:rPr>
          <w:rStyle w:val="FootnoteReference"/>
          <w:sz w:val="24"/>
          <w:lang w:val="es-ES_tradnl"/>
        </w:rPr>
        <w:footnoteRef/>
      </w:r>
      <w:r w:rsidR="00235C4F" w:rsidRPr="00235C4F">
        <w:rPr>
          <w:sz w:val="24"/>
          <w:lang w:val="es-ES_tradnl"/>
        </w:rPr>
        <w:t xml:space="preserve"> </w:t>
      </w:r>
      <w:r w:rsidR="00235C4F" w:rsidRPr="00235C4F">
        <w:rPr>
          <w:sz w:val="24"/>
          <w:lang w:val="es-ES_tradnl"/>
        </w:rPr>
        <w:tab/>
      </w:r>
      <w:r w:rsidRPr="00235C4F">
        <w:rPr>
          <w:sz w:val="24"/>
          <w:lang w:val="es-ES_tradnl"/>
        </w:rPr>
        <w:t xml:space="preserve">Chen, D., </w:t>
      </w:r>
      <w:proofErr w:type="spellStart"/>
      <w:r w:rsidRPr="00235C4F">
        <w:rPr>
          <w:sz w:val="24"/>
          <w:lang w:val="es-ES_tradnl"/>
        </w:rPr>
        <w:t>Moar</w:t>
      </w:r>
      <w:proofErr w:type="spellEnd"/>
      <w:r w:rsidRPr="00235C4F">
        <w:rPr>
          <w:sz w:val="24"/>
          <w:lang w:val="es-ES_tradnl"/>
        </w:rPr>
        <w:t xml:space="preserve">, </w:t>
      </w:r>
      <w:proofErr w:type="spellStart"/>
      <w:r w:rsidRPr="00235C4F">
        <w:rPr>
          <w:sz w:val="24"/>
          <w:lang w:val="es-ES_tradnl"/>
        </w:rPr>
        <w:t>W.J</w:t>
      </w:r>
      <w:proofErr w:type="spellEnd"/>
      <w:r w:rsidRPr="00235C4F">
        <w:rPr>
          <w:sz w:val="24"/>
          <w:lang w:val="es-ES_tradnl"/>
        </w:rPr>
        <w:t xml:space="preserve">., Jerga, A., </w:t>
      </w:r>
      <w:proofErr w:type="spellStart"/>
      <w:r w:rsidRPr="00235C4F">
        <w:rPr>
          <w:sz w:val="24"/>
          <w:lang w:val="es-ES_tradnl"/>
        </w:rPr>
        <w:t>Gowda</w:t>
      </w:r>
      <w:proofErr w:type="spellEnd"/>
      <w:r w:rsidRPr="00235C4F">
        <w:rPr>
          <w:sz w:val="24"/>
          <w:lang w:val="es-ES_tradnl"/>
        </w:rPr>
        <w:t xml:space="preserve">, A., Milligan, </w:t>
      </w:r>
      <w:proofErr w:type="spellStart"/>
      <w:r w:rsidRPr="00235C4F">
        <w:rPr>
          <w:sz w:val="24"/>
          <w:lang w:val="es-ES_tradnl"/>
        </w:rPr>
        <w:t>J.S</w:t>
      </w:r>
      <w:proofErr w:type="spellEnd"/>
      <w:r w:rsidRPr="00235C4F">
        <w:rPr>
          <w:sz w:val="24"/>
          <w:lang w:val="es-ES_tradnl"/>
        </w:rPr>
        <w:t xml:space="preserve">., </w:t>
      </w:r>
      <w:proofErr w:type="spellStart"/>
      <w:r w:rsidRPr="00235C4F">
        <w:rPr>
          <w:sz w:val="24"/>
          <w:lang w:val="es-ES_tradnl"/>
        </w:rPr>
        <w:t>Bretsynder</w:t>
      </w:r>
      <w:proofErr w:type="spellEnd"/>
      <w:r w:rsidRPr="00235C4F">
        <w:rPr>
          <w:sz w:val="24"/>
          <w:lang w:val="es-ES_tradnl"/>
        </w:rPr>
        <w:t xml:space="preserve">, E.C., </w:t>
      </w:r>
      <w:proofErr w:type="spellStart"/>
      <w:r w:rsidRPr="00235C4F">
        <w:rPr>
          <w:sz w:val="24"/>
          <w:lang w:val="es-ES_tradnl"/>
        </w:rPr>
        <w:t>Rydel</w:t>
      </w:r>
      <w:proofErr w:type="spellEnd"/>
      <w:r w:rsidRPr="00235C4F">
        <w:rPr>
          <w:sz w:val="24"/>
          <w:lang w:val="es-ES_tradnl"/>
        </w:rPr>
        <w:t xml:space="preserve">, </w:t>
      </w:r>
      <w:proofErr w:type="spellStart"/>
      <w:r w:rsidRPr="00235C4F">
        <w:rPr>
          <w:sz w:val="24"/>
          <w:lang w:val="es-ES_tradnl"/>
        </w:rPr>
        <w:t>T.J</w:t>
      </w:r>
      <w:proofErr w:type="spellEnd"/>
      <w:r w:rsidRPr="00235C4F">
        <w:rPr>
          <w:sz w:val="24"/>
          <w:lang w:val="es-ES_tradnl"/>
        </w:rPr>
        <w:t xml:space="preserve">., </w:t>
      </w:r>
      <w:proofErr w:type="spellStart"/>
      <w:r w:rsidRPr="00235C4F">
        <w:rPr>
          <w:sz w:val="24"/>
          <w:lang w:val="es-ES_tradnl"/>
        </w:rPr>
        <w:t>Baum</w:t>
      </w:r>
      <w:proofErr w:type="spellEnd"/>
      <w:r w:rsidRPr="00235C4F">
        <w:rPr>
          <w:sz w:val="24"/>
          <w:lang w:val="es-ES_tradnl"/>
        </w:rPr>
        <w:t xml:space="preserve">, </w:t>
      </w:r>
      <w:proofErr w:type="spellStart"/>
      <w:r w:rsidRPr="00235C4F">
        <w:rPr>
          <w:sz w:val="24"/>
          <w:lang w:val="es-ES_tradnl"/>
        </w:rPr>
        <w:t>J.A</w:t>
      </w:r>
      <w:proofErr w:type="spellEnd"/>
      <w:r w:rsidRPr="00235C4F">
        <w:rPr>
          <w:sz w:val="24"/>
          <w:lang w:val="es-ES_tradnl"/>
        </w:rPr>
        <w:t xml:space="preserve">., </w:t>
      </w:r>
      <w:proofErr w:type="spellStart"/>
      <w:r w:rsidRPr="00235C4F">
        <w:rPr>
          <w:sz w:val="24"/>
          <w:lang w:val="es-ES_tradnl"/>
        </w:rPr>
        <w:t>Semeao</w:t>
      </w:r>
      <w:proofErr w:type="spellEnd"/>
      <w:r w:rsidRPr="00235C4F">
        <w:rPr>
          <w:sz w:val="24"/>
          <w:lang w:val="es-ES_tradnl"/>
        </w:rPr>
        <w:t xml:space="preserve">, A., Fu, S., </w:t>
      </w:r>
      <w:proofErr w:type="spellStart"/>
      <w:r w:rsidRPr="00235C4F">
        <w:rPr>
          <w:sz w:val="24"/>
          <w:lang w:val="es-ES_tradnl"/>
        </w:rPr>
        <w:t>Guzov</w:t>
      </w:r>
      <w:proofErr w:type="spellEnd"/>
      <w:r w:rsidRPr="00235C4F">
        <w:rPr>
          <w:sz w:val="24"/>
          <w:lang w:val="es-ES_tradnl"/>
        </w:rPr>
        <w:t xml:space="preserve">, V., </w:t>
      </w:r>
      <w:proofErr w:type="spellStart"/>
      <w:r w:rsidRPr="00235C4F">
        <w:rPr>
          <w:sz w:val="24"/>
          <w:lang w:val="es-ES_tradnl"/>
        </w:rPr>
        <w:t>Gabbert</w:t>
      </w:r>
      <w:proofErr w:type="spellEnd"/>
      <w:r w:rsidRPr="00235C4F">
        <w:rPr>
          <w:sz w:val="24"/>
          <w:lang w:val="es-ES_tradnl"/>
        </w:rPr>
        <w:t xml:space="preserve">, K., Head, P.H., Haas, J.A. (2021), </w:t>
      </w:r>
      <w:r w:rsidRPr="00235C4F">
        <w:rPr>
          <w:sz w:val="24"/>
          <w:shd w:val="clear" w:color="auto" w:fill="FFFFFF"/>
          <w:lang w:val="es-ES_tradnl"/>
        </w:rPr>
        <w:t>«</w:t>
      </w:r>
      <w:proofErr w:type="spellStart"/>
      <w:r w:rsidRPr="00235C4F">
        <w:rPr>
          <w:i/>
          <w:sz w:val="24"/>
          <w:lang w:val="es-ES_tradnl"/>
        </w:rPr>
        <w:t>Bacillus</w:t>
      </w:r>
      <w:proofErr w:type="spellEnd"/>
      <w:r w:rsidRPr="00235C4F">
        <w:rPr>
          <w:i/>
          <w:sz w:val="24"/>
          <w:lang w:val="es-ES_tradnl"/>
        </w:rPr>
        <w:t xml:space="preserve"> </w:t>
      </w:r>
      <w:proofErr w:type="spellStart"/>
      <w:r w:rsidRPr="00235C4F">
        <w:rPr>
          <w:i/>
          <w:sz w:val="24"/>
          <w:lang w:val="es-ES_tradnl"/>
        </w:rPr>
        <w:t>thuringiensis</w:t>
      </w:r>
      <w:proofErr w:type="spellEnd"/>
      <w:r w:rsidRPr="00235C4F">
        <w:rPr>
          <w:sz w:val="24"/>
          <w:lang w:val="es-ES_tradnl"/>
        </w:rPr>
        <w:t xml:space="preserve"> </w:t>
      </w:r>
      <w:proofErr w:type="spellStart"/>
      <w:r w:rsidRPr="00235C4F">
        <w:rPr>
          <w:sz w:val="24"/>
          <w:lang w:val="es-ES_tradnl"/>
        </w:rPr>
        <w:t>chimeric</w:t>
      </w:r>
      <w:proofErr w:type="spellEnd"/>
      <w:r w:rsidRPr="00235C4F">
        <w:rPr>
          <w:sz w:val="24"/>
          <w:lang w:val="es-ES_tradnl"/>
        </w:rPr>
        <w:t xml:space="preserve"> </w:t>
      </w:r>
      <w:proofErr w:type="spellStart"/>
      <w:r w:rsidRPr="00235C4F">
        <w:rPr>
          <w:sz w:val="24"/>
          <w:lang w:val="es-ES_tradnl"/>
        </w:rPr>
        <w:t>proteins</w:t>
      </w:r>
      <w:proofErr w:type="spellEnd"/>
      <w:r w:rsidRPr="00235C4F">
        <w:rPr>
          <w:sz w:val="24"/>
          <w:lang w:val="es-ES_tradnl"/>
        </w:rPr>
        <w:t xml:space="preserve"> Cry1A. </w:t>
      </w:r>
      <w:r w:rsidRPr="003F4207">
        <w:rPr>
          <w:sz w:val="24"/>
          <w:lang w:val="en-GB"/>
        </w:rPr>
        <w:t xml:space="preserve">2 and Cry1B. 2 to control soybean lepidopteran pests: New domain combinations enhance insecticidal spectrum of activity and novel receptor contributions», </w:t>
      </w:r>
      <w:r w:rsidRPr="003F4207">
        <w:rPr>
          <w:i/>
          <w:iCs/>
          <w:sz w:val="24"/>
          <w:lang w:val="en-GB"/>
        </w:rPr>
        <w:t>PLoS One</w:t>
      </w:r>
      <w:r w:rsidRPr="003F4207">
        <w:rPr>
          <w:sz w:val="24"/>
          <w:lang w:val="en-GB"/>
        </w:rPr>
        <w:t xml:space="preserve">, junio de 2017, 16(6), e0249150, </w:t>
      </w:r>
      <w:hyperlink r:id="rId15" w:history="1">
        <w:r w:rsidRPr="003F4207">
          <w:rPr>
            <w:rStyle w:val="Hyperlink"/>
            <w:sz w:val="24"/>
            <w:lang w:val="en-GB"/>
          </w:rPr>
          <w:t>https://doi.org/10.1371/journal.pone.0249150</w:t>
        </w:r>
      </w:hyperlink>
      <w:r w:rsidRPr="003F4207">
        <w:rPr>
          <w:rStyle w:val="Hyperlink"/>
          <w:sz w:val="24"/>
          <w:lang w:val="en-GB"/>
        </w:rPr>
        <w:t>.</w:t>
      </w:r>
    </w:p>
  </w:footnote>
  <w:footnote w:id="6">
    <w:p w14:paraId="6546CABF" w14:textId="1F5219B6" w:rsidR="00EB7A91" w:rsidRPr="00235C4F" w:rsidRDefault="00EB7A91" w:rsidP="00235C4F">
      <w:pPr>
        <w:pStyle w:val="FootnoteText"/>
        <w:ind w:left="567" w:hanging="567"/>
        <w:rPr>
          <w:sz w:val="24"/>
          <w:lang w:val="es-ES_tradnl"/>
        </w:rPr>
      </w:pPr>
      <w:r w:rsidRPr="00235C4F">
        <w:rPr>
          <w:rStyle w:val="Funotenzeichen"/>
          <w:sz w:val="24"/>
          <w:lang w:val="es-ES_tradnl"/>
        </w:rPr>
        <w:footnoteRef/>
      </w:r>
      <w:r w:rsidR="00235C4F" w:rsidRPr="00235C4F">
        <w:rPr>
          <w:sz w:val="24"/>
          <w:lang w:val="es-ES_tradnl"/>
        </w:rPr>
        <w:t xml:space="preserve"> </w:t>
      </w:r>
      <w:r w:rsidR="00235C4F" w:rsidRPr="00235C4F">
        <w:rPr>
          <w:sz w:val="24"/>
          <w:lang w:val="es-ES_tradnl"/>
        </w:rPr>
        <w:tab/>
      </w:r>
      <w:r w:rsidRPr="00235C4F">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6" w:tgtFrame="Gives%20access%20to%20this%20document%20through%20its%20ELI%20URI.">
        <w:r w:rsidRPr="00235C4F">
          <w:rPr>
            <w:rStyle w:val="Hyperlink"/>
            <w:sz w:val="24"/>
            <w:lang w:val="es-ES_tradnl"/>
          </w:rPr>
          <w:t>http://data.europa.eu/eli/reg/2002/178/oj</w:t>
        </w:r>
      </w:hyperlink>
      <w:r w:rsidRPr="00235C4F">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A9BB" w14:textId="77777777" w:rsidR="00064002" w:rsidRPr="00235C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991F" w14:textId="77777777" w:rsidR="00064002" w:rsidRPr="00235C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8F6B" w14:textId="77777777" w:rsidR="00064002" w:rsidRPr="00235C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7570342">
    <w:abstractNumId w:val="9"/>
  </w:num>
  <w:num w:numId="2" w16cid:durableId="587077326">
    <w:abstractNumId w:val="9"/>
  </w:num>
  <w:num w:numId="3" w16cid:durableId="2004622914">
    <w:abstractNumId w:val="7"/>
  </w:num>
  <w:num w:numId="4" w16cid:durableId="1397626374">
    <w:abstractNumId w:val="7"/>
  </w:num>
  <w:num w:numId="5" w16cid:durableId="480342184">
    <w:abstractNumId w:val="6"/>
  </w:num>
  <w:num w:numId="6" w16cid:durableId="27876287">
    <w:abstractNumId w:val="6"/>
  </w:num>
  <w:num w:numId="7" w16cid:durableId="2089187343">
    <w:abstractNumId w:val="5"/>
  </w:num>
  <w:num w:numId="8" w16cid:durableId="2138137865">
    <w:abstractNumId w:val="5"/>
  </w:num>
  <w:num w:numId="9" w16cid:durableId="1210075633">
    <w:abstractNumId w:val="4"/>
  </w:num>
  <w:num w:numId="10" w16cid:durableId="1136796599">
    <w:abstractNumId w:val="4"/>
  </w:num>
  <w:num w:numId="11" w16cid:durableId="1520852680">
    <w:abstractNumId w:val="8"/>
  </w:num>
  <w:num w:numId="12" w16cid:durableId="1237011874">
    <w:abstractNumId w:val="8"/>
  </w:num>
  <w:num w:numId="13" w16cid:durableId="305277559">
    <w:abstractNumId w:val="3"/>
  </w:num>
  <w:num w:numId="14" w16cid:durableId="1759981321">
    <w:abstractNumId w:val="3"/>
  </w:num>
  <w:num w:numId="15" w16cid:durableId="1156805194">
    <w:abstractNumId w:val="2"/>
  </w:num>
  <w:num w:numId="16" w16cid:durableId="509221626">
    <w:abstractNumId w:val="2"/>
  </w:num>
  <w:num w:numId="17" w16cid:durableId="2104184940">
    <w:abstractNumId w:val="1"/>
  </w:num>
  <w:num w:numId="18" w16cid:durableId="1604260084">
    <w:abstractNumId w:val="1"/>
  </w:num>
  <w:num w:numId="19" w16cid:durableId="1824589887">
    <w:abstractNumId w:val="0"/>
  </w:num>
  <w:num w:numId="20" w16cid:durableId="1842810348">
    <w:abstractNumId w:val="0"/>
  </w:num>
  <w:num w:numId="21" w16cid:durableId="1505050050">
    <w:abstractNumId w:val="9"/>
  </w:num>
  <w:num w:numId="22" w16cid:durableId="1585262829">
    <w:abstractNumId w:val="7"/>
  </w:num>
  <w:num w:numId="23" w16cid:durableId="1568295822">
    <w:abstractNumId w:val="6"/>
  </w:num>
  <w:num w:numId="24" w16cid:durableId="1065298534">
    <w:abstractNumId w:val="5"/>
  </w:num>
  <w:num w:numId="25" w16cid:durableId="1362324056">
    <w:abstractNumId w:val="4"/>
  </w:num>
  <w:num w:numId="26" w16cid:durableId="1492790807">
    <w:abstractNumId w:val="8"/>
  </w:num>
  <w:num w:numId="27" w16cid:durableId="496769918">
    <w:abstractNumId w:val="3"/>
  </w:num>
  <w:num w:numId="28" w16cid:durableId="1218932705">
    <w:abstractNumId w:val="2"/>
  </w:num>
  <w:num w:numId="29" w16cid:durableId="362630339">
    <w:abstractNumId w:val="1"/>
  </w:num>
  <w:num w:numId="30" w16cid:durableId="202788160">
    <w:abstractNumId w:val="0"/>
  </w:num>
  <w:num w:numId="31" w16cid:durableId="2041084061">
    <w:abstractNumId w:val="9"/>
  </w:num>
  <w:num w:numId="32" w16cid:durableId="1692293395">
    <w:abstractNumId w:val="7"/>
  </w:num>
  <w:num w:numId="33" w16cid:durableId="873545863">
    <w:abstractNumId w:val="6"/>
  </w:num>
  <w:num w:numId="34" w16cid:durableId="916135775">
    <w:abstractNumId w:val="5"/>
  </w:num>
  <w:num w:numId="35" w16cid:durableId="1450321931">
    <w:abstractNumId w:val="4"/>
  </w:num>
  <w:num w:numId="36" w16cid:durableId="314337482">
    <w:abstractNumId w:val="8"/>
  </w:num>
  <w:num w:numId="37" w16cid:durableId="1555508868">
    <w:abstractNumId w:val="3"/>
  </w:num>
  <w:num w:numId="38" w16cid:durableId="58477831">
    <w:abstractNumId w:val="2"/>
  </w:num>
  <w:num w:numId="39" w16cid:durableId="184684221">
    <w:abstractNumId w:val="1"/>
  </w:num>
  <w:num w:numId="40" w16cid:durableId="2133787945">
    <w:abstractNumId w:val="0"/>
  </w:num>
  <w:num w:numId="41" w16cid:durableId="540434638">
    <w:abstractNumId w:val="10"/>
  </w:num>
  <w:num w:numId="42" w16cid:durableId="1765884438">
    <w:abstractNumId w:val="10"/>
  </w:num>
  <w:num w:numId="43" w16cid:durableId="439423244">
    <w:abstractNumId w:val="10"/>
  </w:num>
  <w:num w:numId="44" w16cid:durableId="1854685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ES"/>
    <w:docVar w:name="dvnumam" w:val="0"/>
    <w:docVar w:name="dvpe" w:val="785.406"/>
    <w:docVar w:name="dvtitre" w:val="Resolución legislativa del Parlamento Europeo, de 29 de abril de 2026, sobre el proyecto de Decisión de Ejecución de la Comisión por la que se autoriza la comercialización de productos que contengan o estén compuestos por la soja modificada genéticamente MON 94637 o hayan sido producidos a partir de ella, con arreglo al Reglamento (CE) n.º 1829/2003 del Parlamento Europeo y del Consejo(D113501/03 – 2026/2651(RSP))"/>
  </w:docVars>
  <w:rsids>
    <w:rsidRoot w:val="003B4A3F"/>
    <w:rsid w:val="00002272"/>
    <w:rsid w:val="000044C0"/>
    <w:rsid w:val="00064002"/>
    <w:rsid w:val="000677B9"/>
    <w:rsid w:val="000831BA"/>
    <w:rsid w:val="000A42CC"/>
    <w:rsid w:val="000E7DD9"/>
    <w:rsid w:val="0010095E"/>
    <w:rsid w:val="00125B37"/>
    <w:rsid w:val="00187494"/>
    <w:rsid w:val="001F32AE"/>
    <w:rsid w:val="00235C4F"/>
    <w:rsid w:val="002767FF"/>
    <w:rsid w:val="002B18FE"/>
    <w:rsid w:val="002B5493"/>
    <w:rsid w:val="00343214"/>
    <w:rsid w:val="00361C00"/>
    <w:rsid w:val="00395FA1"/>
    <w:rsid w:val="003B4A3F"/>
    <w:rsid w:val="003E01B2"/>
    <w:rsid w:val="003E15D4"/>
    <w:rsid w:val="003F4207"/>
    <w:rsid w:val="00411CCE"/>
    <w:rsid w:val="0041666E"/>
    <w:rsid w:val="00421060"/>
    <w:rsid w:val="00471C19"/>
    <w:rsid w:val="004867E3"/>
    <w:rsid w:val="00494A28"/>
    <w:rsid w:val="004A2194"/>
    <w:rsid w:val="004B300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64D"/>
    <w:rsid w:val="00A1687D"/>
    <w:rsid w:val="00A43E52"/>
    <w:rsid w:val="00A4678D"/>
    <w:rsid w:val="00A778C7"/>
    <w:rsid w:val="00AA7E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A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8A1DC"/>
  <w15:chartTrackingRefBased/>
  <w15:docId w15:val="{8328029F-A3B9-4F15-946B-AC335C4E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B7A91"/>
    <w:pPr>
      <w:spacing w:before="480" w:after="240"/>
    </w:pPr>
  </w:style>
  <w:style w:type="paragraph" w:customStyle="1" w:styleId="NormalHanging12a">
    <w:name w:val="NormalHanging12a"/>
    <w:basedOn w:val="Normal"/>
    <w:qFormat/>
    <w:rsid w:val="00EB7A91"/>
    <w:pPr>
      <w:spacing w:after="240"/>
      <w:ind w:left="567" w:hanging="567"/>
    </w:pPr>
  </w:style>
  <w:style w:type="paragraph" w:customStyle="1" w:styleId="NormalBold">
    <w:name w:val="NormalBold"/>
    <w:basedOn w:val="Normal"/>
    <w:qFormat/>
    <w:rsid w:val="00EB7A91"/>
    <w:rPr>
      <w:b/>
    </w:rPr>
  </w:style>
  <w:style w:type="character" w:styleId="Hyperlink">
    <w:name w:val="Hyperlink"/>
    <w:basedOn w:val="DefaultParagraphFont"/>
    <w:uiPriority w:val="99"/>
    <w:unhideWhenUsed/>
    <w:rsid w:val="00EB7A91"/>
    <w:rPr>
      <w:color w:val="0000FF"/>
      <w:u w:val="single"/>
    </w:rPr>
  </w:style>
  <w:style w:type="character" w:customStyle="1" w:styleId="Funotenzeichen">
    <w:name w:val="Fußnotenzeichen"/>
    <w:basedOn w:val="DefaultParagraphFont"/>
    <w:uiPriority w:val="99"/>
    <w:qFormat/>
    <w:rsid w:val="00EB7A91"/>
    <w:rPr>
      <w:rFonts w:cs="Times New Roman"/>
      <w:vertAlign w:val="superscript"/>
    </w:rPr>
  </w:style>
  <w:style w:type="paragraph" w:styleId="NormalWeb">
    <w:name w:val="Normal (Web)"/>
    <w:basedOn w:val="Normal"/>
    <w:uiPriority w:val="99"/>
    <w:unhideWhenUsed/>
    <w:qFormat/>
    <w:rsid w:val="00EB7A91"/>
    <w:pPr>
      <w:widowControl/>
      <w:suppressAutoHyphens/>
      <w:spacing w:beforeAutospacing="1" w:afterAutospacing="1"/>
    </w:pPr>
    <w:rPr>
      <w:szCs w:val="24"/>
    </w:rPr>
  </w:style>
  <w:style w:type="paragraph" w:styleId="Revision">
    <w:name w:val="Revision"/>
    <w:hidden/>
    <w:uiPriority w:val="99"/>
    <w:semiHidden/>
    <w:rsid w:val="000044C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1400</Words>
  <Characters>7672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GONZALEZ FREIRE Paula</cp:lastModifiedBy>
  <cp:revision>2</cp:revision>
  <cp:lastPrinted>2004-11-19T15:42:00Z</cp:lastPrinted>
  <dcterms:created xsi:type="dcterms:W3CDTF">2026-06-04T12:26:00Z</dcterms:created>
  <dcterms:modified xsi:type="dcterms:W3CDTF">2026-06-04T12:26:00Z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B10-0186/2026</vt:lpwstr>
  </property>
  <property fmtid="{D5CDD505-2E9C-101B-9397-08002B2CF9AE}" pid="4" name="&lt;Type&gt;">
    <vt:lpwstr>RR</vt:lpwstr>
  </property>
</Properties>
</file>