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5D67" w14:paraId="42C4B6D1" w14:textId="77777777" w:rsidTr="0010095E">
        <w:trPr>
          <w:trHeight w:hRule="exact" w:val="1418"/>
        </w:trPr>
        <w:tc>
          <w:tcPr>
            <w:tcW w:w="6804" w:type="dxa"/>
            <w:shd w:val="clear" w:color="auto" w:fill="auto"/>
            <w:vAlign w:val="center"/>
          </w:tcPr>
          <w:p w14:paraId="6EDF67AC" w14:textId="5890365A" w:rsidR="00751A4A" w:rsidRPr="005B5D67" w:rsidRDefault="00457A32" w:rsidP="0010095E">
            <w:pPr>
              <w:pStyle w:val="EPName"/>
            </w:pPr>
            <w:r w:rsidRPr="005B5D67">
              <w:t>Eiropas Parlaments</w:t>
            </w:r>
          </w:p>
          <w:p w14:paraId="0B991DFC" w14:textId="77777777" w:rsidR="00751A4A" w:rsidRPr="005B5D67" w:rsidRDefault="005F1B17" w:rsidP="005F1B17">
            <w:pPr>
              <w:pStyle w:val="EPTerm"/>
              <w:rPr>
                <w:rStyle w:val="HideTWBExt"/>
                <w:noProof w:val="0"/>
                <w:vanish w:val="0"/>
                <w:color w:val="auto"/>
              </w:rPr>
            </w:pPr>
            <w:r w:rsidRPr="005B5D67">
              <w:t>2024</w:t>
            </w:r>
            <w:r w:rsidR="00817416" w:rsidRPr="005B5D67">
              <w:t>-202</w:t>
            </w:r>
            <w:r w:rsidRPr="005B5D67">
              <w:t>9</w:t>
            </w:r>
          </w:p>
        </w:tc>
        <w:tc>
          <w:tcPr>
            <w:tcW w:w="2268" w:type="dxa"/>
            <w:shd w:val="clear" w:color="auto" w:fill="auto"/>
          </w:tcPr>
          <w:p w14:paraId="0C2000A0" w14:textId="77777777" w:rsidR="00751A4A" w:rsidRPr="005B5D67" w:rsidRDefault="00187494" w:rsidP="0010095E">
            <w:pPr>
              <w:pStyle w:val="EPLogo"/>
            </w:pPr>
            <w:r w:rsidRPr="005B5D67">
              <w:rPr>
                <w:noProof/>
                <w:lang w:eastAsia="ja-JP"/>
              </w:rPr>
              <w:drawing>
                <wp:inline distT="0" distB="0" distL="0" distR="0" wp14:anchorId="6B00C8BF" wp14:editId="18222D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A64EB7" w14:textId="77777777" w:rsidR="00D058B8" w:rsidRPr="005B5D67" w:rsidRDefault="00D058B8" w:rsidP="004C5D52">
      <w:pPr>
        <w:pStyle w:val="LineTop"/>
      </w:pPr>
    </w:p>
    <w:p w14:paraId="7A266D56" w14:textId="77777777" w:rsidR="00680577" w:rsidRPr="005B5D67" w:rsidRDefault="00457A32" w:rsidP="00680577">
      <w:pPr>
        <w:pStyle w:val="EPBodyTA1"/>
      </w:pPr>
      <w:r w:rsidRPr="005B5D67">
        <w:t>PIEŅEMTIE TEKSTI</w:t>
      </w:r>
    </w:p>
    <w:p w14:paraId="2F3D788D" w14:textId="77777777" w:rsidR="00D058B8" w:rsidRPr="005B5D67" w:rsidRDefault="00D058B8" w:rsidP="00D058B8">
      <w:pPr>
        <w:pStyle w:val="LineBottom"/>
      </w:pPr>
    </w:p>
    <w:p w14:paraId="644679E2" w14:textId="3C946E5B" w:rsidR="00457A32" w:rsidRPr="005B5D67" w:rsidRDefault="00457A32" w:rsidP="00457A32">
      <w:pPr>
        <w:pStyle w:val="ATHeading1"/>
      </w:pPr>
      <w:bookmarkStart w:id="0" w:name="TANumber"/>
      <w:r w:rsidRPr="005B5D67">
        <w:t>P10_TA(2026)0</w:t>
      </w:r>
      <w:r w:rsidR="005B5D67" w:rsidRPr="005B5D67">
        <w:t>150</w:t>
      </w:r>
      <w:bookmarkEnd w:id="0"/>
    </w:p>
    <w:p w14:paraId="7EBEC9EF" w14:textId="1F8E7846" w:rsidR="00457A32" w:rsidRPr="005B5D67" w:rsidRDefault="00E73307" w:rsidP="00E73307">
      <w:pPr>
        <w:pStyle w:val="ATHeading2"/>
      </w:pPr>
      <w:bookmarkStart w:id="1" w:name="title"/>
      <w:r w:rsidRPr="005B5D67">
        <w:rPr>
          <w:bCs/>
        </w:rPr>
        <w:t>Ģen</w:t>
      </w:r>
      <w:r w:rsidRPr="005B5D67">
        <w:rPr>
          <w:rFonts w:hint="eastAsia"/>
          <w:bCs/>
        </w:rPr>
        <w:t>ē</w:t>
      </w:r>
      <w:r w:rsidRPr="005B5D67">
        <w:rPr>
          <w:bCs/>
        </w:rPr>
        <w:t>tiski modific</w:t>
      </w:r>
      <w:r w:rsidRPr="005B5D67">
        <w:rPr>
          <w:rFonts w:hint="eastAsia"/>
          <w:bCs/>
        </w:rPr>
        <w:t>ē</w:t>
      </w:r>
      <w:r w:rsidRPr="005B5D67">
        <w:rPr>
          <w:bCs/>
        </w:rPr>
        <w:t>tas sojas pupas MON 94637</w:t>
      </w:r>
      <w:bookmarkEnd w:id="1"/>
    </w:p>
    <w:p w14:paraId="7855D92C" w14:textId="77777777" w:rsidR="00457A32" w:rsidRPr="005B5D67" w:rsidRDefault="00457A32" w:rsidP="00457A32">
      <w:pPr>
        <w:rPr>
          <w:i/>
          <w:vanish/>
        </w:rPr>
      </w:pPr>
      <w:r w:rsidRPr="005B5D67">
        <w:rPr>
          <w:i/>
        </w:rPr>
        <w:fldChar w:fldCharType="begin"/>
      </w:r>
      <w:r w:rsidRPr="005B5D67">
        <w:rPr>
          <w:i/>
        </w:rPr>
        <w:instrText xml:space="preserve"> TC"(</w:instrText>
      </w:r>
      <w:bookmarkStart w:id="2" w:name="DocNumber"/>
      <w:r w:rsidRPr="005B5D67">
        <w:rPr>
          <w:i/>
        </w:rPr>
        <w:instrText>B10-0186/2026</w:instrText>
      </w:r>
      <w:bookmarkEnd w:id="2"/>
      <w:r w:rsidRPr="005B5D67">
        <w:rPr>
          <w:i/>
        </w:rPr>
        <w:instrText xml:space="preserve">)"\l3 \n&gt; \* MERGEFORMAT </w:instrText>
      </w:r>
      <w:r w:rsidRPr="005B5D67">
        <w:rPr>
          <w:i/>
        </w:rPr>
        <w:fldChar w:fldCharType="end"/>
      </w:r>
    </w:p>
    <w:p w14:paraId="107956DC" w14:textId="77777777" w:rsidR="00457A32" w:rsidRPr="005B5D67" w:rsidRDefault="00457A32" w:rsidP="00457A32">
      <w:pPr>
        <w:rPr>
          <w:vanish/>
        </w:rPr>
      </w:pPr>
      <w:bookmarkStart w:id="3" w:name="PE"/>
      <w:r w:rsidRPr="005B5D67">
        <w:rPr>
          <w:vanish/>
        </w:rPr>
        <w:t>PE785.406</w:t>
      </w:r>
      <w:bookmarkEnd w:id="3"/>
    </w:p>
    <w:p w14:paraId="1A0602BA" w14:textId="7F2EAAEA" w:rsidR="00457A32" w:rsidRPr="005B5D67" w:rsidRDefault="00457A32" w:rsidP="00457A32">
      <w:pPr>
        <w:pStyle w:val="ATHeading3"/>
      </w:pPr>
      <w:bookmarkStart w:id="4" w:name="Sujet"/>
      <w:r w:rsidRPr="005B5D67">
        <w:t xml:space="preserve">Eiropas Parlamenta 2026. gada </w:t>
      </w:r>
      <w:r w:rsidR="00E73307" w:rsidRPr="005B5D67">
        <w:t>29. aprīļa</w:t>
      </w:r>
      <w:r w:rsidRPr="005B5D67">
        <w:t xml:space="preserve"> rezolūcija par projektu Komisijas īstenošanas lēmumam, ar ko atbilstoši Eiropas Parlamenta un Padomes Regulai (EK) Nr. 1829/2003 atļauj laist tirgū produktus, kas satur ģenētiski modificētas sojas pupas MON 94637, sastāv vai ir ražoti no tām</w:t>
      </w:r>
      <w:bookmarkEnd w:id="4"/>
      <w:r w:rsidRPr="005B5D67">
        <w:t xml:space="preserve"> </w:t>
      </w:r>
      <w:bookmarkStart w:id="5" w:name="References"/>
      <w:r w:rsidRPr="005B5D67">
        <w:t>(D113501/03 – 2026/2651(RSP))</w:t>
      </w:r>
      <w:bookmarkEnd w:id="5"/>
    </w:p>
    <w:p w14:paraId="1C0ECE32" w14:textId="77777777" w:rsidR="007D60CD" w:rsidRPr="005B5D67" w:rsidRDefault="007D60CD" w:rsidP="007D60CD">
      <w:pPr>
        <w:pStyle w:val="EPComma"/>
      </w:pPr>
      <w:bookmarkStart w:id="6" w:name="TextBodyBegin"/>
      <w:bookmarkEnd w:id="6"/>
      <w:r w:rsidRPr="005B5D67">
        <w:rPr>
          <w:i/>
        </w:rPr>
        <w:t>Eiropas Parlaments</w:t>
      </w:r>
      <w:r w:rsidRPr="005B5D67">
        <w:t>,</w:t>
      </w:r>
    </w:p>
    <w:p w14:paraId="7F0913ED" w14:textId="77777777" w:rsidR="007D60CD" w:rsidRPr="005B5D67" w:rsidRDefault="007D60CD" w:rsidP="007D60CD">
      <w:pPr>
        <w:pStyle w:val="NormalHanging12a"/>
      </w:pPr>
      <w:r w:rsidRPr="005B5D67">
        <w:t>–</w:t>
      </w:r>
      <w:r w:rsidRPr="005B5D67">
        <w:tab/>
        <w:t>ņemot vērā projektu Komisijas īstenošanas lēmumam, ar ko atbilstoši Eiropas Parlamenta un Padomes Regulai (EK) Nr. 1829/2003 atļauj laist tirgū produktus, kas satur ģenētiski modificētas sojas pupas MON 94637, no tām sastāv vai ir no tām ražoti (D113501/03),</w:t>
      </w:r>
    </w:p>
    <w:p w14:paraId="1A4E5B0B" w14:textId="77777777" w:rsidR="007D60CD" w:rsidRPr="005B5D67" w:rsidRDefault="007D60CD" w:rsidP="007D60CD">
      <w:pPr>
        <w:pStyle w:val="NormalHanging12a"/>
      </w:pPr>
      <w:r w:rsidRPr="005B5D67">
        <w:t>–</w:t>
      </w:r>
      <w:r w:rsidRPr="005B5D67">
        <w:tab/>
        <w:t>ņemot vērā Eiropas Parlamenta un Padomes 2003. gada 22. septembra Regulu (EK) Nr. 1829/2003 par ģenētiski modificētu pārtiku un barību</w:t>
      </w:r>
      <w:r w:rsidRPr="005B5D67">
        <w:rPr>
          <w:rStyle w:val="FootnoteReference"/>
        </w:rPr>
        <w:footnoteReference w:id="1"/>
      </w:r>
      <w:r w:rsidRPr="005B5D67">
        <w:t xml:space="preserve"> un jo īpaši tās 7. panta 3. punktu un 19. panta 3. punktu,</w:t>
      </w:r>
    </w:p>
    <w:p w14:paraId="4B0776DC" w14:textId="77777777" w:rsidR="007D60CD" w:rsidRPr="005B5D67" w:rsidRDefault="007D60CD" w:rsidP="007D60CD">
      <w:pPr>
        <w:pStyle w:val="NormalHanging12a"/>
      </w:pPr>
      <w:r w:rsidRPr="005B5D67">
        <w:t>–</w:t>
      </w:r>
      <w:r w:rsidRPr="005B5D67">
        <w:tab/>
        <w:t xml:space="preserve">ņemot vērā Regulas (EK) Nr. 1829/2003 35. pantā minētās Augu, dzīvnieku, pārtikas aprites un dzīvnieku barības pastāvīgās komitejas 2026. gada 27. februāra balsojumu, kura rezultātā atzinums netika sniegts, </w:t>
      </w:r>
      <w:bookmarkStart w:id="7" w:name="_Hlk219206484"/>
      <w:r w:rsidRPr="005B5D67">
        <w:t>un pārsūdzības komitejas 2026. gada 31. marta balsojumu, kurā atzinums atkal netika sniegts,</w:t>
      </w:r>
      <w:bookmarkEnd w:id="7"/>
    </w:p>
    <w:p w14:paraId="7867A2CC" w14:textId="77777777" w:rsidR="007D60CD" w:rsidRPr="005B5D67" w:rsidRDefault="007D60CD" w:rsidP="007D60CD">
      <w:pPr>
        <w:pStyle w:val="NormalHanging12a"/>
        <w:widowControl/>
      </w:pPr>
      <w:r w:rsidRPr="005B5D67">
        <w:t>–</w:t>
      </w:r>
      <w:r w:rsidRPr="005B5D67">
        <w:tab/>
        <w:t>ņemot vērā 11. pantu Eiropas Parlamenta un Padomes 2011. gada 16. februāra Regulā (ES) Nr. 182/2011, ar ko nosaka normas un vispārīgus principus par dalībvalstu kontroles mehānismiem, kuri attiecas uz Komisijas īstenošanas pilnvaru izmantošanu</w:t>
      </w:r>
      <w:bookmarkStart w:id="8" w:name="_Hlk210662860"/>
      <w:r w:rsidRPr="005B5D67">
        <w:rPr>
          <w:rStyle w:val="FootnoteReference"/>
          <w:szCs w:val="24"/>
        </w:rPr>
        <w:footnoteReference w:id="2"/>
      </w:r>
      <w:bookmarkEnd w:id="8"/>
      <w:r w:rsidRPr="005B5D67">
        <w:t>,</w:t>
      </w:r>
    </w:p>
    <w:p w14:paraId="3ADD53E3" w14:textId="77777777" w:rsidR="007D60CD" w:rsidRPr="005B5D67" w:rsidRDefault="007D60CD" w:rsidP="007D60CD">
      <w:pPr>
        <w:pStyle w:val="NormalHanging12a"/>
      </w:pPr>
      <w:r w:rsidRPr="005B5D67">
        <w:t>–</w:t>
      </w:r>
      <w:r w:rsidRPr="005B5D67">
        <w:tab/>
        <w:t>ņemot vērā Eiropas Pārtikas nekaitīguma iestādes (</w:t>
      </w:r>
      <w:r w:rsidRPr="005B5D67">
        <w:rPr>
          <w:i/>
          <w:iCs/>
        </w:rPr>
        <w:t>EFSA</w:t>
      </w:r>
      <w:r w:rsidRPr="005B5D67">
        <w:t>) 2025. gada 1. jūlijā pieņemto atzinumu, kas publicēts 2025. gada 23. oktobrī</w:t>
      </w:r>
      <w:r w:rsidRPr="005B5D67">
        <w:rPr>
          <w:rStyle w:val="FootnoteReference"/>
        </w:rPr>
        <w:footnoteReference w:id="3"/>
      </w:r>
      <w:r w:rsidRPr="005B5D67">
        <w:t>,</w:t>
      </w:r>
    </w:p>
    <w:p w14:paraId="57E7F4F8" w14:textId="77777777" w:rsidR="007D60CD" w:rsidRPr="005B5D67" w:rsidRDefault="007D60CD" w:rsidP="007D60CD">
      <w:pPr>
        <w:pStyle w:val="NormalHanging12a"/>
      </w:pPr>
      <w:r w:rsidRPr="005B5D67">
        <w:t>–</w:t>
      </w:r>
      <w:r w:rsidRPr="005B5D67">
        <w:tab/>
        <w:t xml:space="preserve">ņemot vērā Parlamenta iepriekšējās rezolūcijas, kurās iebilsts pret atļauju izmantot </w:t>
      </w:r>
      <w:r w:rsidRPr="005B5D67">
        <w:lastRenderedPageBreak/>
        <w:t>ģenētiski modificētus organismus (“ĢMO”)</w:t>
      </w:r>
      <w:r w:rsidRPr="005B5D67">
        <w:rPr>
          <w:rStyle w:val="FootnoteReference"/>
        </w:rPr>
        <w:footnoteReference w:id="4"/>
      </w:r>
      <w:r w:rsidRPr="005B5D67">
        <w:t>,</w:t>
      </w:r>
    </w:p>
    <w:p w14:paraId="78ADAF33" w14:textId="77777777" w:rsidR="007D60CD" w:rsidRPr="005B5D67" w:rsidRDefault="007D60CD" w:rsidP="007D60CD">
      <w:pPr>
        <w:pStyle w:val="NormalHanging12a"/>
      </w:pPr>
      <w:r w:rsidRPr="005B5D67">
        <w:lastRenderedPageBreak/>
        <w:t>–</w:t>
      </w:r>
      <w:r w:rsidRPr="005B5D67">
        <w:tab/>
        <w:t>ņemot vērā Reglamenta 115. panta 2. un 3. punktu,</w:t>
      </w:r>
    </w:p>
    <w:p w14:paraId="3A2720F4" w14:textId="77777777" w:rsidR="007D60CD" w:rsidRPr="005B5D67" w:rsidRDefault="007D60CD" w:rsidP="007D60CD">
      <w:pPr>
        <w:pStyle w:val="NormalHanging12a"/>
      </w:pPr>
      <w:r w:rsidRPr="005B5D67">
        <w:t>–</w:t>
      </w:r>
      <w:r w:rsidRPr="005B5D67">
        <w:tab/>
        <w:t>ņemot vērā Vides, klimata un pārtikas nekaitīguma komitejas rezolūcijas priekšlikumu,</w:t>
      </w:r>
    </w:p>
    <w:p w14:paraId="0A27FA00" w14:textId="77777777" w:rsidR="007D60CD" w:rsidRPr="005B5D67" w:rsidRDefault="007D60CD" w:rsidP="007D60CD">
      <w:pPr>
        <w:pStyle w:val="NormalHanging12a"/>
      </w:pPr>
      <w:r w:rsidRPr="005B5D67">
        <w:t>A.</w:t>
      </w:r>
      <w:r w:rsidRPr="005B5D67">
        <w:tab/>
        <w:t xml:space="preserve">tā kā ģenētiski modificētās sojas pupas MON 94637 (“ĢM sojas pupas”) tika izstrādātas, lai nodrošinātu aizsardzību pret noteiktiem zvīņspārņu kārtas kaitīgajiem organismiem, </w:t>
      </w:r>
      <w:proofErr w:type="spellStart"/>
      <w:r w:rsidRPr="005B5D67">
        <w:t>ekspresējot</w:t>
      </w:r>
      <w:proofErr w:type="spellEnd"/>
      <w:r w:rsidRPr="005B5D67">
        <w:t xml:space="preserve"> divus jaunizstrādātus </w:t>
      </w:r>
      <w:proofErr w:type="spellStart"/>
      <w:r w:rsidRPr="005B5D67">
        <w:t>himēriskos</w:t>
      </w:r>
      <w:proofErr w:type="spellEnd"/>
      <w:r w:rsidRPr="005B5D67">
        <w:t xml:space="preserve"> </w:t>
      </w:r>
      <w:proofErr w:type="spellStart"/>
      <w:r w:rsidRPr="005B5D67">
        <w:t>Bt</w:t>
      </w:r>
      <w:proofErr w:type="spellEnd"/>
      <w:r w:rsidRPr="005B5D67">
        <w:t xml:space="preserve"> proteīnus – Cry1A.2 un Cry1B.2;</w:t>
      </w:r>
    </w:p>
    <w:p w14:paraId="3AAE7ECF" w14:textId="77777777" w:rsidR="007D60CD" w:rsidRPr="005B5D67" w:rsidRDefault="007D60CD" w:rsidP="007D60CD">
      <w:pPr>
        <w:pStyle w:val="NormalHanging12a"/>
      </w:pPr>
      <w:r w:rsidRPr="005B5D67">
        <w:t>B.</w:t>
      </w:r>
      <w:r w:rsidRPr="005B5D67">
        <w:tab/>
        <w:t xml:space="preserve">tā kā 2025. gada 1. jūlijā </w:t>
      </w:r>
      <w:r w:rsidRPr="005B5D67">
        <w:rPr>
          <w:i/>
          <w:iCs/>
        </w:rPr>
        <w:t>EFSA</w:t>
      </w:r>
      <w:r w:rsidRPr="005B5D67">
        <w:t xml:space="preserve"> pieņēma labvēlīgu atzinumu, kurā secināja, ka attiecībā uz iespējamo ietekmi uz cilvēka un dzīvnieku veselību un vidi ĢM sojas pupas ir tikpat drošas kā to konvencionālais analogs un testētas ģenētiski nemodificētas sojas pupu šķirnes; tā kā </w:t>
      </w:r>
      <w:r w:rsidRPr="005B5D67">
        <w:rPr>
          <w:i/>
          <w:iCs/>
        </w:rPr>
        <w:t>EFSA</w:t>
      </w:r>
      <w:r w:rsidRPr="005B5D67">
        <w:t xml:space="preserve"> secināja, ka no ĢM sojas pupām iegūtas pārtikas un barības patēriņš nerada bažas par uzturvērtību un ka nejauša nokļūšana vidē neradītu bažas par nekaitīgumu;</w:t>
      </w:r>
    </w:p>
    <w:p w14:paraId="53439680" w14:textId="77777777" w:rsidR="007D60CD" w:rsidRPr="005B5D67" w:rsidRDefault="007D60CD" w:rsidP="007D60CD">
      <w:pPr>
        <w:pStyle w:val="NormalHanging12a"/>
      </w:pPr>
      <w:r w:rsidRPr="005B5D67">
        <w:t>C.</w:t>
      </w:r>
      <w:r w:rsidRPr="005B5D67">
        <w:tab/>
        <w:t xml:space="preserve">tā kā </w:t>
      </w:r>
      <w:r w:rsidRPr="005B5D67">
        <w:rPr>
          <w:i/>
          <w:iCs/>
        </w:rPr>
        <w:t>EFSA</w:t>
      </w:r>
      <w:r w:rsidRPr="005B5D67">
        <w:t xml:space="preserve"> turklāt secināja, ka molekulārajā raksturojumā un bioinformātikas analīzēs netika konstatētas problēmas, kuru dēļ būtu nepieciešams papildu pārtikas vai barības nekaitīguma novērtējums, un ka pārtikas vai barības uzraudzība pēc laišanas tirgū netiek uzskatīta par nepieciešamu;</w:t>
      </w:r>
    </w:p>
    <w:p w14:paraId="62F19B64" w14:textId="77777777" w:rsidR="007D60CD" w:rsidRPr="005B5D67" w:rsidRDefault="007D60CD" w:rsidP="007D60CD">
      <w:pPr>
        <w:pStyle w:val="NormalHanging12a"/>
      </w:pPr>
      <w:r w:rsidRPr="005B5D67">
        <w:t>D.</w:t>
      </w:r>
      <w:r w:rsidRPr="005B5D67">
        <w:tab/>
        <w:t xml:space="preserve">tā kā, neraugoties uz </w:t>
      </w:r>
      <w:r w:rsidRPr="005B5D67">
        <w:rPr>
          <w:i/>
          <w:iCs/>
        </w:rPr>
        <w:t>EFSA</w:t>
      </w:r>
      <w:r w:rsidRPr="005B5D67">
        <w:t xml:space="preserve"> labvēlīgo novērtējumu, zinātniskajā literatūrā ir norādīts, ka jaunizstrādātajiem </w:t>
      </w:r>
      <w:proofErr w:type="spellStart"/>
      <w:r w:rsidRPr="005B5D67">
        <w:t>himēriskajiem</w:t>
      </w:r>
      <w:proofErr w:type="spellEnd"/>
      <w:r w:rsidRPr="005B5D67">
        <w:t xml:space="preserve"> </w:t>
      </w:r>
      <w:proofErr w:type="spellStart"/>
      <w:r w:rsidRPr="005B5D67">
        <w:t>Bt</w:t>
      </w:r>
      <w:proofErr w:type="spellEnd"/>
      <w:r w:rsidRPr="005B5D67">
        <w:t xml:space="preserve"> toksīniem Cry1A.2 un Cry1B.2 salīdzinājumā ar vecāku toksīniem ir ievērojami pastiprināta insekticīdu iedarbība, kas rada īpašas bažas par nekaitīgumu, kuras nav pietiekami risinātas</w:t>
      </w:r>
      <w:r w:rsidRPr="005B5D67">
        <w:rPr>
          <w:rStyle w:val="FootnoteReference"/>
        </w:rPr>
        <w:footnoteReference w:id="5"/>
      </w:r>
      <w:r w:rsidRPr="005B5D67">
        <w:t>;</w:t>
      </w:r>
    </w:p>
    <w:p w14:paraId="69E344EF" w14:textId="77777777" w:rsidR="007D60CD" w:rsidRPr="005B5D67" w:rsidRDefault="007D60CD" w:rsidP="007D60CD">
      <w:pPr>
        <w:pStyle w:val="NormalHanging12a"/>
        <w:rPr>
          <w:color w:val="000000" w:themeColor="text1"/>
          <w:szCs w:val="24"/>
        </w:rPr>
      </w:pPr>
      <w:r w:rsidRPr="005B5D67">
        <w:rPr>
          <w:color w:val="000000" w:themeColor="text1"/>
        </w:rPr>
        <w:t>E.</w:t>
      </w:r>
      <w:r w:rsidRPr="005B5D67">
        <w:rPr>
          <w:color w:val="000000" w:themeColor="text1"/>
        </w:rPr>
        <w:tab/>
        <w:t>tā kā pieteikuma iesniedzēja iesniegtais sistemātiskais literatūras pārskats ir kritizēts par metodikas nepilnībām un par to, ka nav pietiekami aptverts viss pieejamās zinātniskās literatūras klāsts;</w:t>
      </w:r>
    </w:p>
    <w:p w14:paraId="4ED87D75" w14:textId="77777777" w:rsidR="007D60CD" w:rsidRPr="005B5D67" w:rsidRDefault="007D60CD" w:rsidP="007D60CD">
      <w:pPr>
        <w:spacing w:after="240"/>
        <w:ind w:left="567" w:hanging="567"/>
        <w:rPr>
          <w:szCs w:val="24"/>
        </w:rPr>
      </w:pPr>
      <w:r w:rsidRPr="005B5D67">
        <w:t>F.</w:t>
      </w:r>
      <w:r w:rsidRPr="005B5D67">
        <w:tab/>
        <w:t xml:space="preserve">tā kā ĢM sojas pupu molekulārā raksturojuma izpēte joprojām nav pabeigta, jo netīšām </w:t>
      </w:r>
      <w:proofErr w:type="spellStart"/>
      <w:r w:rsidRPr="005B5D67">
        <w:lastRenderedPageBreak/>
        <w:t>genomiskām</w:t>
      </w:r>
      <w:proofErr w:type="spellEnd"/>
      <w:r w:rsidRPr="005B5D67">
        <w:t xml:space="preserve"> izmaiņām un </w:t>
      </w:r>
      <w:proofErr w:type="spellStart"/>
      <w:r w:rsidRPr="005B5D67">
        <w:t>jaunizveidotajiem</w:t>
      </w:r>
      <w:proofErr w:type="spellEnd"/>
      <w:r w:rsidRPr="005B5D67">
        <w:t xml:space="preserve"> atvērtajiem nolasīšanas rāmjiem nav veikta padziļināta izpēte, izmantojot modernākās sekvencēšanas un “</w:t>
      </w:r>
      <w:proofErr w:type="spellStart"/>
      <w:r w:rsidRPr="005B5D67">
        <w:t>omikas</w:t>
      </w:r>
      <w:proofErr w:type="spellEnd"/>
      <w:r w:rsidRPr="005B5D67">
        <w:t>” metodes;</w:t>
      </w:r>
    </w:p>
    <w:p w14:paraId="6251DC46" w14:textId="77777777" w:rsidR="007D60CD" w:rsidRPr="005B5D67" w:rsidRDefault="007D60CD" w:rsidP="007D60CD">
      <w:pPr>
        <w:pStyle w:val="NormalHanging12a"/>
      </w:pPr>
      <w:r w:rsidRPr="005B5D67">
        <w:t>G.</w:t>
      </w:r>
      <w:r w:rsidRPr="005B5D67">
        <w:tab/>
        <w:t xml:space="preserve">tā kā gēnu ekspresija tika novērtēta tikai ierobežotos lauka apstākļos, proti, vienu gadu un vienā valstī, nepietiekami ņemot vērā </w:t>
      </w:r>
      <w:proofErr w:type="spellStart"/>
      <w:r w:rsidRPr="005B5D67">
        <w:t>vidiskos</w:t>
      </w:r>
      <w:proofErr w:type="spellEnd"/>
      <w:r w:rsidRPr="005B5D67">
        <w:t xml:space="preserve"> </w:t>
      </w:r>
      <w:proofErr w:type="spellStart"/>
      <w:r w:rsidRPr="005B5D67">
        <w:t>stresorus</w:t>
      </w:r>
      <w:proofErr w:type="spellEnd"/>
      <w:r w:rsidRPr="005B5D67">
        <w:t xml:space="preserve"> vai atšķirīgu ģenētisko fonu, neraugoties uz zināmo </w:t>
      </w:r>
      <w:proofErr w:type="spellStart"/>
      <w:r w:rsidRPr="005B5D67">
        <w:t>transgēnu</w:t>
      </w:r>
      <w:proofErr w:type="spellEnd"/>
      <w:r w:rsidRPr="005B5D67">
        <w:t xml:space="preserve"> ekspresijas mainīgumu;</w:t>
      </w:r>
    </w:p>
    <w:p w14:paraId="797C6369" w14:textId="77777777" w:rsidR="007D60CD" w:rsidRPr="005B5D67" w:rsidRDefault="007D60CD" w:rsidP="007D60CD">
      <w:pPr>
        <w:pStyle w:val="NormalWeb"/>
        <w:widowControl w:val="0"/>
        <w:spacing w:beforeAutospacing="0" w:after="240" w:afterAutospacing="0"/>
        <w:ind w:left="567" w:hanging="567"/>
      </w:pPr>
      <w:r w:rsidRPr="005B5D67">
        <w:t>H.</w:t>
      </w:r>
      <w:r w:rsidRPr="005B5D67">
        <w:tab/>
        <w:t>tā kā lauka izmēģinājumi, kas pamato pieteikumu, bija ierobežoti ģeogrāfiskā un vides ziņā un neatspoguļo to vides apstākļu daudzveidību, kādos sojas pupas var tikt audzētas vai pārstrādātas;</w:t>
      </w:r>
    </w:p>
    <w:p w14:paraId="33FEA842" w14:textId="77777777" w:rsidR="007D60CD" w:rsidRPr="005B5D67" w:rsidRDefault="007D60CD" w:rsidP="007D60CD">
      <w:pPr>
        <w:spacing w:after="240"/>
        <w:ind w:left="567" w:hanging="567"/>
      </w:pPr>
      <w:r w:rsidRPr="005B5D67">
        <w:t>I.</w:t>
      </w:r>
      <w:r w:rsidRPr="005B5D67">
        <w:tab/>
        <w:t xml:space="preserve">tā kā lielākajā daļā toksikoloģisko pētījumu tika izmantoti mikrobiāli ražoti </w:t>
      </w:r>
      <w:proofErr w:type="spellStart"/>
      <w:r w:rsidRPr="005B5D67">
        <w:t>Bt</w:t>
      </w:r>
      <w:proofErr w:type="spellEnd"/>
      <w:r w:rsidRPr="005B5D67">
        <w:t xml:space="preserve"> proteīni, nevis augu ražoti proteīni, neraugoties uz pierādījumiem, ka augu sastāvdaļas, piemēram, </w:t>
      </w:r>
      <w:proofErr w:type="spellStart"/>
      <w:r w:rsidRPr="005B5D67">
        <w:t>proteāzes</w:t>
      </w:r>
      <w:proofErr w:type="spellEnd"/>
      <w:r w:rsidRPr="005B5D67">
        <w:t xml:space="preserve"> inhibitori, var palielināt </w:t>
      </w:r>
      <w:proofErr w:type="spellStart"/>
      <w:r w:rsidRPr="005B5D67">
        <w:t>Bt</w:t>
      </w:r>
      <w:proofErr w:type="spellEnd"/>
      <w:r w:rsidRPr="005B5D67">
        <w:t xml:space="preserve"> </w:t>
      </w:r>
      <w:proofErr w:type="spellStart"/>
      <w:r w:rsidRPr="005B5D67">
        <w:t>toksicitāti</w:t>
      </w:r>
      <w:proofErr w:type="spellEnd"/>
      <w:r w:rsidRPr="005B5D67">
        <w:t>;</w:t>
      </w:r>
    </w:p>
    <w:p w14:paraId="4B89C238" w14:textId="77777777" w:rsidR="007D60CD" w:rsidRPr="005B5D67" w:rsidRDefault="007D60CD" w:rsidP="007D60CD">
      <w:pPr>
        <w:pStyle w:val="NormalHanging12a"/>
      </w:pPr>
      <w:r w:rsidRPr="005B5D67">
        <w:t xml:space="preserve">J. </w:t>
      </w:r>
      <w:r w:rsidRPr="005B5D67">
        <w:tab/>
        <w:t>tā kā, neraugoties uz vairākiem statistiski nozīmīgiem konstatējumiem, kas novēroti 28 dienu un 90 dienu toksikoloģiskajos pētījumos, netika veikti papildu turpmāki pētījumi;</w:t>
      </w:r>
    </w:p>
    <w:p w14:paraId="7EECBACD" w14:textId="77777777" w:rsidR="007D60CD" w:rsidRPr="005B5D67" w:rsidRDefault="007D60CD" w:rsidP="007D60CD">
      <w:pPr>
        <w:spacing w:after="240"/>
        <w:ind w:left="567" w:hanging="567"/>
      </w:pPr>
      <w:r w:rsidRPr="005B5D67">
        <w:t>K.</w:t>
      </w:r>
      <w:r w:rsidRPr="005B5D67">
        <w:tab/>
        <w:t xml:space="preserve">tā kā netika pienācīgi izpētīta iespējamā sinerģiskā vai kombinētā ietekme starp abiem </w:t>
      </w:r>
      <w:proofErr w:type="spellStart"/>
      <w:r w:rsidRPr="005B5D67">
        <w:t>Bt</w:t>
      </w:r>
      <w:proofErr w:type="spellEnd"/>
      <w:r w:rsidRPr="005B5D67">
        <w:t xml:space="preserve"> toksīniem, augu savienojumiem vai citiem </w:t>
      </w:r>
      <w:proofErr w:type="spellStart"/>
      <w:r w:rsidRPr="005B5D67">
        <w:t>stresoriem</w:t>
      </w:r>
      <w:proofErr w:type="spellEnd"/>
      <w:r w:rsidRPr="005B5D67">
        <w:t>;</w:t>
      </w:r>
    </w:p>
    <w:p w14:paraId="5AC75038" w14:textId="77777777" w:rsidR="007D60CD" w:rsidRPr="005B5D67" w:rsidRDefault="007D60CD" w:rsidP="007D60CD">
      <w:pPr>
        <w:spacing w:after="240"/>
        <w:ind w:left="567" w:hanging="567"/>
      </w:pPr>
      <w:r w:rsidRPr="005B5D67">
        <w:t>L.</w:t>
      </w:r>
      <w:r w:rsidRPr="005B5D67">
        <w:tab/>
        <w:t xml:space="preserve">tā kā </w:t>
      </w:r>
      <w:proofErr w:type="spellStart"/>
      <w:r w:rsidRPr="005B5D67">
        <w:t>vidiskā</w:t>
      </w:r>
      <w:proofErr w:type="spellEnd"/>
      <w:r w:rsidRPr="005B5D67">
        <w:t xml:space="preserve"> riska novērtējumā nav pietiekami aplūkota ne iespējamā iedarbība noplūdes, kūtsmēslu vai notekūdeņu dēļ, ne iespējamā ietekme uz organismiem, kas nav </w:t>
      </w:r>
      <w:proofErr w:type="spellStart"/>
      <w:r w:rsidRPr="005B5D67">
        <w:t>mērķorganismi</w:t>
      </w:r>
      <w:proofErr w:type="spellEnd"/>
      <w:r w:rsidRPr="005B5D67">
        <w:t>;</w:t>
      </w:r>
    </w:p>
    <w:p w14:paraId="2B5D5707" w14:textId="77777777" w:rsidR="007D60CD" w:rsidRPr="005B5D67" w:rsidRDefault="007D60CD" w:rsidP="007D60CD">
      <w:pPr>
        <w:pStyle w:val="NormalWeb"/>
        <w:widowControl w:val="0"/>
        <w:spacing w:beforeAutospacing="0" w:after="240" w:afterAutospacing="0"/>
        <w:ind w:left="567" w:hanging="567"/>
      </w:pPr>
      <w:r w:rsidRPr="005B5D67">
        <w:t>M.</w:t>
      </w:r>
      <w:r w:rsidRPr="005B5D67">
        <w:tab/>
        <w:t>tā kā Parlaments ir vairākkārt uzsvēris – lai novērstu pastāvīgo demokrātijas deficītu, Komisijai nevajadzētu atļaut ĢMO gadījumos, kad dalībvalstis Augu, dzīvnieku, pārtikas aprites un dzīvnieku barības pastāvīgajā komitejā vai pārsūdzības komitejā nav panākušas kvalificētu balsu vairākumu;</w:t>
      </w:r>
    </w:p>
    <w:p w14:paraId="36E0637D" w14:textId="77777777" w:rsidR="007D60CD" w:rsidRPr="005B5D67" w:rsidRDefault="007D60CD" w:rsidP="007D60CD">
      <w:pPr>
        <w:pStyle w:val="NormalWeb"/>
        <w:widowControl w:val="0"/>
        <w:shd w:val="clear" w:color="auto" w:fill="FFFFFF"/>
        <w:spacing w:beforeAutospacing="0" w:after="240" w:afterAutospacing="0"/>
        <w:ind w:left="567" w:hanging="567"/>
        <w:rPr>
          <w:color w:val="000000" w:themeColor="text1"/>
        </w:rPr>
      </w:pPr>
      <w:r w:rsidRPr="005B5D67">
        <w:rPr>
          <w:color w:val="000000" w:themeColor="text1"/>
        </w:rPr>
        <w:t>N.</w:t>
      </w:r>
      <w:r w:rsidRPr="005B5D67">
        <w:rPr>
          <w:color w:val="000000" w:themeColor="text1"/>
        </w:rPr>
        <w:tab/>
        <w:t>tā kā, neraugoties uz pašas atzītajām nepilnībām demokrātiskā lēmumu pieņemšanas procesā, dalībvalstu atbalsta trūkumu un Parlamenta iebildumiem, Komisija turpina piešķirt atļaujas ĢMO;</w:t>
      </w:r>
    </w:p>
    <w:p w14:paraId="595571E0" w14:textId="77777777" w:rsidR="007D60CD" w:rsidRPr="005B5D67" w:rsidRDefault="007D60CD" w:rsidP="007D60CD">
      <w:pPr>
        <w:spacing w:after="240"/>
        <w:ind w:left="567" w:hanging="567"/>
      </w:pPr>
      <w:r w:rsidRPr="005B5D67">
        <w:t>O.</w:t>
      </w:r>
      <w:r w:rsidRPr="005B5D67">
        <w:tab/>
        <w:t>tā kā pieeja “Viena veselība” paredz, ka, novērtējot ĢMO ilgtermiņa ilgtspēju un drošumu, ir jāņem vērā cilvēku, dzīvnieku, augu un vides veselības savstarpējā atkarība,</w:t>
      </w:r>
    </w:p>
    <w:p w14:paraId="3DFE7272" w14:textId="77777777" w:rsidR="007D60CD" w:rsidRPr="005B5D67" w:rsidRDefault="007D60CD" w:rsidP="007D60CD">
      <w:pPr>
        <w:spacing w:after="240"/>
        <w:ind w:left="567" w:hanging="567"/>
      </w:pPr>
      <w:r w:rsidRPr="005B5D67">
        <w:t>1.</w:t>
      </w:r>
      <w:r w:rsidRPr="005B5D67">
        <w:tab/>
        <w:t>uzskata, ka Komisijas īstenošanas lēmuma projekts pārsniedz Regulā (EK) Nr. 1829/2003 paredzētās īstenošanas pilnvaras;</w:t>
      </w:r>
    </w:p>
    <w:p w14:paraId="6579519C" w14:textId="77777777" w:rsidR="007D60CD" w:rsidRPr="005B5D67" w:rsidRDefault="007D60CD" w:rsidP="007D60CD">
      <w:pPr>
        <w:spacing w:after="240"/>
        <w:ind w:left="567" w:hanging="567"/>
      </w:pPr>
      <w:r w:rsidRPr="005B5D67">
        <w:t>2.</w:t>
      </w:r>
      <w:r w:rsidRPr="005B5D67">
        <w:tab/>
        <w:t>uzskata, ka Komisijas īstenošanas lēmuma projekts neatbilst Savienības tiesību normām, jo nav savienojams ar Regulas (EK) Nr. 1829/2003 mērķi, proti, saskaņā ar Eiropas Parlamenta un Padomes Regulā (EK) Nr. 178/2002</w:t>
      </w:r>
      <w:r w:rsidRPr="005B5D67">
        <w:rPr>
          <w:rStyle w:val="FootnoteReference"/>
        </w:rPr>
        <w:footnoteReference w:id="6"/>
      </w:r>
      <w:r w:rsidRPr="005B5D67">
        <w:t xml:space="preserve"> izklāstītajiem vispārējiem principiem nodrošināt pamatu tam, ka saistībā ar ĢM pārtiku un barību augstā līmenī ir garantēta cilvēka dzīvības un veselības, dzīvnieku veselības un labturības, vides un </w:t>
      </w:r>
      <w:r w:rsidRPr="005B5D67">
        <w:lastRenderedPageBreak/>
        <w:t>patērētāju interešu aizsardzība, vienlaikus nodrošinot efektīvu iekšējā tirgus darbību;</w:t>
      </w:r>
    </w:p>
    <w:p w14:paraId="7A3CB179" w14:textId="77777777" w:rsidR="007D60CD" w:rsidRPr="005B5D67" w:rsidRDefault="007D60CD" w:rsidP="007D60CD">
      <w:pPr>
        <w:spacing w:after="240"/>
        <w:ind w:left="567" w:hanging="567"/>
      </w:pPr>
      <w:bookmarkStart w:id="10" w:name="_Hlk213234159"/>
      <w:r w:rsidRPr="005B5D67">
        <w:t xml:space="preserve">3. </w:t>
      </w:r>
      <w:r w:rsidRPr="005B5D67">
        <w:tab/>
        <w:t xml:space="preserve">uzskata, ka riska novērtējums joprojām ir nepilnīgs, it īpaši attiecībā uz molekulāro raksturojumu, toksikoloģisko novērtējumu un </w:t>
      </w:r>
      <w:proofErr w:type="spellStart"/>
      <w:r w:rsidRPr="005B5D67">
        <w:t>vidiskā</w:t>
      </w:r>
      <w:proofErr w:type="spellEnd"/>
      <w:r w:rsidRPr="005B5D67">
        <w:t xml:space="preserve"> riska novērtējumu;</w:t>
      </w:r>
      <w:bookmarkEnd w:id="10"/>
    </w:p>
    <w:p w14:paraId="05716D11" w14:textId="77777777" w:rsidR="007D60CD" w:rsidRPr="005B5D67" w:rsidRDefault="007D60CD" w:rsidP="007D60CD">
      <w:pPr>
        <w:spacing w:after="240"/>
        <w:ind w:left="567" w:hanging="567"/>
      </w:pPr>
      <w:r w:rsidRPr="005B5D67">
        <w:t>4.</w:t>
      </w:r>
      <w:r w:rsidRPr="005B5D67">
        <w:tab/>
        <w:t>prasa Komisijai atsaukt īstenošanas lēmuma projektu;</w:t>
      </w:r>
    </w:p>
    <w:p w14:paraId="6B71CD43" w14:textId="77777777" w:rsidR="007D60CD" w:rsidRPr="005B5D67" w:rsidRDefault="007D60CD" w:rsidP="007D60CD">
      <w:pPr>
        <w:spacing w:after="240"/>
        <w:ind w:left="567" w:hanging="567"/>
      </w:pPr>
      <w:r w:rsidRPr="005B5D67">
        <w:t>5.</w:t>
      </w:r>
      <w:r w:rsidRPr="005B5D67">
        <w:tab/>
        <w:t xml:space="preserve">aicina Komisiju neatļaut ĢM sojas pupas, jo nav pietiekamu pierādījumu par ilgtermiņa ietekmi uz </w:t>
      </w:r>
      <w:proofErr w:type="spellStart"/>
      <w:r w:rsidRPr="005B5D67">
        <w:t>biodaudzveidību</w:t>
      </w:r>
      <w:proofErr w:type="spellEnd"/>
      <w:r w:rsidRPr="005B5D67">
        <w:t>, pārtikas nekaitīgumu, lauksaimnieku iztikas līdzekļiem un dzīvnieku veselību saskaņā ar pieeju “Viena veselība”;</w:t>
      </w:r>
    </w:p>
    <w:p w14:paraId="07DC6400" w14:textId="77777777" w:rsidR="007D60CD" w:rsidRPr="005B5D67" w:rsidRDefault="007D60CD" w:rsidP="007D60CD">
      <w:pPr>
        <w:spacing w:after="240"/>
        <w:ind w:left="567" w:hanging="567"/>
      </w:pPr>
      <w:bookmarkStart w:id="11" w:name="_Hlk210900300"/>
      <w:r w:rsidRPr="005B5D67">
        <w:t>6.</w:t>
      </w:r>
      <w:r w:rsidRPr="005B5D67">
        <w:tab/>
        <w:t>aicina Komisiju nekavējoties iesniegt tiesību akta priekšlikumu, lai reformētu lēmumu pieņemšanas procedūru attiecībā uz ĢMO, reaģējot uz Parlamenta konsekventajiem iebildumiem un kvalificēta vairākuma atbalsta trūkumu dalībvalstu vidū</w:t>
      </w:r>
      <w:bookmarkEnd w:id="11"/>
      <w:r w:rsidRPr="005B5D67">
        <w:t>;</w:t>
      </w:r>
    </w:p>
    <w:p w14:paraId="2CF513C4" w14:textId="77777777" w:rsidR="007D60CD" w:rsidRPr="005B5D67" w:rsidRDefault="007D60CD" w:rsidP="007D60CD">
      <w:pPr>
        <w:spacing w:after="240"/>
        <w:ind w:left="567" w:hanging="567"/>
      </w:pPr>
      <w:r w:rsidRPr="005B5D67">
        <w:t>7.</w:t>
      </w:r>
      <w:r w:rsidRPr="005B5D67">
        <w:tab/>
        <w:t xml:space="preserve">šajā saistībā uzsver, ka atļauja izmantošanai pārtikā vai dzīvnieku barībā importēt ĢM augus, kas ir </w:t>
      </w:r>
      <w:proofErr w:type="spellStart"/>
      <w:r w:rsidRPr="005B5D67">
        <w:t>herbicīdizturīgi</w:t>
      </w:r>
      <w:proofErr w:type="spellEnd"/>
      <w:r w:rsidRPr="005B5D67">
        <w:t xml:space="preserve"> pret Savienībā aizliegtiem herbicīdiem, piemēram, </w:t>
      </w:r>
      <w:proofErr w:type="spellStart"/>
      <w:r w:rsidRPr="005B5D67">
        <w:t>glufozinātu</w:t>
      </w:r>
      <w:proofErr w:type="spellEnd"/>
      <w:r w:rsidRPr="005B5D67">
        <w:t xml:space="preserve">, neatbilst Savienības starptautiskajām saistībām, kuras cita starpā noteiktas ANO </w:t>
      </w:r>
      <w:proofErr w:type="spellStart"/>
      <w:r w:rsidRPr="005B5D67">
        <w:t>Biodaudzveidības</w:t>
      </w:r>
      <w:proofErr w:type="spellEnd"/>
      <w:r w:rsidRPr="005B5D67">
        <w:t xml:space="preserve"> konvencijā un ANO ilgtspējīgas attīstības mērķos, tostarp nesen pieņemtajā </w:t>
      </w:r>
      <w:proofErr w:type="spellStart"/>
      <w:r w:rsidRPr="005B5D67">
        <w:t>Kuņminas</w:t>
      </w:r>
      <w:proofErr w:type="spellEnd"/>
      <w:r w:rsidRPr="005B5D67">
        <w:t>-Monreālas satvarā, un ka tā rada nevienlīdzīgus konkurences apstākļus Savienības lauksaimniekiem;</w:t>
      </w:r>
    </w:p>
    <w:p w14:paraId="78765F33" w14:textId="47C101FC" w:rsidR="00E365E1" w:rsidRPr="005B5D67" w:rsidRDefault="007D60CD" w:rsidP="005B5D67">
      <w:pPr>
        <w:ind w:left="567" w:hanging="567"/>
      </w:pPr>
      <w:bookmarkStart w:id="12" w:name="_Hlk210900241"/>
      <w:bookmarkEnd w:id="12"/>
      <w:r w:rsidRPr="005B5D67">
        <w:t>8.</w:t>
      </w:r>
      <w:r w:rsidRPr="005B5D67">
        <w:tab/>
        <w:t>uzdod priekšsēdētājai šo rezolūciju nosūtīt Padomei un Komisijai, kā arī dalībvalstu valdībām un parlamentiem.</w:t>
      </w:r>
    </w:p>
    <w:sectPr w:rsidR="00E365E1" w:rsidRPr="005B5D67" w:rsidSect="003D1D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7A56E" w14:textId="77777777" w:rsidR="00457A32" w:rsidRPr="003D1D6E" w:rsidRDefault="00457A32">
      <w:r w:rsidRPr="003D1D6E">
        <w:separator/>
      </w:r>
    </w:p>
  </w:endnote>
  <w:endnote w:type="continuationSeparator" w:id="0">
    <w:p w14:paraId="49F19390" w14:textId="77777777" w:rsidR="00457A32" w:rsidRPr="003D1D6E" w:rsidRDefault="00457A32">
      <w:r w:rsidRPr="003D1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E0B86" w14:textId="77777777" w:rsidR="00064002" w:rsidRPr="003D1D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49FD" w14:textId="77777777" w:rsidR="00064002" w:rsidRPr="003D1D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D648" w14:textId="77777777" w:rsidR="00064002" w:rsidRPr="003D1D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FF9C5" w14:textId="77777777" w:rsidR="00457A32" w:rsidRPr="003D1D6E" w:rsidRDefault="00457A32">
      <w:r w:rsidRPr="003D1D6E">
        <w:separator/>
      </w:r>
    </w:p>
  </w:footnote>
  <w:footnote w:type="continuationSeparator" w:id="0">
    <w:p w14:paraId="6853E8DD" w14:textId="77777777" w:rsidR="00457A32" w:rsidRPr="003D1D6E" w:rsidRDefault="00457A32">
      <w:r w:rsidRPr="003D1D6E">
        <w:continuationSeparator/>
      </w:r>
    </w:p>
  </w:footnote>
  <w:footnote w:id="1">
    <w:p w14:paraId="23DE53BC" w14:textId="1853BA93" w:rsidR="007D60CD" w:rsidRPr="003D1D6E" w:rsidRDefault="007D60CD" w:rsidP="003D1D6E">
      <w:pPr>
        <w:pStyle w:val="FootnoteText"/>
        <w:ind w:left="567" w:hanging="567"/>
        <w:rPr>
          <w:sz w:val="24"/>
          <w:lang w:val="lv-LV"/>
        </w:rPr>
      </w:pPr>
      <w:r w:rsidRPr="003D1D6E">
        <w:rPr>
          <w:rStyle w:val="Funotenzeichen"/>
          <w:sz w:val="24"/>
          <w:lang w:val="lv-LV"/>
        </w:rPr>
        <w:footnoteRef/>
      </w:r>
      <w:r w:rsidR="003D1D6E" w:rsidRPr="003D1D6E">
        <w:rPr>
          <w:sz w:val="24"/>
          <w:lang w:val="lv-LV"/>
        </w:rPr>
        <w:t xml:space="preserve"> </w:t>
      </w:r>
      <w:r w:rsidR="003D1D6E" w:rsidRPr="003D1D6E">
        <w:rPr>
          <w:sz w:val="24"/>
          <w:lang w:val="lv-LV"/>
        </w:rPr>
        <w:tab/>
      </w:r>
      <w:r w:rsidRPr="003D1D6E">
        <w:rPr>
          <w:sz w:val="24"/>
          <w:lang w:val="lv-LV"/>
        </w:rPr>
        <w:t xml:space="preserve">OV L 268, 18.10.2003., 1. lpp., ELI: </w:t>
      </w:r>
      <w:hyperlink r:id="rId1" w:tooltip="Nodrošina piekļuvi šim dokumentam, izmantojot tā ELI URI." w:history="1">
        <w:r w:rsidRPr="003D1D6E">
          <w:rPr>
            <w:rStyle w:val="Hyperlink"/>
            <w:sz w:val="24"/>
            <w:lang w:val="lv-LV"/>
          </w:rPr>
          <w:t>http://data.europa.eu/eli/reg/2003/1829/oj/lav</w:t>
        </w:r>
      </w:hyperlink>
      <w:r w:rsidRPr="003D1D6E">
        <w:rPr>
          <w:sz w:val="24"/>
          <w:lang w:val="lv-LV"/>
        </w:rPr>
        <w:t>.</w:t>
      </w:r>
    </w:p>
  </w:footnote>
  <w:footnote w:id="2">
    <w:p w14:paraId="233F123D" w14:textId="76D2A5E6" w:rsidR="007D60CD" w:rsidRPr="003D1D6E" w:rsidRDefault="007D60CD" w:rsidP="003D1D6E">
      <w:pPr>
        <w:pStyle w:val="FootnoteText"/>
        <w:ind w:left="567" w:hanging="567"/>
        <w:rPr>
          <w:sz w:val="24"/>
          <w:lang w:val="lv-LV"/>
        </w:rPr>
      </w:pPr>
      <w:r w:rsidRPr="003D1D6E">
        <w:rPr>
          <w:rStyle w:val="Funotenzeichen"/>
          <w:sz w:val="24"/>
          <w:lang w:val="lv-LV"/>
        </w:rPr>
        <w:footnoteRef/>
      </w:r>
      <w:bookmarkStart w:id="9" w:name="_Hlk210663104_Kopie_1"/>
      <w:r w:rsidR="003D1D6E" w:rsidRPr="003D1D6E">
        <w:rPr>
          <w:sz w:val="24"/>
          <w:lang w:val="lv-LV"/>
        </w:rPr>
        <w:t xml:space="preserve"> </w:t>
      </w:r>
      <w:r w:rsidR="003D1D6E" w:rsidRPr="003D1D6E">
        <w:rPr>
          <w:sz w:val="24"/>
          <w:lang w:val="lv-LV"/>
        </w:rPr>
        <w:tab/>
      </w:r>
      <w:r w:rsidRPr="003D1D6E">
        <w:rPr>
          <w:sz w:val="24"/>
          <w:lang w:val="lv-LV"/>
        </w:rPr>
        <w:t>OV L 55, 28.2.2011., 13. </w:t>
      </w:r>
      <w:r w:rsidRPr="003D1D6E">
        <w:rPr>
          <w:sz w:val="24"/>
          <w:lang w:val="lv-LV"/>
        </w:rPr>
        <w:t xml:space="preserve">lpp., ELI: </w:t>
      </w:r>
      <w:hyperlink r:id="rId2">
        <w:r w:rsidRPr="003D1D6E">
          <w:rPr>
            <w:rStyle w:val="Hyperlink"/>
            <w:sz w:val="24"/>
            <w:lang w:val="lv-LV"/>
          </w:rPr>
          <w:t>http://data.europa.eu/eli/reg/2011/182/oj/lav</w:t>
        </w:r>
      </w:hyperlink>
      <w:r w:rsidRPr="003D1D6E">
        <w:rPr>
          <w:sz w:val="24"/>
          <w:lang w:val="lv-LV"/>
        </w:rPr>
        <w:t>.</w:t>
      </w:r>
      <w:bookmarkEnd w:id="9"/>
    </w:p>
  </w:footnote>
  <w:footnote w:id="3">
    <w:p w14:paraId="45AB77D1" w14:textId="37AE56CF" w:rsidR="007D60CD" w:rsidRPr="003D1D6E" w:rsidRDefault="007D60CD" w:rsidP="003D1D6E">
      <w:pPr>
        <w:pStyle w:val="FootnoteText"/>
        <w:ind w:left="567" w:hanging="567"/>
        <w:rPr>
          <w:sz w:val="24"/>
          <w:lang w:val="lv-LV"/>
        </w:rPr>
      </w:pPr>
      <w:r w:rsidRPr="003D1D6E">
        <w:rPr>
          <w:rStyle w:val="Funotenzeichen"/>
          <w:sz w:val="24"/>
          <w:lang w:val="lv-LV"/>
        </w:rPr>
        <w:footnoteRef/>
      </w:r>
      <w:r w:rsidR="003D1D6E" w:rsidRPr="003D1D6E">
        <w:rPr>
          <w:i/>
          <w:iCs/>
          <w:sz w:val="24"/>
          <w:lang w:val="lv-LV"/>
        </w:rPr>
        <w:t xml:space="preserve"> </w:t>
      </w:r>
      <w:r w:rsidR="003D1D6E" w:rsidRPr="003D1D6E">
        <w:rPr>
          <w:i/>
          <w:iCs/>
          <w:sz w:val="24"/>
          <w:lang w:val="lv-LV"/>
        </w:rPr>
        <w:tab/>
      </w:r>
      <w:r w:rsidRPr="003D1D6E">
        <w:rPr>
          <w:i/>
          <w:iCs/>
          <w:sz w:val="24"/>
          <w:lang w:val="lv-LV"/>
        </w:rPr>
        <w:t>EFSA</w:t>
      </w:r>
      <w:r w:rsidRPr="003D1D6E">
        <w:rPr>
          <w:sz w:val="24"/>
          <w:lang w:val="lv-LV"/>
        </w:rPr>
        <w:t xml:space="preserve"> Ekspertu grupas ģenētiski modificētu organismu jautājumos zinātniskais atzinums “</w:t>
      </w:r>
      <w:proofErr w:type="spellStart"/>
      <w:r w:rsidRPr="003D1D6E">
        <w:rPr>
          <w:i/>
          <w:iCs/>
          <w:sz w:val="24"/>
          <w:lang w:val="lv-LV"/>
        </w:rPr>
        <w:t>Assessment</w:t>
      </w:r>
      <w:proofErr w:type="spellEnd"/>
      <w:r w:rsidRPr="003D1D6E">
        <w:rPr>
          <w:i/>
          <w:iCs/>
          <w:sz w:val="24"/>
          <w:lang w:val="lv-LV"/>
        </w:rPr>
        <w:t xml:space="preserve"> </w:t>
      </w:r>
      <w:proofErr w:type="spellStart"/>
      <w:r w:rsidRPr="003D1D6E">
        <w:rPr>
          <w:i/>
          <w:iCs/>
          <w:sz w:val="24"/>
          <w:lang w:val="lv-LV"/>
        </w:rPr>
        <w:t>of</w:t>
      </w:r>
      <w:proofErr w:type="spellEnd"/>
      <w:r w:rsidRPr="003D1D6E">
        <w:rPr>
          <w:i/>
          <w:iCs/>
          <w:sz w:val="24"/>
          <w:lang w:val="lv-LV"/>
        </w:rPr>
        <w:t xml:space="preserve"> </w:t>
      </w:r>
      <w:proofErr w:type="spellStart"/>
      <w:r w:rsidRPr="003D1D6E">
        <w:rPr>
          <w:i/>
          <w:iCs/>
          <w:sz w:val="24"/>
          <w:lang w:val="lv-LV"/>
        </w:rPr>
        <w:t>genetically</w:t>
      </w:r>
      <w:proofErr w:type="spellEnd"/>
      <w:r w:rsidRPr="003D1D6E">
        <w:rPr>
          <w:i/>
          <w:iCs/>
          <w:sz w:val="24"/>
          <w:lang w:val="lv-LV"/>
        </w:rPr>
        <w:t xml:space="preserve"> </w:t>
      </w:r>
      <w:proofErr w:type="spellStart"/>
      <w:r w:rsidRPr="003D1D6E">
        <w:rPr>
          <w:i/>
          <w:iCs/>
          <w:sz w:val="24"/>
          <w:lang w:val="lv-LV"/>
        </w:rPr>
        <w:t>modified</w:t>
      </w:r>
      <w:proofErr w:type="spellEnd"/>
      <w:r w:rsidRPr="003D1D6E">
        <w:rPr>
          <w:i/>
          <w:iCs/>
          <w:sz w:val="24"/>
          <w:lang w:val="lv-LV"/>
        </w:rPr>
        <w:t xml:space="preserve"> </w:t>
      </w:r>
      <w:proofErr w:type="spellStart"/>
      <w:r w:rsidRPr="003D1D6E">
        <w:rPr>
          <w:i/>
          <w:iCs/>
          <w:sz w:val="24"/>
          <w:lang w:val="lv-LV"/>
        </w:rPr>
        <w:t>soybean</w:t>
      </w:r>
      <w:proofErr w:type="spellEnd"/>
      <w:r w:rsidRPr="003D1D6E">
        <w:rPr>
          <w:i/>
          <w:iCs/>
          <w:sz w:val="24"/>
          <w:lang w:val="lv-LV"/>
        </w:rPr>
        <w:t xml:space="preserve"> MON 94637</w:t>
      </w:r>
      <w:r w:rsidRPr="003D1D6E">
        <w:rPr>
          <w:sz w:val="24"/>
          <w:lang w:val="lv-LV"/>
        </w:rPr>
        <w:t xml:space="preserve"> (</w:t>
      </w:r>
      <w:proofErr w:type="spellStart"/>
      <w:r w:rsidRPr="003D1D6E">
        <w:rPr>
          <w:i/>
          <w:iCs/>
          <w:sz w:val="24"/>
          <w:lang w:val="lv-LV"/>
        </w:rPr>
        <w:t>application</w:t>
      </w:r>
      <w:proofErr w:type="spellEnd"/>
      <w:r w:rsidRPr="003D1D6E">
        <w:rPr>
          <w:i/>
          <w:iCs/>
          <w:sz w:val="24"/>
          <w:lang w:val="lv-LV"/>
        </w:rPr>
        <w:t xml:space="preserve"> GMFF-2023-21116</w:t>
      </w:r>
      <w:r w:rsidRPr="003D1D6E">
        <w:rPr>
          <w:sz w:val="24"/>
          <w:lang w:val="lv-LV"/>
        </w:rPr>
        <w:t xml:space="preserve">)”, </w:t>
      </w:r>
      <w:r w:rsidRPr="003D1D6E">
        <w:rPr>
          <w:i/>
          <w:iCs/>
          <w:sz w:val="24"/>
          <w:lang w:val="lv-LV"/>
        </w:rPr>
        <w:t xml:space="preserve">EFSA </w:t>
      </w:r>
      <w:proofErr w:type="spellStart"/>
      <w:r w:rsidRPr="003D1D6E">
        <w:rPr>
          <w:i/>
          <w:iCs/>
          <w:sz w:val="24"/>
          <w:lang w:val="lv-LV"/>
        </w:rPr>
        <w:t>Journal</w:t>
      </w:r>
      <w:proofErr w:type="spellEnd"/>
      <w:r w:rsidRPr="003D1D6E">
        <w:rPr>
          <w:sz w:val="24"/>
          <w:lang w:val="lv-LV"/>
        </w:rPr>
        <w:t xml:space="preserve"> 2025, 23(10):e9581, </w:t>
      </w:r>
      <w:hyperlink r:id="rId3">
        <w:r w:rsidRPr="003D1D6E">
          <w:rPr>
            <w:rStyle w:val="Hyperlink"/>
            <w:sz w:val="24"/>
            <w:lang w:val="lv-LV"/>
          </w:rPr>
          <w:t>https://doi.org/10.2903/j.efsa.2025.9581</w:t>
        </w:r>
      </w:hyperlink>
      <w:r w:rsidRPr="003D1D6E">
        <w:rPr>
          <w:sz w:val="24"/>
          <w:lang w:val="lv-LV"/>
        </w:rPr>
        <w:t>.</w:t>
      </w:r>
    </w:p>
  </w:footnote>
  <w:footnote w:id="4">
    <w:p w14:paraId="5E20559B" w14:textId="2F66713B" w:rsidR="007D60CD" w:rsidRPr="003D1D6E" w:rsidRDefault="007D60CD" w:rsidP="003D1D6E">
      <w:pPr>
        <w:pStyle w:val="FootnoteText"/>
        <w:ind w:left="567" w:hanging="567"/>
        <w:rPr>
          <w:color w:val="000000" w:themeColor="text1"/>
          <w:sz w:val="24"/>
          <w:vertAlign w:val="superscript"/>
          <w:lang w:val="lv-LV"/>
        </w:rPr>
      </w:pPr>
      <w:r w:rsidRPr="003D1D6E">
        <w:rPr>
          <w:rStyle w:val="Funotenzeichen"/>
          <w:sz w:val="24"/>
          <w:lang w:val="lv-LV"/>
        </w:rPr>
        <w:footnoteRef/>
      </w:r>
      <w:r w:rsidR="003D1D6E" w:rsidRPr="003D1D6E">
        <w:rPr>
          <w:sz w:val="24"/>
          <w:lang w:val="lv-LV"/>
        </w:rPr>
        <w:t xml:space="preserve"> </w:t>
      </w:r>
      <w:r w:rsidR="003D1D6E" w:rsidRPr="003D1D6E">
        <w:rPr>
          <w:sz w:val="24"/>
          <w:lang w:val="lv-LV"/>
        </w:rPr>
        <w:tab/>
      </w:r>
      <w:r w:rsidRPr="003D1D6E">
        <w:rPr>
          <w:sz w:val="24"/>
          <w:lang w:val="lv-LV"/>
        </w:rPr>
        <w:t xml:space="preserve">Parlaments astotajā </w:t>
      </w:r>
      <w:proofErr w:type="spellStart"/>
      <w:r w:rsidRPr="003D1D6E">
        <w:rPr>
          <w:sz w:val="24"/>
          <w:lang w:val="lv-LV"/>
        </w:rPr>
        <w:t>sasaukumā</w:t>
      </w:r>
      <w:proofErr w:type="spellEnd"/>
      <w:r w:rsidRPr="003D1D6E">
        <w:rPr>
          <w:sz w:val="24"/>
          <w:lang w:val="lv-LV"/>
        </w:rPr>
        <w:t xml:space="preserve"> pieņēma 36 rezolūcijas un devītajā </w:t>
      </w:r>
      <w:proofErr w:type="spellStart"/>
      <w:r w:rsidRPr="003D1D6E">
        <w:rPr>
          <w:sz w:val="24"/>
          <w:lang w:val="lv-LV"/>
        </w:rPr>
        <w:t>sasaukumā</w:t>
      </w:r>
      <w:proofErr w:type="spellEnd"/>
      <w:r w:rsidRPr="003D1D6E">
        <w:rPr>
          <w:sz w:val="24"/>
          <w:lang w:val="lv-LV"/>
        </w:rPr>
        <w:t> – 38 rezolūcijas, ar ko iebilda pret atļauju izmantot ĢMO.</w:t>
      </w:r>
      <w:r w:rsidRPr="003D1D6E">
        <w:rPr>
          <w:color w:val="000000" w:themeColor="text1"/>
          <w:sz w:val="24"/>
          <w:lang w:val="lv-LV"/>
        </w:rPr>
        <w:t xml:space="preserve"> Turklāt desmitajā </w:t>
      </w:r>
      <w:proofErr w:type="spellStart"/>
      <w:r w:rsidRPr="003D1D6E">
        <w:rPr>
          <w:color w:val="000000" w:themeColor="text1"/>
          <w:sz w:val="24"/>
          <w:lang w:val="lv-LV"/>
        </w:rPr>
        <w:t>sasaukumā</w:t>
      </w:r>
      <w:proofErr w:type="spellEnd"/>
      <w:r w:rsidRPr="003D1D6E">
        <w:rPr>
          <w:color w:val="000000" w:themeColor="text1"/>
          <w:sz w:val="24"/>
          <w:lang w:val="lv-LV"/>
        </w:rPr>
        <w:t xml:space="preserve"> Parlaments ir pieņēmis šādas rezolūcijas:</w:t>
      </w:r>
    </w:p>
    <w:p w14:paraId="1980FC7E" w14:textId="0812B044" w:rsidR="007D60CD" w:rsidRPr="003D1D6E" w:rsidRDefault="003D1D6E" w:rsidP="003D1D6E">
      <w:pPr>
        <w:pStyle w:val="FootnoteText"/>
        <w:ind w:left="567" w:hanging="567"/>
        <w:rPr>
          <w:color w:val="000000" w:themeColor="text1"/>
          <w:sz w:val="24"/>
          <w:vertAlign w:val="superscript"/>
          <w:lang w:val="lv-LV"/>
        </w:rPr>
      </w:pPr>
      <w:r w:rsidRPr="003D1D6E">
        <w:rPr>
          <w:color w:val="000000" w:themeColor="text1"/>
          <w:sz w:val="24"/>
          <w:lang w:val="lv-LV"/>
        </w:rPr>
        <w:t xml:space="preserve"> </w:t>
      </w:r>
      <w:r w:rsidRPr="003D1D6E">
        <w:rPr>
          <w:color w:val="000000" w:themeColor="text1"/>
          <w:sz w:val="24"/>
          <w:lang w:val="lv-LV"/>
        </w:rPr>
        <w:tab/>
      </w:r>
      <w:r w:rsidR="007D60CD" w:rsidRPr="003D1D6E">
        <w:rPr>
          <w:color w:val="000000" w:themeColor="text1"/>
          <w:sz w:val="24"/>
          <w:lang w:val="lv-LV"/>
        </w:rPr>
        <w:t>–</w:t>
      </w:r>
      <w:r w:rsidR="007D60CD" w:rsidRPr="003D1D6E">
        <w:rPr>
          <w:color w:val="000000" w:themeColor="text1"/>
          <w:sz w:val="24"/>
          <w:lang w:val="lv-LV"/>
        </w:rPr>
        <w:tab/>
        <w:t>Eiropas Parlamenta 2024. gada 26. novembra rezolūcija par Komisijas Īstenošanas lēmumu (ES) 2024/2628, ar kuru atbilstoši Eiropas Parlamenta un Padomes Regulai (EK) Nr. </w:t>
      </w:r>
      <w:r w:rsidR="007D60CD" w:rsidRPr="003D1D6E">
        <w:rPr>
          <w:color w:val="000000" w:themeColor="text1"/>
          <w:sz w:val="24"/>
          <w:lang w:val="lv-LV"/>
        </w:rPr>
        <w:t xml:space="preserve">1829/2003 atjauno atļauju laist tirgū produktus, kas satur ģenētiski modificētu kukurūzu MON 89034 × 1507 × NK603, sastāv vai ir ražoti no tās (OV C, C/2025/1797, 4.4.2025., ELI: </w:t>
      </w:r>
      <w:hyperlink r:id="rId4">
        <w:r w:rsidR="007D60CD" w:rsidRPr="003D1D6E">
          <w:rPr>
            <w:rStyle w:val="Hyperlink"/>
            <w:sz w:val="24"/>
            <w:lang w:val="lv-LV"/>
          </w:rPr>
          <w:t>http://data.europa.eu/eli/C/2025/1797/oj/lav</w:t>
        </w:r>
      </w:hyperlink>
      <w:r w:rsidR="007D60CD" w:rsidRPr="003D1D6E">
        <w:rPr>
          <w:color w:val="000000" w:themeColor="text1"/>
          <w:sz w:val="24"/>
          <w:lang w:val="lv-LV"/>
        </w:rPr>
        <w:t>);</w:t>
      </w:r>
    </w:p>
    <w:p w14:paraId="046337CE" w14:textId="5000CD49" w:rsidR="007D60CD" w:rsidRPr="003D1D6E" w:rsidRDefault="003D1D6E" w:rsidP="003D1D6E">
      <w:pPr>
        <w:pStyle w:val="FootnoteText"/>
        <w:ind w:left="567" w:hanging="567"/>
        <w:rPr>
          <w:color w:val="000000" w:themeColor="text1"/>
          <w:sz w:val="24"/>
          <w:vertAlign w:val="superscript"/>
          <w:lang w:val="lv-LV"/>
        </w:rPr>
      </w:pPr>
      <w:r w:rsidRPr="003D1D6E">
        <w:rPr>
          <w:color w:val="000000" w:themeColor="text1"/>
          <w:sz w:val="24"/>
          <w:lang w:val="lv-LV"/>
        </w:rPr>
        <w:t xml:space="preserve"> </w:t>
      </w:r>
      <w:r w:rsidRPr="003D1D6E">
        <w:rPr>
          <w:color w:val="000000" w:themeColor="text1"/>
          <w:sz w:val="24"/>
          <w:lang w:val="lv-LV"/>
        </w:rPr>
        <w:tab/>
      </w:r>
      <w:r w:rsidR="007D60CD" w:rsidRPr="003D1D6E">
        <w:rPr>
          <w:color w:val="000000" w:themeColor="text1"/>
          <w:sz w:val="24"/>
          <w:lang w:val="lv-LV"/>
        </w:rPr>
        <w:t>–</w:t>
      </w:r>
      <w:r w:rsidR="007D60CD" w:rsidRPr="003D1D6E">
        <w:rPr>
          <w:color w:val="000000" w:themeColor="text1"/>
          <w:sz w:val="24"/>
          <w:lang w:val="lv-LV"/>
        </w:rPr>
        <w:tab/>
        <w:t xml:space="preserve">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r w:rsidR="007D60CD" w:rsidRPr="003D1D6E">
          <w:rPr>
            <w:rStyle w:val="Hyperlink"/>
            <w:sz w:val="24"/>
            <w:lang w:val="lv-LV"/>
          </w:rPr>
          <w:t>http://data.europa.eu/eli/C/2025/1798/oj/lav</w:t>
        </w:r>
      </w:hyperlink>
      <w:r w:rsidR="007D60CD" w:rsidRPr="003D1D6E">
        <w:rPr>
          <w:color w:val="000000" w:themeColor="text1"/>
          <w:sz w:val="24"/>
          <w:lang w:val="lv-LV"/>
        </w:rPr>
        <w:t>);</w:t>
      </w:r>
    </w:p>
    <w:p w14:paraId="6D609EFE" w14:textId="49D04648" w:rsidR="007D60CD" w:rsidRPr="003D1D6E" w:rsidRDefault="003D1D6E" w:rsidP="003D1D6E">
      <w:pPr>
        <w:pStyle w:val="FootnoteText"/>
        <w:ind w:left="567" w:hanging="567"/>
        <w:rPr>
          <w:color w:val="000000" w:themeColor="text1"/>
          <w:sz w:val="24"/>
          <w:vertAlign w:val="superscript"/>
          <w:lang w:val="lv-LV"/>
        </w:rPr>
      </w:pPr>
      <w:r w:rsidRPr="003D1D6E">
        <w:rPr>
          <w:color w:val="000000" w:themeColor="text1"/>
          <w:sz w:val="24"/>
          <w:lang w:val="lv-LV"/>
        </w:rPr>
        <w:t xml:space="preserve"> </w:t>
      </w:r>
      <w:r w:rsidRPr="003D1D6E">
        <w:rPr>
          <w:color w:val="000000" w:themeColor="text1"/>
          <w:sz w:val="24"/>
          <w:lang w:val="lv-LV"/>
        </w:rPr>
        <w:tab/>
      </w:r>
      <w:r w:rsidR="007D60CD" w:rsidRPr="003D1D6E">
        <w:rPr>
          <w:color w:val="000000" w:themeColor="text1"/>
          <w:sz w:val="24"/>
          <w:lang w:val="lv-LV"/>
        </w:rPr>
        <w:t>–</w:t>
      </w:r>
      <w:r w:rsidR="007D60CD" w:rsidRPr="003D1D6E">
        <w:rPr>
          <w:color w:val="000000" w:themeColor="text1"/>
          <w:sz w:val="24"/>
          <w:lang w:val="lv-LV"/>
        </w:rPr>
        <w:tab/>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w:t>
      </w:r>
      <w:proofErr w:type="spellStart"/>
      <w:r w:rsidR="007D60CD" w:rsidRPr="003D1D6E">
        <w:rPr>
          <w:color w:val="000000" w:themeColor="text1"/>
          <w:sz w:val="24"/>
          <w:lang w:val="lv-LV"/>
        </w:rPr>
        <w:t>apakškombinācijas</w:t>
      </w:r>
      <w:proofErr w:type="spellEnd"/>
      <w:r w:rsidR="007D60CD" w:rsidRPr="003D1D6E">
        <w:rPr>
          <w:color w:val="000000" w:themeColor="text1"/>
          <w:sz w:val="24"/>
          <w:lang w:val="lv-LV"/>
        </w:rPr>
        <w:t xml:space="preserve">, sastāv vai ir ražoti no tām (OV C, C/2025/1799, 4.4.2025., ELI: </w:t>
      </w:r>
      <w:hyperlink r:id="rId6">
        <w:r w:rsidR="007D60CD" w:rsidRPr="003D1D6E">
          <w:rPr>
            <w:rStyle w:val="Hyperlink"/>
            <w:sz w:val="24"/>
            <w:lang w:val="lv-LV"/>
          </w:rPr>
          <w:t>http://data.europa.eu/eli/C/2025/1799/oj/lav</w:t>
        </w:r>
      </w:hyperlink>
      <w:r w:rsidR="007D60CD" w:rsidRPr="003D1D6E">
        <w:rPr>
          <w:color w:val="000000" w:themeColor="text1"/>
          <w:sz w:val="24"/>
          <w:lang w:val="lv-LV"/>
        </w:rPr>
        <w:t>);</w:t>
      </w:r>
    </w:p>
    <w:p w14:paraId="2EC06937" w14:textId="56250D0D" w:rsidR="007D60CD" w:rsidRPr="003D1D6E" w:rsidRDefault="003D1D6E" w:rsidP="003D1D6E">
      <w:pPr>
        <w:pStyle w:val="FootnoteText"/>
        <w:ind w:left="567" w:hanging="567"/>
        <w:rPr>
          <w:color w:val="000000" w:themeColor="text1"/>
          <w:sz w:val="24"/>
          <w:vertAlign w:val="superscript"/>
          <w:lang w:val="lv-LV"/>
        </w:rPr>
      </w:pPr>
      <w:r w:rsidRPr="003D1D6E">
        <w:rPr>
          <w:color w:val="000000" w:themeColor="text1"/>
          <w:sz w:val="24"/>
          <w:lang w:val="lv-LV"/>
        </w:rPr>
        <w:t xml:space="preserve"> </w:t>
      </w:r>
      <w:r w:rsidRPr="003D1D6E">
        <w:rPr>
          <w:color w:val="000000" w:themeColor="text1"/>
          <w:sz w:val="24"/>
          <w:lang w:val="lv-LV"/>
        </w:rPr>
        <w:tab/>
      </w:r>
      <w:r w:rsidR="007D60CD" w:rsidRPr="003D1D6E">
        <w:rPr>
          <w:color w:val="000000" w:themeColor="text1"/>
          <w:sz w:val="24"/>
          <w:lang w:val="lv-LV"/>
        </w:rPr>
        <w:t>–</w:t>
      </w:r>
      <w:r w:rsidR="007D60CD" w:rsidRPr="003D1D6E">
        <w:rPr>
          <w:color w:val="000000" w:themeColor="text1"/>
          <w:sz w:val="24"/>
          <w:lang w:val="lv-LV"/>
        </w:rPr>
        <w:tab/>
        <w:t xml:space="preserve">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r w:rsidR="007D60CD" w:rsidRPr="003D1D6E">
          <w:rPr>
            <w:rStyle w:val="Hyperlink"/>
            <w:sz w:val="24"/>
            <w:lang w:val="lv-LV"/>
          </w:rPr>
          <w:t>http://data.europa.eu/eli/C/2025/1800/oj/lav</w:t>
        </w:r>
      </w:hyperlink>
      <w:r w:rsidR="007D60CD" w:rsidRPr="003D1D6E">
        <w:rPr>
          <w:color w:val="000000" w:themeColor="text1"/>
          <w:sz w:val="24"/>
          <w:lang w:val="lv-LV"/>
        </w:rPr>
        <w:t>);</w:t>
      </w:r>
    </w:p>
    <w:p w14:paraId="26912F09" w14:textId="66727DD8" w:rsidR="007D60CD" w:rsidRPr="003D1D6E" w:rsidRDefault="003D1D6E" w:rsidP="003D1D6E">
      <w:pPr>
        <w:pStyle w:val="FootnoteText"/>
        <w:ind w:left="567" w:hanging="567"/>
        <w:rPr>
          <w:color w:val="000000" w:themeColor="text1"/>
          <w:sz w:val="24"/>
          <w:vertAlign w:val="superscript"/>
          <w:lang w:val="lv-LV"/>
        </w:rPr>
      </w:pPr>
      <w:r w:rsidRPr="003D1D6E">
        <w:rPr>
          <w:color w:val="000000" w:themeColor="text1"/>
          <w:sz w:val="24"/>
          <w:lang w:val="lv-LV"/>
        </w:rPr>
        <w:t xml:space="preserve"> </w:t>
      </w:r>
      <w:r w:rsidRPr="003D1D6E">
        <w:rPr>
          <w:color w:val="000000" w:themeColor="text1"/>
          <w:sz w:val="24"/>
          <w:lang w:val="lv-LV"/>
        </w:rPr>
        <w:tab/>
      </w:r>
      <w:r w:rsidR="007D60CD" w:rsidRPr="003D1D6E">
        <w:rPr>
          <w:color w:val="000000" w:themeColor="text1"/>
          <w:sz w:val="24"/>
          <w:lang w:val="lv-LV"/>
        </w:rPr>
        <w:t>–</w:t>
      </w:r>
      <w:r w:rsidR="007D60CD" w:rsidRPr="003D1D6E">
        <w:rPr>
          <w:color w:val="000000" w:themeColor="text1"/>
          <w:sz w:val="24"/>
          <w:lang w:val="lv-LV"/>
        </w:rPr>
        <w:tab/>
        <w:t xml:space="preserve">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r w:rsidR="007D60CD" w:rsidRPr="003D1D6E">
          <w:rPr>
            <w:rStyle w:val="Hyperlink"/>
            <w:sz w:val="24"/>
            <w:lang w:val="lv-LV"/>
          </w:rPr>
          <w:t>http://data.europa.eu/eli/C/2025/1801/oj/lav</w:t>
        </w:r>
      </w:hyperlink>
      <w:r w:rsidR="007D60CD" w:rsidRPr="003D1D6E">
        <w:rPr>
          <w:color w:val="000000" w:themeColor="text1"/>
          <w:sz w:val="24"/>
          <w:lang w:val="lv-LV"/>
        </w:rPr>
        <w:t>);</w:t>
      </w:r>
    </w:p>
    <w:p w14:paraId="2AC62DC2" w14:textId="5152A44E" w:rsidR="007D60CD" w:rsidRPr="003D1D6E" w:rsidRDefault="003D1D6E" w:rsidP="003D1D6E">
      <w:pPr>
        <w:pStyle w:val="FootnoteText"/>
        <w:ind w:left="567" w:hanging="567"/>
        <w:rPr>
          <w:color w:val="000000" w:themeColor="text1"/>
          <w:sz w:val="24"/>
          <w:vertAlign w:val="superscript"/>
          <w:lang w:val="lv-LV"/>
        </w:rPr>
      </w:pPr>
      <w:r w:rsidRPr="003D1D6E">
        <w:rPr>
          <w:color w:val="000000" w:themeColor="text1"/>
          <w:sz w:val="24"/>
          <w:lang w:val="lv-LV"/>
        </w:rPr>
        <w:t xml:space="preserve"> </w:t>
      </w:r>
      <w:r w:rsidRPr="003D1D6E">
        <w:rPr>
          <w:color w:val="000000" w:themeColor="text1"/>
          <w:sz w:val="24"/>
          <w:lang w:val="lv-LV"/>
        </w:rPr>
        <w:tab/>
      </w:r>
      <w:r w:rsidR="007D60CD" w:rsidRPr="003D1D6E">
        <w:rPr>
          <w:color w:val="000000" w:themeColor="text1"/>
          <w:sz w:val="24"/>
          <w:lang w:val="lv-LV"/>
        </w:rPr>
        <w:t>–</w:t>
      </w:r>
      <w:r w:rsidR="007D60CD" w:rsidRPr="003D1D6E">
        <w:rPr>
          <w:color w:val="000000" w:themeColor="text1"/>
          <w:sz w:val="24"/>
          <w:lang w:val="lv-LV"/>
        </w:rPr>
        <w:tab/>
        <w:t xml:space="preserve">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r w:rsidR="007D60CD" w:rsidRPr="003D1D6E">
          <w:rPr>
            <w:rStyle w:val="Hyperlink"/>
            <w:sz w:val="24"/>
            <w:lang w:val="lv-LV"/>
          </w:rPr>
          <w:t>http://data.europa.eu/eli/C/2025/1802/oj/lav</w:t>
        </w:r>
      </w:hyperlink>
      <w:r w:rsidR="007D60CD" w:rsidRPr="003D1D6E">
        <w:rPr>
          <w:color w:val="000000" w:themeColor="text1"/>
          <w:sz w:val="24"/>
          <w:lang w:val="lv-LV"/>
        </w:rPr>
        <w:t>);</w:t>
      </w:r>
    </w:p>
    <w:p w14:paraId="0FD63BE1" w14:textId="6A762032" w:rsidR="007D60CD" w:rsidRPr="003D1D6E" w:rsidRDefault="003D1D6E" w:rsidP="003D1D6E">
      <w:pPr>
        <w:pStyle w:val="FootnoteText"/>
        <w:ind w:left="567" w:hanging="567"/>
        <w:rPr>
          <w:color w:val="000000" w:themeColor="text1"/>
          <w:sz w:val="24"/>
          <w:vertAlign w:val="superscript"/>
          <w:lang w:val="lv-LV"/>
        </w:rPr>
      </w:pPr>
      <w:r w:rsidRPr="003D1D6E">
        <w:rPr>
          <w:color w:val="000000" w:themeColor="text1"/>
          <w:sz w:val="24"/>
          <w:lang w:val="lv-LV"/>
        </w:rPr>
        <w:t xml:space="preserve"> </w:t>
      </w:r>
      <w:r w:rsidRPr="003D1D6E">
        <w:rPr>
          <w:color w:val="000000" w:themeColor="text1"/>
          <w:sz w:val="24"/>
          <w:lang w:val="lv-LV"/>
        </w:rPr>
        <w:tab/>
      </w:r>
      <w:r w:rsidR="007D60CD" w:rsidRPr="003D1D6E">
        <w:rPr>
          <w:color w:val="000000" w:themeColor="text1"/>
          <w:sz w:val="24"/>
          <w:lang w:val="lv-LV"/>
        </w:rPr>
        <w:t>–</w:t>
      </w:r>
      <w:r w:rsidR="007D60CD" w:rsidRPr="003D1D6E">
        <w:rPr>
          <w:color w:val="000000" w:themeColor="text1"/>
          <w:sz w:val="24"/>
          <w:lang w:val="lv-LV"/>
        </w:rPr>
        <w:tab/>
        <w:t xml:space="preserve">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r w:rsidR="007D60CD" w:rsidRPr="003D1D6E">
          <w:rPr>
            <w:rStyle w:val="Hyperlink"/>
            <w:sz w:val="24"/>
            <w:lang w:val="lv-LV"/>
          </w:rPr>
          <w:t>http://data.europa.eu/eli/C/2025/1803/oj/lav</w:t>
        </w:r>
      </w:hyperlink>
      <w:r w:rsidR="007D60CD" w:rsidRPr="003D1D6E">
        <w:rPr>
          <w:color w:val="000000" w:themeColor="text1"/>
          <w:sz w:val="24"/>
          <w:lang w:val="lv-LV"/>
        </w:rPr>
        <w:t>);</w:t>
      </w:r>
    </w:p>
    <w:p w14:paraId="28C3D665" w14:textId="50BE1287" w:rsidR="007D60CD" w:rsidRPr="003D1D6E" w:rsidRDefault="003D1D6E" w:rsidP="003D1D6E">
      <w:pPr>
        <w:pStyle w:val="FootnoteText"/>
        <w:ind w:left="567" w:hanging="567"/>
        <w:rPr>
          <w:color w:val="000000" w:themeColor="text1"/>
          <w:sz w:val="24"/>
          <w:vertAlign w:val="superscript"/>
          <w:lang w:val="lv-LV"/>
        </w:rPr>
      </w:pPr>
      <w:r w:rsidRPr="003D1D6E">
        <w:rPr>
          <w:color w:val="000000" w:themeColor="text1"/>
          <w:sz w:val="24"/>
          <w:lang w:val="lv-LV"/>
        </w:rPr>
        <w:t xml:space="preserve"> </w:t>
      </w:r>
      <w:r w:rsidRPr="003D1D6E">
        <w:rPr>
          <w:color w:val="000000" w:themeColor="text1"/>
          <w:sz w:val="24"/>
          <w:lang w:val="lv-LV"/>
        </w:rPr>
        <w:tab/>
      </w:r>
      <w:r w:rsidR="007D60CD" w:rsidRPr="003D1D6E">
        <w:rPr>
          <w:color w:val="000000" w:themeColor="text1"/>
          <w:sz w:val="24"/>
          <w:lang w:val="lv-LV"/>
        </w:rPr>
        <w:t>–</w:t>
      </w:r>
      <w:r w:rsidR="007D60CD" w:rsidRPr="003D1D6E">
        <w:rPr>
          <w:color w:val="000000" w:themeColor="text1"/>
          <w:sz w:val="24"/>
          <w:lang w:val="lv-LV"/>
        </w:rPr>
        <w:tab/>
        <w:t xml:space="preserve">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r w:rsidR="007D60CD" w:rsidRPr="003D1D6E">
          <w:rPr>
            <w:rStyle w:val="Hyperlink"/>
            <w:sz w:val="24"/>
            <w:lang w:val="lv-LV"/>
          </w:rPr>
          <w:t>http://data.europa.eu/eli/C/2025/1804/oj/lav</w:t>
        </w:r>
      </w:hyperlink>
      <w:r w:rsidR="007D60CD" w:rsidRPr="003D1D6E">
        <w:rPr>
          <w:color w:val="000000" w:themeColor="text1"/>
          <w:sz w:val="24"/>
          <w:lang w:val="lv-LV"/>
        </w:rPr>
        <w:t>);</w:t>
      </w:r>
    </w:p>
    <w:p w14:paraId="7C04A83F" w14:textId="26D9A241" w:rsidR="007D60CD" w:rsidRPr="003D1D6E" w:rsidRDefault="003D1D6E" w:rsidP="003D1D6E">
      <w:pPr>
        <w:pStyle w:val="FootnoteText"/>
        <w:ind w:left="567" w:hanging="567"/>
        <w:rPr>
          <w:sz w:val="24"/>
          <w:vertAlign w:val="superscript"/>
          <w:lang w:val="lv-LV"/>
        </w:rPr>
      </w:pPr>
      <w:r w:rsidRPr="003D1D6E">
        <w:rPr>
          <w:color w:val="000000" w:themeColor="text1"/>
          <w:sz w:val="24"/>
          <w:lang w:val="lv-LV"/>
        </w:rPr>
        <w:t xml:space="preserve"> </w:t>
      </w:r>
      <w:r w:rsidRPr="003D1D6E">
        <w:rPr>
          <w:color w:val="000000" w:themeColor="text1"/>
          <w:sz w:val="24"/>
          <w:lang w:val="lv-LV"/>
        </w:rPr>
        <w:tab/>
      </w:r>
      <w:r w:rsidR="007D60CD" w:rsidRPr="003D1D6E">
        <w:rPr>
          <w:color w:val="000000" w:themeColor="text1"/>
          <w:sz w:val="24"/>
          <w:lang w:val="lv-LV"/>
        </w:rPr>
        <w:t>–</w:t>
      </w:r>
      <w:r w:rsidR="007D60CD" w:rsidRPr="003D1D6E">
        <w:rPr>
          <w:color w:val="000000" w:themeColor="text1"/>
          <w:sz w:val="24"/>
          <w:lang w:val="lv-LV"/>
        </w:rPr>
        <w:tab/>
      </w:r>
      <w:r w:rsidR="007D60CD" w:rsidRPr="003D1D6E">
        <w:rPr>
          <w:sz w:val="24"/>
          <w:lang w:val="lv-LV"/>
        </w:rPr>
        <w:t xml:space="preserve">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(OV C, C/2025/2246, 29.4.2025., ELI: </w:t>
      </w:r>
      <w:hyperlink r:id="rId12" w:tooltip="Nodrošina piekļuvi šim dokumentam, izmantojot tā ELI URI.">
        <w:r w:rsidR="007D60CD" w:rsidRPr="003D1D6E">
          <w:rPr>
            <w:rStyle w:val="Hyperlink"/>
            <w:sz w:val="24"/>
            <w:lang w:val="lv-LV"/>
          </w:rPr>
          <w:t>http://data.europa.eu/eli/C/2025/2246/oj/lav</w:t>
        </w:r>
      </w:hyperlink>
      <w:r w:rsidR="007D60CD" w:rsidRPr="003D1D6E">
        <w:rPr>
          <w:sz w:val="24"/>
          <w:lang w:val="lv-LV"/>
        </w:rPr>
        <w:t>);</w:t>
      </w:r>
    </w:p>
    <w:p w14:paraId="59B764A2" w14:textId="06326FF5"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 xml:space="preserve">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(OV C, C/2025/2247, 29.4.2025., ELI: </w:t>
      </w:r>
      <w:hyperlink r:id="rId13" w:tooltip="Nodrošina piekļuvi šim dokumentam, izmantojot tā ELI URI.">
        <w:r w:rsidR="007D60CD" w:rsidRPr="003D1D6E">
          <w:rPr>
            <w:rStyle w:val="Hyperlink"/>
            <w:sz w:val="24"/>
            <w:lang w:val="lv-LV"/>
          </w:rPr>
          <w:t>http://data.europa.eu/eli/C/2025/2247/oj/lav</w:t>
        </w:r>
      </w:hyperlink>
      <w:r w:rsidR="007D60CD" w:rsidRPr="003D1D6E">
        <w:rPr>
          <w:sz w:val="24"/>
          <w:lang w:val="lv-LV"/>
        </w:rPr>
        <w:t>);</w:t>
      </w:r>
    </w:p>
    <w:p w14:paraId="6B9C7C7B" w14:textId="57FDC366"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(OV C, C/2026/586, 24.2.2026., ELI: </w:t>
      </w:r>
      <w:hyperlink r:id="rId14" w:tooltip="Nodrošina piekļuvi šim dokumentam, izmantojot tā ELI URI." w:history="1">
        <w:r w:rsidR="007D60CD" w:rsidRPr="003D1D6E">
          <w:rPr>
            <w:rStyle w:val="Hyperlink"/>
            <w:sz w:val="24"/>
            <w:lang w:val="lv-LV"/>
          </w:rPr>
          <w:t>http://data.europa.eu/eli/C/2026/586/oj/lav</w:t>
        </w:r>
      </w:hyperlink>
      <w:r w:rsidR="007D60CD" w:rsidRPr="003D1D6E">
        <w:rPr>
          <w:sz w:val="24"/>
          <w:lang w:val="lv-LV"/>
        </w:rPr>
        <w:t>);</w:t>
      </w:r>
    </w:p>
    <w:p w14:paraId="6D606E85" w14:textId="3D3DFF24"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2025. gada 8. oktobra rezolūcija par Komisijas 2025. gada 22. septembra īstenošanas Lēmumu (ES) 2025/1898, ar ko atbilstoši Eiropas Parlamenta un Padomes Regulai (EK) Nr. 1829/2003 atļauj laist tirgū produktus, kas satur ģenētiski modificētu kukurūzu DP51291, sastāv vai ir ražoti no tās (Pieņemtie teksti, P10_TA(2025)0222);</w:t>
      </w:r>
    </w:p>
    <w:p w14:paraId="277CDDA1" w14:textId="0E71CED0"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2025. gada 25. novembra rezolūcija par projektu Komisijas īstenošanas lēmumam, ar ko atbilstoši Eiropas Parlamenta un Padomes Regulai (EK) Nr. 1829/2003 atļauj laist tirgū produktus, kas satur ģenētiski modificētu kukurūzu DAS1131, sastāv vai ir ražoti no tās (Pieņemtie teksti, P10_TA(2025)0288);</w:t>
      </w:r>
    </w:p>
    <w:p w14:paraId="7C4F1FF5" w14:textId="3F17C705"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kokvilnu MON 88913 (MON-88913-8), sastāv vai ir ražoti no tās (Pieņemtie teksti, P10_TA(2025)0289);</w:t>
      </w:r>
    </w:p>
    <w:p w14:paraId="0289FC3C" w14:textId="0E3AF345"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eļļas rapsi MON 88302, sastāv vai ir ražoti no tā (Pieņemtie teksti, P10_TA(2025)0290);</w:t>
      </w:r>
    </w:p>
    <w:p w14:paraId="029E3196" w14:textId="0693597D"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2025. gada 25. novembra rezolūcija par Komisijas īstenošanas lēmumu, ar kuru atbilstoši Eiropas Parlamenta un Padomes Regulai (EK) Nr. 1829/2003 atjauno atļauju laist tirgū produktus, kas satur ģenētiski modificētas sojas pupas MON 87708, sastāv vai ir ražoti no tām (Pieņemtie teksti, P10_TA(2025)0291);</w:t>
      </w:r>
    </w:p>
    <w:p w14:paraId="09E10C48" w14:textId="5DDCC575"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kukurūzu MON 87427, sastāv vai ir ražoti no tās (Pieņemtie teksti, P10_TA(2025)0292);</w:t>
      </w:r>
    </w:p>
    <w:p w14:paraId="19A0E6E4" w14:textId="79900A6B"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2025. gada 16. decembra rezolūcija par projektu Komisijas īstenošanas lēmumam, ar kuru atbilstoši Eiropas Parlamenta un Padomes Regulai (EK) Nr. 1829/2003 atjauno atļauju laist tirgū produktus, kas satur ģenētiski modificētu kukurūzu NK603, no tās sastāv vai ir no tās ražoti (Pieņemtie teksti, P10_TA(2025)0327);</w:t>
      </w:r>
    </w:p>
    <w:p w14:paraId="4CC688A5" w14:textId="25ECA0CF"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2025. gada 16. decembra rezolūcija par projektu Komisijas īstenošanas lēmumam, ar kuru atbilstoši Eiropas Parlamenta un Padomes Regulai (EK) Nr. 1829/2003 atļauj laist tirgū no ģenētiski modificētām cukurbietēm KWS20-1 ražotus pārtikas produktus, pārtikas sastāvdaļas un dzīvnieku barību (Pieņemtie teksti, P10_TA(2025)0328);</w:t>
      </w:r>
    </w:p>
    <w:p w14:paraId="77750516" w14:textId="01E1FB72"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2026. gada 11. februāra rezolūcija par projektu Komisijas īstenošanas lēmumam, ar ko atbilstoši Eiropas Parlamenta un Padomes Regulai (EK) Nr. 1829/2003 atļauj laist tirgū produktus, kas satur ģenētiski modificētas sojas pupas DBN-09004-6, sastāv vai ir ražoti no tām (Pieņemtie teksti, P10_TA(2026)0041);</w:t>
      </w:r>
    </w:p>
    <w:p w14:paraId="5F51213D" w14:textId="5577FA83"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2026. gada 11. februāra rezolūcija par projektu Komisijas īstenošanas lēmumam, ar ko atbilstoši Eiropas Parlamenta un Padomes Regulai (EK) Nr. 1829/2003 tiek atjaunota atļauja laist tirgū produktus, kas satur ģenētiski modificētu kukurūzu T25 (ACS-ZMØØ3-2), sastāv vai ir ražoti no tās (Pieņemtie teksti, P10_TA(2026)0042);</w:t>
      </w:r>
    </w:p>
    <w:p w14:paraId="467511ED" w14:textId="76D252F9" w:rsidR="007D60CD" w:rsidRPr="003D1D6E" w:rsidRDefault="003D1D6E" w:rsidP="003D1D6E">
      <w:pPr>
        <w:pStyle w:val="FootnoteText"/>
        <w:ind w:left="567" w:hanging="567"/>
        <w:rPr>
          <w:sz w:val="24"/>
          <w:vertAlign w:val="superscript"/>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2026. gada 11. februāra rezolūcija par projektu Komisijas īstenošanas lēmumam, ar ko atbilstoši Eiropas Parlamenta un Padomes Regulai (EK) Nr. 1829/2003 atjauno atļauju laist tirgū produktus, kas satur ģenētiski modificētu kokvilnu GHB614 × LLCotton25, sastāv vai ir ražoti no tās (Pieņemtie teksti, P10_TA(2026)0043);</w:t>
      </w:r>
    </w:p>
    <w:p w14:paraId="143D991A" w14:textId="7DC61410" w:rsidR="007D60CD" w:rsidRPr="003D1D6E" w:rsidRDefault="003D1D6E" w:rsidP="003D1D6E">
      <w:pPr>
        <w:pStyle w:val="FootnoteText"/>
        <w:ind w:left="567" w:hanging="567"/>
        <w:rPr>
          <w:sz w:val="24"/>
          <w:lang w:val="lv-LV"/>
        </w:rPr>
      </w:pPr>
      <w:r w:rsidRPr="003D1D6E">
        <w:rPr>
          <w:sz w:val="24"/>
          <w:lang w:val="lv-LV"/>
        </w:rPr>
        <w:t xml:space="preserve"> </w:t>
      </w:r>
      <w:r w:rsidRPr="003D1D6E">
        <w:rPr>
          <w:sz w:val="24"/>
          <w:lang w:val="lv-LV"/>
        </w:rPr>
        <w:tab/>
      </w:r>
      <w:r w:rsidR="007D60CD" w:rsidRPr="003D1D6E">
        <w:rPr>
          <w:sz w:val="24"/>
          <w:lang w:val="lv-LV"/>
        </w:rPr>
        <w:t>–</w:t>
      </w:r>
      <w:r w:rsidR="007D60CD" w:rsidRPr="003D1D6E">
        <w:rPr>
          <w:sz w:val="24"/>
          <w:lang w:val="lv-LV"/>
        </w:rPr>
        <w:tab/>
        <w:t>Eiropas Parlamenta 2026. gada 11. februāra rezolūcija par projektu Komisijas īstenošanas lēmumam, ar ko atbilstoši Eiropas Parlamenta un Padomes Regulai (EK) Nr. 1829/2003 tiek atjaunota atļauja laist tirgū produktus, kas satur ģenētiski modificētu kokvilnu T304-40, sastāv vai ir ražoti no tās (Pieņemtie teksti, P10_TA(2026)0044).</w:t>
      </w:r>
    </w:p>
  </w:footnote>
  <w:footnote w:id="5">
    <w:p w14:paraId="1A27326B" w14:textId="413880D2" w:rsidR="007D60CD" w:rsidRPr="003D1D6E" w:rsidRDefault="007D60CD" w:rsidP="003D1D6E">
      <w:pPr>
        <w:pStyle w:val="FootnoteText"/>
        <w:ind w:left="567" w:hanging="567"/>
        <w:rPr>
          <w:sz w:val="24"/>
          <w:lang w:val="lv-LV"/>
        </w:rPr>
      </w:pPr>
      <w:r w:rsidRPr="003D1D6E">
        <w:rPr>
          <w:rStyle w:val="FootnoteReference"/>
          <w:sz w:val="24"/>
          <w:lang w:val="lv-LV"/>
        </w:rPr>
        <w:footnoteRef/>
      </w:r>
      <w:r w:rsidR="003D1D6E" w:rsidRPr="003D1D6E">
        <w:rPr>
          <w:i/>
          <w:iCs/>
          <w:sz w:val="24"/>
          <w:lang w:val="lv-LV"/>
        </w:rPr>
        <w:t xml:space="preserve"> </w:t>
      </w:r>
      <w:r w:rsidR="003D1D6E" w:rsidRPr="003D1D6E">
        <w:rPr>
          <w:i/>
          <w:iCs/>
          <w:sz w:val="24"/>
          <w:lang w:val="lv-LV"/>
        </w:rPr>
        <w:tab/>
      </w:r>
      <w:proofErr w:type="spellStart"/>
      <w:r w:rsidRPr="003D1D6E">
        <w:rPr>
          <w:i/>
          <w:iCs/>
          <w:sz w:val="24"/>
          <w:lang w:val="lv-LV"/>
        </w:rPr>
        <w:t>Chen</w:t>
      </w:r>
      <w:proofErr w:type="spellEnd"/>
      <w:r w:rsidRPr="003D1D6E">
        <w:rPr>
          <w:sz w:val="24"/>
          <w:lang w:val="lv-LV"/>
        </w:rPr>
        <w:t>,</w:t>
      </w:r>
      <w:r w:rsidRPr="003D1D6E">
        <w:rPr>
          <w:i/>
          <w:iCs/>
          <w:sz w:val="24"/>
          <w:lang w:val="lv-LV"/>
        </w:rPr>
        <w:t xml:space="preserve"> D.</w:t>
      </w:r>
      <w:r w:rsidRPr="003D1D6E">
        <w:rPr>
          <w:sz w:val="24"/>
          <w:lang w:val="lv-LV"/>
        </w:rPr>
        <w:t xml:space="preserve">, </w:t>
      </w:r>
      <w:proofErr w:type="spellStart"/>
      <w:r w:rsidRPr="003D1D6E">
        <w:rPr>
          <w:i/>
          <w:iCs/>
          <w:sz w:val="24"/>
          <w:lang w:val="lv-LV"/>
        </w:rPr>
        <w:t>Moar</w:t>
      </w:r>
      <w:proofErr w:type="spellEnd"/>
      <w:r w:rsidRPr="003D1D6E">
        <w:rPr>
          <w:sz w:val="24"/>
          <w:lang w:val="lv-LV"/>
        </w:rPr>
        <w:t xml:space="preserve">, </w:t>
      </w:r>
      <w:r w:rsidRPr="003D1D6E">
        <w:rPr>
          <w:i/>
          <w:iCs/>
          <w:sz w:val="24"/>
          <w:lang w:val="lv-LV"/>
        </w:rPr>
        <w:t>W. J.</w:t>
      </w:r>
      <w:r w:rsidRPr="003D1D6E">
        <w:rPr>
          <w:sz w:val="24"/>
          <w:lang w:val="lv-LV"/>
        </w:rPr>
        <w:t xml:space="preserve">, </w:t>
      </w:r>
      <w:proofErr w:type="spellStart"/>
      <w:r w:rsidRPr="003D1D6E">
        <w:rPr>
          <w:i/>
          <w:iCs/>
          <w:sz w:val="24"/>
          <w:lang w:val="lv-LV"/>
        </w:rPr>
        <w:t>Jerga</w:t>
      </w:r>
      <w:proofErr w:type="spellEnd"/>
      <w:r w:rsidRPr="003D1D6E">
        <w:rPr>
          <w:sz w:val="24"/>
          <w:lang w:val="lv-LV"/>
        </w:rPr>
        <w:t xml:space="preserve">, </w:t>
      </w:r>
      <w:r w:rsidRPr="003D1D6E">
        <w:rPr>
          <w:i/>
          <w:iCs/>
          <w:sz w:val="24"/>
          <w:lang w:val="lv-LV"/>
        </w:rPr>
        <w:t>A.</w:t>
      </w:r>
      <w:r w:rsidRPr="003D1D6E">
        <w:rPr>
          <w:sz w:val="24"/>
          <w:lang w:val="lv-LV"/>
        </w:rPr>
        <w:t xml:space="preserve">, </w:t>
      </w:r>
      <w:proofErr w:type="spellStart"/>
      <w:r w:rsidRPr="003D1D6E">
        <w:rPr>
          <w:i/>
          <w:iCs/>
          <w:sz w:val="24"/>
          <w:lang w:val="lv-LV"/>
        </w:rPr>
        <w:t>Gowda</w:t>
      </w:r>
      <w:proofErr w:type="spellEnd"/>
      <w:r w:rsidRPr="003D1D6E">
        <w:rPr>
          <w:sz w:val="24"/>
          <w:lang w:val="lv-LV"/>
        </w:rPr>
        <w:t xml:space="preserve">, </w:t>
      </w:r>
      <w:r w:rsidRPr="003D1D6E">
        <w:rPr>
          <w:i/>
          <w:iCs/>
          <w:sz w:val="24"/>
          <w:lang w:val="lv-LV"/>
        </w:rPr>
        <w:t>A.</w:t>
      </w:r>
      <w:r w:rsidRPr="003D1D6E">
        <w:rPr>
          <w:sz w:val="24"/>
          <w:lang w:val="lv-LV"/>
        </w:rPr>
        <w:t xml:space="preserve">, </w:t>
      </w:r>
      <w:proofErr w:type="spellStart"/>
      <w:r w:rsidRPr="003D1D6E">
        <w:rPr>
          <w:i/>
          <w:iCs/>
          <w:sz w:val="24"/>
          <w:lang w:val="lv-LV"/>
        </w:rPr>
        <w:t>Milligan</w:t>
      </w:r>
      <w:proofErr w:type="spellEnd"/>
      <w:r w:rsidRPr="003D1D6E">
        <w:rPr>
          <w:sz w:val="24"/>
          <w:lang w:val="lv-LV"/>
        </w:rPr>
        <w:t xml:space="preserve">, </w:t>
      </w:r>
      <w:r w:rsidRPr="003D1D6E">
        <w:rPr>
          <w:i/>
          <w:iCs/>
          <w:sz w:val="24"/>
          <w:lang w:val="lv-LV"/>
        </w:rPr>
        <w:t>J. S.</w:t>
      </w:r>
      <w:r w:rsidRPr="003D1D6E">
        <w:rPr>
          <w:sz w:val="24"/>
          <w:lang w:val="lv-LV"/>
        </w:rPr>
        <w:t xml:space="preserve">, </w:t>
      </w:r>
      <w:proofErr w:type="spellStart"/>
      <w:r w:rsidRPr="003D1D6E">
        <w:rPr>
          <w:i/>
          <w:iCs/>
          <w:sz w:val="24"/>
          <w:lang w:val="lv-LV"/>
        </w:rPr>
        <w:t>Bretsynder</w:t>
      </w:r>
      <w:proofErr w:type="spellEnd"/>
      <w:r w:rsidRPr="003D1D6E">
        <w:rPr>
          <w:sz w:val="24"/>
          <w:lang w:val="lv-LV"/>
        </w:rPr>
        <w:t xml:space="preserve">, </w:t>
      </w:r>
      <w:r w:rsidRPr="003D1D6E">
        <w:rPr>
          <w:i/>
          <w:iCs/>
          <w:sz w:val="24"/>
          <w:lang w:val="lv-LV"/>
        </w:rPr>
        <w:t>E. C.</w:t>
      </w:r>
      <w:r w:rsidRPr="003D1D6E">
        <w:rPr>
          <w:sz w:val="24"/>
          <w:lang w:val="lv-LV"/>
        </w:rPr>
        <w:t xml:space="preserve">, </w:t>
      </w:r>
      <w:proofErr w:type="spellStart"/>
      <w:r w:rsidRPr="003D1D6E">
        <w:rPr>
          <w:i/>
          <w:iCs/>
          <w:sz w:val="24"/>
          <w:lang w:val="lv-LV"/>
        </w:rPr>
        <w:t>Rydel</w:t>
      </w:r>
      <w:proofErr w:type="spellEnd"/>
      <w:r w:rsidRPr="003D1D6E">
        <w:rPr>
          <w:sz w:val="24"/>
          <w:lang w:val="lv-LV"/>
        </w:rPr>
        <w:t>,</w:t>
      </w:r>
      <w:r w:rsidRPr="003D1D6E">
        <w:rPr>
          <w:i/>
          <w:iCs/>
          <w:sz w:val="24"/>
          <w:lang w:val="lv-LV"/>
        </w:rPr>
        <w:t xml:space="preserve"> T. J.</w:t>
      </w:r>
      <w:r w:rsidRPr="003D1D6E">
        <w:rPr>
          <w:sz w:val="24"/>
          <w:lang w:val="lv-LV"/>
        </w:rPr>
        <w:t xml:space="preserve">, </w:t>
      </w:r>
      <w:proofErr w:type="spellStart"/>
      <w:r w:rsidRPr="003D1D6E">
        <w:rPr>
          <w:i/>
          <w:iCs/>
          <w:sz w:val="24"/>
          <w:lang w:val="lv-LV"/>
        </w:rPr>
        <w:t>Baum</w:t>
      </w:r>
      <w:proofErr w:type="spellEnd"/>
      <w:r w:rsidRPr="003D1D6E">
        <w:rPr>
          <w:sz w:val="24"/>
          <w:lang w:val="lv-LV"/>
        </w:rPr>
        <w:t xml:space="preserve">, </w:t>
      </w:r>
      <w:r w:rsidRPr="003D1D6E">
        <w:rPr>
          <w:i/>
          <w:iCs/>
          <w:sz w:val="24"/>
          <w:lang w:val="lv-LV"/>
        </w:rPr>
        <w:t>J. A.</w:t>
      </w:r>
      <w:r w:rsidRPr="003D1D6E">
        <w:rPr>
          <w:sz w:val="24"/>
          <w:lang w:val="lv-LV"/>
        </w:rPr>
        <w:t xml:space="preserve">, </w:t>
      </w:r>
      <w:proofErr w:type="spellStart"/>
      <w:r w:rsidRPr="003D1D6E">
        <w:rPr>
          <w:i/>
          <w:iCs/>
          <w:sz w:val="24"/>
          <w:lang w:val="lv-LV"/>
        </w:rPr>
        <w:t>Semeao</w:t>
      </w:r>
      <w:proofErr w:type="spellEnd"/>
      <w:r w:rsidRPr="003D1D6E">
        <w:rPr>
          <w:sz w:val="24"/>
          <w:lang w:val="lv-LV"/>
        </w:rPr>
        <w:t>,</w:t>
      </w:r>
      <w:r w:rsidRPr="003D1D6E">
        <w:rPr>
          <w:i/>
          <w:iCs/>
          <w:sz w:val="24"/>
          <w:lang w:val="lv-LV"/>
        </w:rPr>
        <w:t xml:space="preserve"> A.</w:t>
      </w:r>
      <w:r w:rsidRPr="003D1D6E">
        <w:rPr>
          <w:sz w:val="24"/>
          <w:lang w:val="lv-LV"/>
        </w:rPr>
        <w:t xml:space="preserve">, </w:t>
      </w:r>
      <w:r w:rsidRPr="003D1D6E">
        <w:rPr>
          <w:i/>
          <w:iCs/>
          <w:sz w:val="24"/>
          <w:lang w:val="lv-LV"/>
        </w:rPr>
        <w:t>Fu</w:t>
      </w:r>
      <w:r w:rsidRPr="003D1D6E">
        <w:rPr>
          <w:sz w:val="24"/>
          <w:lang w:val="lv-LV"/>
        </w:rPr>
        <w:t xml:space="preserve">, </w:t>
      </w:r>
      <w:r w:rsidRPr="003D1D6E">
        <w:rPr>
          <w:i/>
          <w:iCs/>
          <w:sz w:val="24"/>
          <w:lang w:val="lv-LV"/>
        </w:rPr>
        <w:t>S.</w:t>
      </w:r>
      <w:r w:rsidRPr="003D1D6E">
        <w:rPr>
          <w:sz w:val="24"/>
          <w:lang w:val="lv-LV"/>
        </w:rPr>
        <w:t xml:space="preserve">, </w:t>
      </w:r>
      <w:proofErr w:type="spellStart"/>
      <w:r w:rsidRPr="003D1D6E">
        <w:rPr>
          <w:i/>
          <w:iCs/>
          <w:sz w:val="24"/>
          <w:lang w:val="lv-LV"/>
        </w:rPr>
        <w:t>Guzov</w:t>
      </w:r>
      <w:proofErr w:type="spellEnd"/>
      <w:r w:rsidRPr="003D1D6E">
        <w:rPr>
          <w:sz w:val="24"/>
          <w:lang w:val="lv-LV"/>
        </w:rPr>
        <w:t xml:space="preserve">, </w:t>
      </w:r>
      <w:r w:rsidRPr="003D1D6E">
        <w:rPr>
          <w:i/>
          <w:iCs/>
          <w:sz w:val="24"/>
          <w:lang w:val="lv-LV"/>
        </w:rPr>
        <w:t>V.</w:t>
      </w:r>
      <w:r w:rsidRPr="003D1D6E">
        <w:rPr>
          <w:sz w:val="24"/>
          <w:lang w:val="lv-LV"/>
        </w:rPr>
        <w:t xml:space="preserve">, </w:t>
      </w:r>
      <w:proofErr w:type="spellStart"/>
      <w:r w:rsidRPr="003D1D6E">
        <w:rPr>
          <w:i/>
          <w:iCs/>
          <w:sz w:val="24"/>
          <w:lang w:val="lv-LV"/>
        </w:rPr>
        <w:t>Gabbert</w:t>
      </w:r>
      <w:proofErr w:type="spellEnd"/>
      <w:r w:rsidRPr="003D1D6E">
        <w:rPr>
          <w:sz w:val="24"/>
          <w:lang w:val="lv-LV"/>
        </w:rPr>
        <w:t>,</w:t>
      </w:r>
      <w:r w:rsidRPr="003D1D6E">
        <w:rPr>
          <w:i/>
          <w:iCs/>
          <w:sz w:val="24"/>
          <w:lang w:val="lv-LV"/>
        </w:rPr>
        <w:t xml:space="preserve"> K.</w:t>
      </w:r>
      <w:r w:rsidRPr="003D1D6E">
        <w:rPr>
          <w:sz w:val="24"/>
          <w:lang w:val="lv-LV"/>
        </w:rPr>
        <w:t xml:space="preserve">, </w:t>
      </w:r>
      <w:proofErr w:type="spellStart"/>
      <w:r w:rsidRPr="003D1D6E">
        <w:rPr>
          <w:i/>
          <w:iCs/>
          <w:sz w:val="24"/>
          <w:lang w:val="lv-LV"/>
        </w:rPr>
        <w:t>Head</w:t>
      </w:r>
      <w:proofErr w:type="spellEnd"/>
      <w:r w:rsidRPr="003D1D6E">
        <w:rPr>
          <w:sz w:val="24"/>
          <w:lang w:val="lv-LV"/>
        </w:rPr>
        <w:t xml:space="preserve">, </w:t>
      </w:r>
      <w:r w:rsidRPr="003D1D6E">
        <w:rPr>
          <w:i/>
          <w:iCs/>
          <w:sz w:val="24"/>
          <w:lang w:val="lv-LV"/>
        </w:rPr>
        <w:t>P.H.</w:t>
      </w:r>
      <w:r w:rsidRPr="003D1D6E">
        <w:rPr>
          <w:sz w:val="24"/>
          <w:lang w:val="lv-LV"/>
        </w:rPr>
        <w:t xml:space="preserve">, </w:t>
      </w:r>
      <w:proofErr w:type="spellStart"/>
      <w:r w:rsidRPr="003D1D6E">
        <w:rPr>
          <w:i/>
          <w:iCs/>
          <w:sz w:val="24"/>
          <w:lang w:val="lv-LV"/>
        </w:rPr>
        <w:t>Haas</w:t>
      </w:r>
      <w:proofErr w:type="spellEnd"/>
      <w:r w:rsidRPr="003D1D6E">
        <w:rPr>
          <w:sz w:val="24"/>
          <w:lang w:val="lv-LV"/>
        </w:rPr>
        <w:t xml:space="preserve">, </w:t>
      </w:r>
      <w:r w:rsidRPr="003D1D6E">
        <w:rPr>
          <w:i/>
          <w:iCs/>
          <w:sz w:val="24"/>
          <w:lang w:val="lv-LV"/>
        </w:rPr>
        <w:t>J. A.</w:t>
      </w:r>
      <w:r w:rsidRPr="003D1D6E">
        <w:rPr>
          <w:sz w:val="24"/>
          <w:lang w:val="lv-LV"/>
        </w:rPr>
        <w:t xml:space="preserve"> (2021), </w:t>
      </w:r>
      <w:r w:rsidRPr="003D1D6E">
        <w:rPr>
          <w:sz w:val="24"/>
          <w:shd w:val="clear" w:color="auto" w:fill="FFFFFF"/>
          <w:lang w:val="lv-LV"/>
        </w:rPr>
        <w:t>“</w:t>
      </w:r>
      <w:proofErr w:type="spellStart"/>
      <w:r w:rsidRPr="003D1D6E">
        <w:rPr>
          <w:i/>
          <w:sz w:val="24"/>
          <w:lang w:val="lv-LV"/>
        </w:rPr>
        <w:t>Bacillus</w:t>
      </w:r>
      <w:proofErr w:type="spellEnd"/>
      <w:r w:rsidRPr="003D1D6E">
        <w:rPr>
          <w:i/>
          <w:sz w:val="24"/>
          <w:lang w:val="lv-LV"/>
        </w:rPr>
        <w:t xml:space="preserve"> </w:t>
      </w:r>
      <w:proofErr w:type="spellStart"/>
      <w:r w:rsidRPr="003D1D6E">
        <w:rPr>
          <w:i/>
          <w:sz w:val="24"/>
          <w:lang w:val="lv-LV"/>
        </w:rPr>
        <w:t>thuringiensis</w:t>
      </w:r>
      <w:proofErr w:type="spellEnd"/>
      <w:r w:rsidRPr="003D1D6E">
        <w:rPr>
          <w:sz w:val="24"/>
          <w:lang w:val="lv-LV"/>
        </w:rPr>
        <w:t xml:space="preserve"> </w:t>
      </w:r>
      <w:proofErr w:type="spellStart"/>
      <w:r w:rsidRPr="003D1D6E">
        <w:rPr>
          <w:i/>
          <w:iCs/>
          <w:sz w:val="24"/>
          <w:lang w:val="lv-LV"/>
        </w:rPr>
        <w:t>chimeric</w:t>
      </w:r>
      <w:proofErr w:type="spellEnd"/>
      <w:r w:rsidRPr="003D1D6E">
        <w:rPr>
          <w:i/>
          <w:iCs/>
          <w:sz w:val="24"/>
          <w:lang w:val="lv-LV"/>
        </w:rPr>
        <w:t xml:space="preserve"> </w:t>
      </w:r>
      <w:proofErr w:type="spellStart"/>
      <w:r w:rsidRPr="003D1D6E">
        <w:rPr>
          <w:i/>
          <w:iCs/>
          <w:sz w:val="24"/>
          <w:lang w:val="lv-LV"/>
        </w:rPr>
        <w:t>proteins</w:t>
      </w:r>
      <w:proofErr w:type="spellEnd"/>
      <w:r w:rsidRPr="003D1D6E">
        <w:rPr>
          <w:i/>
          <w:iCs/>
          <w:sz w:val="24"/>
          <w:lang w:val="lv-LV"/>
        </w:rPr>
        <w:t xml:space="preserve"> Cry1A.</w:t>
      </w:r>
      <w:r w:rsidRPr="003D1D6E">
        <w:rPr>
          <w:sz w:val="24"/>
          <w:lang w:val="lv-LV"/>
        </w:rPr>
        <w:t xml:space="preserve"> </w:t>
      </w:r>
      <w:r w:rsidRPr="003D1D6E">
        <w:rPr>
          <w:i/>
          <w:iCs/>
          <w:sz w:val="24"/>
          <w:lang w:val="lv-LV"/>
        </w:rPr>
        <w:t xml:space="preserve">2 </w:t>
      </w:r>
      <w:proofErr w:type="spellStart"/>
      <w:r w:rsidRPr="003D1D6E">
        <w:rPr>
          <w:i/>
          <w:iCs/>
          <w:sz w:val="24"/>
          <w:lang w:val="lv-LV"/>
        </w:rPr>
        <w:t>and</w:t>
      </w:r>
      <w:proofErr w:type="spellEnd"/>
      <w:r w:rsidRPr="003D1D6E">
        <w:rPr>
          <w:i/>
          <w:iCs/>
          <w:sz w:val="24"/>
          <w:lang w:val="lv-LV"/>
        </w:rPr>
        <w:t xml:space="preserve"> Cry1B.</w:t>
      </w:r>
      <w:r w:rsidRPr="003D1D6E">
        <w:rPr>
          <w:sz w:val="24"/>
          <w:lang w:val="lv-LV"/>
        </w:rPr>
        <w:t xml:space="preserve"> </w:t>
      </w:r>
      <w:r w:rsidRPr="003D1D6E">
        <w:rPr>
          <w:i/>
          <w:iCs/>
          <w:sz w:val="24"/>
          <w:lang w:val="lv-LV"/>
        </w:rPr>
        <w:t xml:space="preserve">2 to </w:t>
      </w:r>
      <w:proofErr w:type="spellStart"/>
      <w:r w:rsidRPr="003D1D6E">
        <w:rPr>
          <w:i/>
          <w:iCs/>
          <w:sz w:val="24"/>
          <w:lang w:val="lv-LV"/>
        </w:rPr>
        <w:t>control</w:t>
      </w:r>
      <w:proofErr w:type="spellEnd"/>
      <w:r w:rsidRPr="003D1D6E">
        <w:rPr>
          <w:i/>
          <w:iCs/>
          <w:sz w:val="24"/>
          <w:lang w:val="lv-LV"/>
        </w:rPr>
        <w:t xml:space="preserve"> </w:t>
      </w:r>
      <w:proofErr w:type="spellStart"/>
      <w:r w:rsidRPr="003D1D6E">
        <w:rPr>
          <w:i/>
          <w:iCs/>
          <w:sz w:val="24"/>
          <w:lang w:val="lv-LV"/>
        </w:rPr>
        <w:t>soybean</w:t>
      </w:r>
      <w:proofErr w:type="spellEnd"/>
      <w:r w:rsidRPr="003D1D6E">
        <w:rPr>
          <w:i/>
          <w:iCs/>
          <w:sz w:val="24"/>
          <w:lang w:val="lv-LV"/>
        </w:rPr>
        <w:t xml:space="preserve"> </w:t>
      </w:r>
      <w:proofErr w:type="spellStart"/>
      <w:r w:rsidRPr="003D1D6E">
        <w:rPr>
          <w:i/>
          <w:iCs/>
          <w:sz w:val="24"/>
          <w:lang w:val="lv-LV"/>
        </w:rPr>
        <w:t>lepidopteran</w:t>
      </w:r>
      <w:proofErr w:type="spellEnd"/>
      <w:r w:rsidRPr="003D1D6E">
        <w:rPr>
          <w:i/>
          <w:iCs/>
          <w:sz w:val="24"/>
          <w:lang w:val="lv-LV"/>
        </w:rPr>
        <w:t xml:space="preserve"> </w:t>
      </w:r>
      <w:proofErr w:type="spellStart"/>
      <w:r w:rsidRPr="003D1D6E">
        <w:rPr>
          <w:i/>
          <w:iCs/>
          <w:sz w:val="24"/>
          <w:lang w:val="lv-LV"/>
        </w:rPr>
        <w:t>pests</w:t>
      </w:r>
      <w:proofErr w:type="spellEnd"/>
      <w:r w:rsidRPr="003D1D6E">
        <w:rPr>
          <w:i/>
          <w:iCs/>
          <w:sz w:val="24"/>
          <w:lang w:val="lv-LV"/>
        </w:rPr>
        <w:t>:</w:t>
      </w:r>
      <w:r w:rsidRPr="003D1D6E">
        <w:rPr>
          <w:sz w:val="24"/>
          <w:lang w:val="lv-LV"/>
        </w:rPr>
        <w:t xml:space="preserve"> </w:t>
      </w:r>
      <w:proofErr w:type="spellStart"/>
      <w:r w:rsidRPr="003D1D6E">
        <w:rPr>
          <w:i/>
          <w:iCs/>
          <w:sz w:val="24"/>
          <w:lang w:val="lv-LV"/>
        </w:rPr>
        <w:t>New</w:t>
      </w:r>
      <w:proofErr w:type="spellEnd"/>
      <w:r w:rsidRPr="003D1D6E">
        <w:rPr>
          <w:i/>
          <w:iCs/>
          <w:sz w:val="24"/>
          <w:lang w:val="lv-LV"/>
        </w:rPr>
        <w:t xml:space="preserve"> </w:t>
      </w:r>
      <w:proofErr w:type="spellStart"/>
      <w:r w:rsidRPr="003D1D6E">
        <w:rPr>
          <w:i/>
          <w:iCs/>
          <w:sz w:val="24"/>
          <w:lang w:val="lv-LV"/>
        </w:rPr>
        <w:t>domain</w:t>
      </w:r>
      <w:proofErr w:type="spellEnd"/>
      <w:r w:rsidRPr="003D1D6E">
        <w:rPr>
          <w:i/>
          <w:iCs/>
          <w:sz w:val="24"/>
          <w:lang w:val="lv-LV"/>
        </w:rPr>
        <w:t xml:space="preserve"> </w:t>
      </w:r>
      <w:proofErr w:type="spellStart"/>
      <w:r w:rsidRPr="003D1D6E">
        <w:rPr>
          <w:i/>
          <w:iCs/>
          <w:sz w:val="24"/>
          <w:lang w:val="lv-LV"/>
        </w:rPr>
        <w:t>combinations</w:t>
      </w:r>
      <w:proofErr w:type="spellEnd"/>
      <w:r w:rsidRPr="003D1D6E">
        <w:rPr>
          <w:i/>
          <w:iCs/>
          <w:sz w:val="24"/>
          <w:lang w:val="lv-LV"/>
        </w:rPr>
        <w:t xml:space="preserve"> </w:t>
      </w:r>
      <w:proofErr w:type="spellStart"/>
      <w:r w:rsidRPr="003D1D6E">
        <w:rPr>
          <w:i/>
          <w:iCs/>
          <w:sz w:val="24"/>
          <w:lang w:val="lv-LV"/>
        </w:rPr>
        <w:t>enhance</w:t>
      </w:r>
      <w:proofErr w:type="spellEnd"/>
      <w:r w:rsidRPr="003D1D6E">
        <w:rPr>
          <w:i/>
          <w:iCs/>
          <w:sz w:val="24"/>
          <w:lang w:val="lv-LV"/>
        </w:rPr>
        <w:t xml:space="preserve"> </w:t>
      </w:r>
      <w:proofErr w:type="spellStart"/>
      <w:r w:rsidRPr="003D1D6E">
        <w:rPr>
          <w:i/>
          <w:iCs/>
          <w:sz w:val="24"/>
          <w:lang w:val="lv-LV"/>
        </w:rPr>
        <w:t>insecticidal</w:t>
      </w:r>
      <w:proofErr w:type="spellEnd"/>
      <w:r w:rsidRPr="003D1D6E">
        <w:rPr>
          <w:i/>
          <w:iCs/>
          <w:sz w:val="24"/>
          <w:lang w:val="lv-LV"/>
        </w:rPr>
        <w:t xml:space="preserve"> </w:t>
      </w:r>
      <w:proofErr w:type="spellStart"/>
      <w:r w:rsidRPr="003D1D6E">
        <w:rPr>
          <w:i/>
          <w:iCs/>
          <w:sz w:val="24"/>
          <w:lang w:val="lv-LV"/>
        </w:rPr>
        <w:t>spectrum</w:t>
      </w:r>
      <w:proofErr w:type="spellEnd"/>
      <w:r w:rsidRPr="003D1D6E">
        <w:rPr>
          <w:i/>
          <w:iCs/>
          <w:sz w:val="24"/>
          <w:lang w:val="lv-LV"/>
        </w:rPr>
        <w:t xml:space="preserve"> </w:t>
      </w:r>
      <w:proofErr w:type="spellStart"/>
      <w:r w:rsidRPr="003D1D6E">
        <w:rPr>
          <w:i/>
          <w:iCs/>
          <w:sz w:val="24"/>
          <w:lang w:val="lv-LV"/>
        </w:rPr>
        <w:t>of</w:t>
      </w:r>
      <w:proofErr w:type="spellEnd"/>
      <w:r w:rsidRPr="003D1D6E">
        <w:rPr>
          <w:i/>
          <w:iCs/>
          <w:sz w:val="24"/>
          <w:lang w:val="lv-LV"/>
        </w:rPr>
        <w:t xml:space="preserve"> </w:t>
      </w:r>
      <w:proofErr w:type="spellStart"/>
      <w:r w:rsidRPr="003D1D6E">
        <w:rPr>
          <w:i/>
          <w:iCs/>
          <w:sz w:val="24"/>
          <w:lang w:val="lv-LV"/>
        </w:rPr>
        <w:t>activity</w:t>
      </w:r>
      <w:proofErr w:type="spellEnd"/>
      <w:r w:rsidRPr="003D1D6E">
        <w:rPr>
          <w:i/>
          <w:iCs/>
          <w:sz w:val="24"/>
          <w:lang w:val="lv-LV"/>
        </w:rPr>
        <w:t xml:space="preserve"> </w:t>
      </w:r>
      <w:proofErr w:type="spellStart"/>
      <w:r w:rsidRPr="003D1D6E">
        <w:rPr>
          <w:i/>
          <w:iCs/>
          <w:sz w:val="24"/>
          <w:lang w:val="lv-LV"/>
        </w:rPr>
        <w:t>and</w:t>
      </w:r>
      <w:proofErr w:type="spellEnd"/>
      <w:r w:rsidRPr="003D1D6E">
        <w:rPr>
          <w:i/>
          <w:iCs/>
          <w:sz w:val="24"/>
          <w:lang w:val="lv-LV"/>
        </w:rPr>
        <w:t xml:space="preserve"> novel receptor </w:t>
      </w:r>
      <w:proofErr w:type="spellStart"/>
      <w:r w:rsidRPr="003D1D6E">
        <w:rPr>
          <w:i/>
          <w:iCs/>
          <w:sz w:val="24"/>
          <w:lang w:val="lv-LV"/>
        </w:rPr>
        <w:t>contributions</w:t>
      </w:r>
      <w:proofErr w:type="spellEnd"/>
      <w:r w:rsidRPr="003D1D6E">
        <w:rPr>
          <w:sz w:val="24"/>
          <w:shd w:val="clear" w:color="auto" w:fill="FFFFFF"/>
          <w:lang w:val="lv-LV"/>
        </w:rPr>
        <w:t>”,</w:t>
      </w:r>
      <w:r w:rsidRPr="003D1D6E">
        <w:rPr>
          <w:sz w:val="24"/>
          <w:lang w:val="lv-LV"/>
        </w:rPr>
        <w:t xml:space="preserve"> </w:t>
      </w:r>
      <w:proofErr w:type="spellStart"/>
      <w:r w:rsidRPr="003D1D6E">
        <w:rPr>
          <w:i/>
          <w:sz w:val="24"/>
          <w:lang w:val="lv-LV"/>
        </w:rPr>
        <w:t>PLoS</w:t>
      </w:r>
      <w:proofErr w:type="spellEnd"/>
      <w:r w:rsidRPr="003D1D6E">
        <w:rPr>
          <w:i/>
          <w:sz w:val="24"/>
          <w:lang w:val="lv-LV"/>
        </w:rPr>
        <w:t xml:space="preserve"> </w:t>
      </w:r>
      <w:proofErr w:type="spellStart"/>
      <w:r w:rsidRPr="003D1D6E">
        <w:rPr>
          <w:i/>
          <w:sz w:val="24"/>
          <w:lang w:val="lv-LV"/>
        </w:rPr>
        <w:t>One</w:t>
      </w:r>
      <w:proofErr w:type="spellEnd"/>
      <w:r w:rsidRPr="003D1D6E">
        <w:rPr>
          <w:sz w:val="24"/>
          <w:lang w:val="lv-LV"/>
        </w:rPr>
        <w:t>, 2017. </w:t>
      </w:r>
      <w:r w:rsidRPr="003D1D6E">
        <w:rPr>
          <w:sz w:val="24"/>
          <w:lang w:val="lv-LV"/>
        </w:rPr>
        <w:t xml:space="preserve">gada jūnijs, 16(6), e0249150, </w:t>
      </w:r>
      <w:hyperlink r:id="rId15" w:history="1">
        <w:r w:rsidRPr="003D1D6E">
          <w:rPr>
            <w:rStyle w:val="Hyperlink"/>
            <w:sz w:val="24"/>
            <w:lang w:val="lv-LV"/>
          </w:rPr>
          <w:t>https://doi.org/10.1371/journal.pone.0249150</w:t>
        </w:r>
      </w:hyperlink>
      <w:r w:rsidRPr="003D1D6E">
        <w:rPr>
          <w:sz w:val="24"/>
          <w:lang w:val="lv-LV"/>
        </w:rPr>
        <w:t>.</w:t>
      </w:r>
    </w:p>
  </w:footnote>
  <w:footnote w:id="6">
    <w:p w14:paraId="6CC600A5" w14:textId="6F86FF6E" w:rsidR="007D60CD" w:rsidRPr="003D1D6E" w:rsidRDefault="007D60CD" w:rsidP="003D1D6E">
      <w:pPr>
        <w:pStyle w:val="FootnoteText"/>
        <w:ind w:left="567" w:hanging="567"/>
        <w:rPr>
          <w:sz w:val="24"/>
          <w:lang w:val="lv-LV"/>
        </w:rPr>
      </w:pPr>
      <w:r w:rsidRPr="003D1D6E">
        <w:rPr>
          <w:rStyle w:val="Funotenzeichen"/>
          <w:sz w:val="24"/>
          <w:lang w:val="lv-LV"/>
        </w:rPr>
        <w:footnoteRef/>
      </w:r>
      <w:r w:rsidR="003D1D6E" w:rsidRPr="003D1D6E">
        <w:rPr>
          <w:sz w:val="24"/>
          <w:lang w:val="lv-LV"/>
        </w:rPr>
        <w:t xml:space="preserve"> </w:t>
      </w:r>
      <w:r w:rsidR="003D1D6E" w:rsidRPr="003D1D6E">
        <w:rPr>
          <w:sz w:val="24"/>
          <w:lang w:val="lv-LV"/>
        </w:rPr>
        <w:tab/>
      </w:r>
      <w:r w:rsidRPr="003D1D6E">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w:t>
      </w:r>
      <w:r w:rsidRPr="003D1D6E">
        <w:rPr>
          <w:sz w:val="24"/>
          <w:lang w:val="lv-LV"/>
        </w:rPr>
        <w:t>lpp., ELI: </w:t>
      </w:r>
      <w:hyperlink r:id="rId16" w:tgtFrame="Gives%20access%20to%20this%20document%20through%20its%20ELI%20URI.">
        <w:r w:rsidRPr="003D1D6E">
          <w:rPr>
            <w:rStyle w:val="Hyperlink"/>
            <w:sz w:val="24"/>
            <w:lang w:val="lv-LV"/>
          </w:rPr>
          <w:t>http://data.europa.eu/eli/reg/2002/178/oj/lav</w:t>
        </w:r>
      </w:hyperlink>
      <w:r w:rsidRPr="003D1D6E">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5A9F" w14:textId="77777777" w:rsidR="00064002" w:rsidRPr="003D1D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CA4A0" w14:textId="77777777" w:rsidR="00064002" w:rsidRPr="003D1D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11EB8" w14:textId="77777777" w:rsidR="00064002" w:rsidRPr="003D1D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1912094">
    <w:abstractNumId w:val="9"/>
  </w:num>
  <w:num w:numId="2" w16cid:durableId="2143837743">
    <w:abstractNumId w:val="9"/>
  </w:num>
  <w:num w:numId="3" w16cid:durableId="1903909891">
    <w:abstractNumId w:val="7"/>
  </w:num>
  <w:num w:numId="4" w16cid:durableId="1511791957">
    <w:abstractNumId w:val="7"/>
  </w:num>
  <w:num w:numId="5" w16cid:durableId="1068459458">
    <w:abstractNumId w:val="6"/>
  </w:num>
  <w:num w:numId="6" w16cid:durableId="459735721">
    <w:abstractNumId w:val="6"/>
  </w:num>
  <w:num w:numId="7" w16cid:durableId="1952779812">
    <w:abstractNumId w:val="5"/>
  </w:num>
  <w:num w:numId="8" w16cid:durableId="1677341626">
    <w:abstractNumId w:val="5"/>
  </w:num>
  <w:num w:numId="9" w16cid:durableId="178929631">
    <w:abstractNumId w:val="4"/>
  </w:num>
  <w:num w:numId="10" w16cid:durableId="2098089945">
    <w:abstractNumId w:val="4"/>
  </w:num>
  <w:num w:numId="11" w16cid:durableId="2019577479">
    <w:abstractNumId w:val="8"/>
  </w:num>
  <w:num w:numId="12" w16cid:durableId="605119081">
    <w:abstractNumId w:val="8"/>
  </w:num>
  <w:num w:numId="13" w16cid:durableId="1238976598">
    <w:abstractNumId w:val="3"/>
  </w:num>
  <w:num w:numId="14" w16cid:durableId="1369574248">
    <w:abstractNumId w:val="3"/>
  </w:num>
  <w:num w:numId="15" w16cid:durableId="1848907323">
    <w:abstractNumId w:val="2"/>
  </w:num>
  <w:num w:numId="16" w16cid:durableId="560560608">
    <w:abstractNumId w:val="2"/>
  </w:num>
  <w:num w:numId="17" w16cid:durableId="755395166">
    <w:abstractNumId w:val="1"/>
  </w:num>
  <w:num w:numId="18" w16cid:durableId="1779106906">
    <w:abstractNumId w:val="1"/>
  </w:num>
  <w:num w:numId="19" w16cid:durableId="190382806">
    <w:abstractNumId w:val="0"/>
  </w:num>
  <w:num w:numId="20" w16cid:durableId="1900752067">
    <w:abstractNumId w:val="0"/>
  </w:num>
  <w:num w:numId="21" w16cid:durableId="605386619">
    <w:abstractNumId w:val="9"/>
  </w:num>
  <w:num w:numId="22" w16cid:durableId="1030381394">
    <w:abstractNumId w:val="7"/>
  </w:num>
  <w:num w:numId="23" w16cid:durableId="1670598534">
    <w:abstractNumId w:val="6"/>
  </w:num>
  <w:num w:numId="24" w16cid:durableId="206259975">
    <w:abstractNumId w:val="5"/>
  </w:num>
  <w:num w:numId="25" w16cid:durableId="2123651463">
    <w:abstractNumId w:val="4"/>
  </w:num>
  <w:num w:numId="26" w16cid:durableId="306209297">
    <w:abstractNumId w:val="8"/>
  </w:num>
  <w:num w:numId="27" w16cid:durableId="1994069065">
    <w:abstractNumId w:val="3"/>
  </w:num>
  <w:num w:numId="28" w16cid:durableId="938291397">
    <w:abstractNumId w:val="2"/>
  </w:num>
  <w:num w:numId="29" w16cid:durableId="1100369207">
    <w:abstractNumId w:val="1"/>
  </w:num>
  <w:num w:numId="30" w16cid:durableId="1904025598">
    <w:abstractNumId w:val="0"/>
  </w:num>
  <w:num w:numId="31" w16cid:durableId="1152285642">
    <w:abstractNumId w:val="9"/>
  </w:num>
  <w:num w:numId="32" w16cid:durableId="1253708211">
    <w:abstractNumId w:val="7"/>
  </w:num>
  <w:num w:numId="33" w16cid:durableId="1755659878">
    <w:abstractNumId w:val="6"/>
  </w:num>
  <w:num w:numId="34" w16cid:durableId="1908959033">
    <w:abstractNumId w:val="5"/>
  </w:num>
  <w:num w:numId="35" w16cid:durableId="1553467966">
    <w:abstractNumId w:val="4"/>
  </w:num>
  <w:num w:numId="36" w16cid:durableId="442841511">
    <w:abstractNumId w:val="8"/>
  </w:num>
  <w:num w:numId="37" w16cid:durableId="1183779952">
    <w:abstractNumId w:val="3"/>
  </w:num>
  <w:num w:numId="38" w16cid:durableId="1528985603">
    <w:abstractNumId w:val="2"/>
  </w:num>
  <w:num w:numId="39" w16cid:durableId="426385502">
    <w:abstractNumId w:val="1"/>
  </w:num>
  <w:num w:numId="40" w16cid:durableId="871578564">
    <w:abstractNumId w:val="0"/>
  </w:num>
  <w:num w:numId="41" w16cid:durableId="912203218">
    <w:abstractNumId w:val="10"/>
  </w:num>
  <w:num w:numId="42" w16cid:durableId="1724869097">
    <w:abstractNumId w:val="10"/>
  </w:num>
  <w:num w:numId="43" w16cid:durableId="1289357408">
    <w:abstractNumId w:val="10"/>
  </w:num>
  <w:num w:numId="44" w16cid:durableId="843592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LV"/>
    <w:docVar w:name="dvnumam" w:val="0"/>
    <w:docVar w:name="dvpe" w:val="785.406"/>
    <w:docVar w:name="dvtitre" w:val="Eiropas Parlamenta 2026. gada XX. XXX  rezolūcija par projektu Komisijas īstenošanas lēmumam, ar ko atbilstoši Eiropas Parlamenta un Padomes Regulai (EK) Nr. 1829/2003 atļauj laist tirgū produktus, kas satur ģenētiski modificētas sojas pupas MON 94637, sastāv vai ir ražoti no tām(D113501/03 – 2026/2651(RSP))"/>
  </w:docVars>
  <w:rsids>
    <w:rsidRoot w:val="00457A32"/>
    <w:rsid w:val="00002272"/>
    <w:rsid w:val="00064002"/>
    <w:rsid w:val="000677B9"/>
    <w:rsid w:val="000831BA"/>
    <w:rsid w:val="000A42CC"/>
    <w:rsid w:val="000E7DD9"/>
    <w:rsid w:val="0010095E"/>
    <w:rsid w:val="00102264"/>
    <w:rsid w:val="00125B37"/>
    <w:rsid w:val="00187494"/>
    <w:rsid w:val="001F32AE"/>
    <w:rsid w:val="002767FF"/>
    <w:rsid w:val="002B18FE"/>
    <w:rsid w:val="002B5493"/>
    <w:rsid w:val="00343214"/>
    <w:rsid w:val="00361C00"/>
    <w:rsid w:val="00395FA1"/>
    <w:rsid w:val="003D1D6E"/>
    <w:rsid w:val="003E15D4"/>
    <w:rsid w:val="00411CCE"/>
    <w:rsid w:val="0041666E"/>
    <w:rsid w:val="00421060"/>
    <w:rsid w:val="00440C24"/>
    <w:rsid w:val="00457A32"/>
    <w:rsid w:val="00471C19"/>
    <w:rsid w:val="004867E3"/>
    <w:rsid w:val="00494A28"/>
    <w:rsid w:val="004C0004"/>
    <w:rsid w:val="004C5D52"/>
    <w:rsid w:val="0050519A"/>
    <w:rsid w:val="005072A1"/>
    <w:rsid w:val="00514517"/>
    <w:rsid w:val="00545827"/>
    <w:rsid w:val="00560270"/>
    <w:rsid w:val="005B5D6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0CD"/>
    <w:rsid w:val="007E22AD"/>
    <w:rsid w:val="00817416"/>
    <w:rsid w:val="00842779"/>
    <w:rsid w:val="00865F67"/>
    <w:rsid w:val="00875AF5"/>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307"/>
    <w:rsid w:val="00E820A4"/>
    <w:rsid w:val="00EB006A"/>
    <w:rsid w:val="00EB4772"/>
    <w:rsid w:val="00ED169E"/>
    <w:rsid w:val="00ED4235"/>
    <w:rsid w:val="00F04346"/>
    <w:rsid w:val="00F075DC"/>
    <w:rsid w:val="00F149E9"/>
    <w:rsid w:val="00F5134D"/>
    <w:rsid w:val="00F5541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E391F"/>
  <w15:chartTrackingRefBased/>
  <w15:docId w15:val="{0D7829D8-DE3F-4E9D-9157-0F456CCE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7D60CD"/>
    <w:pPr>
      <w:spacing w:before="480" w:after="240"/>
    </w:pPr>
  </w:style>
  <w:style w:type="paragraph" w:customStyle="1" w:styleId="NormalHanging12a">
    <w:name w:val="NormalHanging12a"/>
    <w:basedOn w:val="Normal"/>
    <w:qFormat/>
    <w:rsid w:val="007D60CD"/>
    <w:pPr>
      <w:spacing w:after="240"/>
      <w:ind w:left="567" w:hanging="567"/>
    </w:pPr>
  </w:style>
  <w:style w:type="paragraph" w:customStyle="1" w:styleId="NormalBold">
    <w:name w:val="NormalBold"/>
    <w:basedOn w:val="Normal"/>
    <w:qFormat/>
    <w:rsid w:val="007D60CD"/>
    <w:rPr>
      <w:b/>
    </w:rPr>
  </w:style>
  <w:style w:type="character" w:styleId="Hyperlink">
    <w:name w:val="Hyperlink"/>
    <w:basedOn w:val="DefaultParagraphFont"/>
    <w:uiPriority w:val="99"/>
    <w:unhideWhenUsed/>
    <w:rsid w:val="007D60CD"/>
    <w:rPr>
      <w:color w:val="0000FF"/>
      <w:u w:val="single"/>
    </w:rPr>
  </w:style>
  <w:style w:type="character" w:customStyle="1" w:styleId="Funotenzeichen">
    <w:name w:val="Fußnotenzeichen"/>
    <w:basedOn w:val="DefaultParagraphFont"/>
    <w:uiPriority w:val="99"/>
    <w:qFormat/>
    <w:rsid w:val="007D60CD"/>
    <w:rPr>
      <w:rFonts w:cs="Times New Roman"/>
      <w:vertAlign w:val="superscript"/>
    </w:rPr>
  </w:style>
  <w:style w:type="paragraph" w:styleId="NormalWeb">
    <w:name w:val="Normal (Web)"/>
    <w:basedOn w:val="Normal"/>
    <w:uiPriority w:val="99"/>
    <w:unhideWhenUsed/>
    <w:qFormat/>
    <w:rsid w:val="007D60CD"/>
    <w:pPr>
      <w:widowControl/>
      <w:suppressAutoHyphens/>
      <w:spacing w:beforeAutospacing="1" w:afterAutospacing="1"/>
    </w:pPr>
    <w:rPr>
      <w:szCs w:val="24"/>
    </w:rPr>
  </w:style>
  <w:style w:type="paragraph" w:styleId="Revision">
    <w:name w:val="Revision"/>
    <w:hidden/>
    <w:uiPriority w:val="99"/>
    <w:semiHidden/>
    <w:rsid w:val="00E7330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lav" TargetMode="External"/><Relationship Id="rId13" Type="http://schemas.openxmlformats.org/officeDocument/2006/relationships/hyperlink" Target="http://data.europa.eu/eli/C/2025/2247/oj/lav"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lav" TargetMode="External"/><Relationship Id="rId12" Type="http://schemas.openxmlformats.org/officeDocument/2006/relationships/hyperlink" Target="http://data.europa.eu/eli/C/2025/2246/oj/lav" TargetMode="External"/><Relationship Id="rId2" Type="http://schemas.openxmlformats.org/officeDocument/2006/relationships/hyperlink" Target="http://data.europa.eu/eli/reg/2011/182/oj/lav" TargetMode="External"/><Relationship Id="rId16" Type="http://schemas.openxmlformats.org/officeDocument/2006/relationships/hyperlink" Target="http://data.europa.eu/eli/reg/2002/178/oj/lav" TargetMode="External"/><Relationship Id="rId1" Type="http://schemas.openxmlformats.org/officeDocument/2006/relationships/hyperlink" Target="http://data.europa.eu/eli/reg/2003/1829/oj/lav" TargetMode="External"/><Relationship Id="rId6" Type="http://schemas.openxmlformats.org/officeDocument/2006/relationships/hyperlink" Target="http://data.europa.eu/eli/C/2025/1799/oj/lav" TargetMode="External"/><Relationship Id="rId11" Type="http://schemas.openxmlformats.org/officeDocument/2006/relationships/hyperlink" Target="http://data.europa.eu/eli/C/2025/1804/oj/lav" TargetMode="External"/><Relationship Id="rId5" Type="http://schemas.openxmlformats.org/officeDocument/2006/relationships/hyperlink" Target="http://data.europa.eu/eli/C/2025/1798/oj/lav"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lav" TargetMode="External"/><Relationship Id="rId4" Type="http://schemas.openxmlformats.org/officeDocument/2006/relationships/hyperlink" Target="http://data.europa.eu/eli/C/2025/1797/oj/lav" TargetMode="External"/><Relationship Id="rId9" Type="http://schemas.openxmlformats.org/officeDocument/2006/relationships/hyperlink" Target="http://data.europa.eu/eli/C/2025/1802/oj/lav" TargetMode="External"/><Relationship Id="rId14" Type="http://schemas.openxmlformats.org/officeDocument/2006/relationships/hyperlink" Target="http://data.europa.eu/eli/C/2026/586/oj/l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970</Words>
  <Characters>6431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2</cp:revision>
  <cp:lastPrinted>2004-11-19T15:42:00Z</cp:lastPrinted>
  <dcterms:created xsi:type="dcterms:W3CDTF">2026-06-04T17:22:00Z</dcterms:created>
  <dcterms:modified xsi:type="dcterms:W3CDTF">2026-06-04T17:22:00Z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B10-0186/2026</vt:lpwstr>
  </property>
  <property fmtid="{D5CDD505-2E9C-101B-9397-08002B2CF9AE}" pid="4" name="&lt;Type&gt;">
    <vt:lpwstr>RR</vt:lpwstr>
  </property>
</Properties>
</file>