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5A4" w14:paraId="56108077" w14:textId="77777777" w:rsidTr="0010095E">
        <w:trPr>
          <w:trHeight w:hRule="exact" w:val="1418"/>
        </w:trPr>
        <w:tc>
          <w:tcPr>
            <w:tcW w:w="6804" w:type="dxa"/>
            <w:shd w:val="clear" w:color="auto" w:fill="auto"/>
            <w:vAlign w:val="center"/>
          </w:tcPr>
          <w:p w14:paraId="7CA97417" w14:textId="77777777" w:rsidR="00751A4A" w:rsidRPr="000B45A4" w:rsidRDefault="003462FF" w:rsidP="0010095E">
            <w:pPr>
              <w:pStyle w:val="EPName"/>
            </w:pPr>
            <w:r w:rsidRPr="000B45A4">
              <w:t>Europees Parlement</w:t>
            </w:r>
          </w:p>
          <w:p w14:paraId="0BD79FDA" w14:textId="77777777" w:rsidR="00751A4A" w:rsidRPr="000B45A4" w:rsidRDefault="005F1B17" w:rsidP="005F1B17">
            <w:pPr>
              <w:pStyle w:val="EPTerm"/>
              <w:rPr>
                <w:rStyle w:val="HideTWBExt"/>
                <w:noProof w:val="0"/>
                <w:vanish w:val="0"/>
                <w:color w:val="auto"/>
              </w:rPr>
            </w:pPr>
            <w:r w:rsidRPr="000B45A4">
              <w:t>2024</w:t>
            </w:r>
            <w:r w:rsidR="00817416" w:rsidRPr="000B45A4">
              <w:t>-202</w:t>
            </w:r>
            <w:r w:rsidRPr="000B45A4">
              <w:t>9</w:t>
            </w:r>
          </w:p>
        </w:tc>
        <w:tc>
          <w:tcPr>
            <w:tcW w:w="2268" w:type="dxa"/>
            <w:shd w:val="clear" w:color="auto" w:fill="auto"/>
          </w:tcPr>
          <w:p w14:paraId="6A1C2DA8" w14:textId="77777777" w:rsidR="00751A4A" w:rsidRPr="000B45A4" w:rsidRDefault="00187494" w:rsidP="0010095E">
            <w:pPr>
              <w:pStyle w:val="EPLogo"/>
            </w:pPr>
            <w:r w:rsidRPr="000B45A4">
              <w:rPr>
                <w:noProof/>
                <w:lang w:eastAsia="ja-JP"/>
              </w:rPr>
              <w:drawing>
                <wp:inline distT="0" distB="0" distL="0" distR="0" wp14:anchorId="773CB966" wp14:editId="6FA184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1D276D" w14:textId="77777777" w:rsidR="00D058B8" w:rsidRPr="000B45A4" w:rsidRDefault="00D058B8" w:rsidP="004C5D52">
      <w:pPr>
        <w:pStyle w:val="LineTop"/>
      </w:pPr>
    </w:p>
    <w:p w14:paraId="437E6467" w14:textId="77777777" w:rsidR="00680577" w:rsidRPr="000B45A4" w:rsidRDefault="003462FF" w:rsidP="00680577">
      <w:pPr>
        <w:pStyle w:val="EPBodyTA1"/>
      </w:pPr>
      <w:r w:rsidRPr="000B45A4">
        <w:t>AANGENOMEN TEKSTEN</w:t>
      </w:r>
    </w:p>
    <w:p w14:paraId="62DE9B28" w14:textId="77777777" w:rsidR="00D058B8" w:rsidRPr="000B45A4" w:rsidRDefault="00D058B8" w:rsidP="00D058B8">
      <w:pPr>
        <w:pStyle w:val="LineBottom"/>
      </w:pPr>
    </w:p>
    <w:p w14:paraId="10F34246" w14:textId="5AEE35DE" w:rsidR="003462FF" w:rsidRPr="000B45A4" w:rsidRDefault="003462FF" w:rsidP="003462FF">
      <w:pPr>
        <w:pStyle w:val="ATHeading1"/>
      </w:pPr>
      <w:bookmarkStart w:id="0" w:name="TANumber"/>
      <w:r w:rsidRPr="000B45A4">
        <w:t>P10_TA(2026)0</w:t>
      </w:r>
      <w:r w:rsidR="005C25AC" w:rsidRPr="000B45A4">
        <w:t>150</w:t>
      </w:r>
      <w:bookmarkEnd w:id="0"/>
    </w:p>
    <w:p w14:paraId="5F422AC1" w14:textId="395E158C" w:rsidR="003462FF" w:rsidRPr="000B45A4" w:rsidRDefault="00BA42E8" w:rsidP="003462FF">
      <w:pPr>
        <w:pStyle w:val="ATHeading2"/>
      </w:pPr>
      <w:bookmarkStart w:id="1" w:name="title"/>
      <w:r w:rsidRPr="000B45A4">
        <w:t>G</w:t>
      </w:r>
      <w:r w:rsidR="003462FF" w:rsidRPr="000B45A4">
        <w:t>enetisch gemodificeerde soja MON 94637</w:t>
      </w:r>
      <w:bookmarkEnd w:id="1"/>
    </w:p>
    <w:p w14:paraId="086F1837" w14:textId="77777777" w:rsidR="003462FF" w:rsidRPr="000B45A4" w:rsidRDefault="003462FF" w:rsidP="003462FF">
      <w:pPr>
        <w:rPr>
          <w:i/>
          <w:vanish/>
        </w:rPr>
      </w:pPr>
      <w:r w:rsidRPr="000B45A4">
        <w:rPr>
          <w:i/>
        </w:rPr>
        <w:fldChar w:fldCharType="begin"/>
      </w:r>
      <w:r w:rsidRPr="000B45A4">
        <w:rPr>
          <w:i/>
        </w:rPr>
        <w:instrText xml:space="preserve"> TC"(</w:instrText>
      </w:r>
      <w:bookmarkStart w:id="2" w:name="DocNumber"/>
      <w:r w:rsidRPr="000B45A4">
        <w:rPr>
          <w:i/>
        </w:rPr>
        <w:instrText>B10-0186/2026</w:instrText>
      </w:r>
      <w:bookmarkEnd w:id="2"/>
      <w:r w:rsidRPr="000B45A4">
        <w:rPr>
          <w:i/>
        </w:rPr>
        <w:instrText xml:space="preserve">)"\l3 \n&gt; \* MERGEFORMAT </w:instrText>
      </w:r>
      <w:r w:rsidRPr="000B45A4">
        <w:rPr>
          <w:i/>
        </w:rPr>
        <w:fldChar w:fldCharType="end"/>
      </w:r>
    </w:p>
    <w:p w14:paraId="2900B140" w14:textId="77777777" w:rsidR="003462FF" w:rsidRPr="000B45A4" w:rsidRDefault="003462FF" w:rsidP="003462FF">
      <w:pPr>
        <w:rPr>
          <w:vanish/>
        </w:rPr>
      </w:pPr>
      <w:bookmarkStart w:id="3" w:name="PE"/>
      <w:r w:rsidRPr="000B45A4">
        <w:rPr>
          <w:vanish/>
        </w:rPr>
        <w:t>PE785.406</w:t>
      </w:r>
      <w:bookmarkEnd w:id="3"/>
    </w:p>
    <w:p w14:paraId="1A9CB1BA" w14:textId="6B904562" w:rsidR="003462FF" w:rsidRPr="000B45A4" w:rsidRDefault="003462FF" w:rsidP="003462FF">
      <w:pPr>
        <w:pStyle w:val="ATHeading3"/>
      </w:pPr>
      <w:bookmarkStart w:id="4" w:name="Sujet"/>
      <w:r w:rsidRPr="000B45A4">
        <w:t xml:space="preserve">Resolutie van het Europees Parlement van </w:t>
      </w:r>
      <w:r w:rsidR="00A21498" w:rsidRPr="000B45A4">
        <w:t xml:space="preserve">29 </w:t>
      </w:r>
      <w:r w:rsidRPr="000B45A4">
        <w:t>april 2026 over het ontwerp van uitvoeringsbesluit van de Commissie tot verlening van een vergunning voor het in de handel brengen van producten die geheel of gedeeltelijk bestaan uit of zijn geproduceerd met de genetisch gemodificeerde soja MON 94637 overeenkomstig Verordening (EG) nr. 1829/2003 van het Europees Parlement en de Raad</w:t>
      </w:r>
      <w:bookmarkEnd w:id="4"/>
      <w:r w:rsidRPr="000B45A4">
        <w:t xml:space="preserve"> </w:t>
      </w:r>
      <w:bookmarkStart w:id="5" w:name="References"/>
      <w:r w:rsidRPr="000B45A4">
        <w:t>(D113501/03 – 2026/2651(RSP))</w:t>
      </w:r>
      <w:bookmarkEnd w:id="5"/>
    </w:p>
    <w:p w14:paraId="407170F9" w14:textId="77777777" w:rsidR="00362AC1" w:rsidRPr="000B45A4" w:rsidRDefault="00362AC1" w:rsidP="00362AC1">
      <w:pPr>
        <w:pStyle w:val="EPComma"/>
      </w:pPr>
      <w:bookmarkStart w:id="6" w:name="TextBodyBegin"/>
      <w:bookmarkEnd w:id="6"/>
      <w:r w:rsidRPr="000B45A4">
        <w:rPr>
          <w:i/>
        </w:rPr>
        <w:t>Het Europees Parlement</w:t>
      </w:r>
      <w:r w:rsidRPr="000B45A4">
        <w:t>,</w:t>
      </w:r>
    </w:p>
    <w:p w14:paraId="5B07E250" w14:textId="77777777" w:rsidR="00362AC1" w:rsidRPr="000B45A4" w:rsidRDefault="00362AC1" w:rsidP="00362AC1">
      <w:pPr>
        <w:pStyle w:val="NormalHanging12a"/>
      </w:pPr>
      <w:r w:rsidRPr="000B45A4">
        <w:t>–</w:t>
      </w:r>
      <w:r w:rsidRPr="000B45A4">
        <w:tab/>
        <w:t>gezien het ontwerp van uitvoeringsbesluit van de Commissie tot verlening van een vergunning voor het in de handel brengen van producten die geheel of gedeeltelijk bestaan uit of zijn geproduceerd met de genetisch gemodificeerde soja MON 94637 overeenkomstig Verordening (EG) nr. 1829/2003 van het Europees Parlement en de Raad (D113501/03),</w:t>
      </w:r>
    </w:p>
    <w:p w14:paraId="5881F971" w14:textId="77777777" w:rsidR="00362AC1" w:rsidRPr="000B45A4" w:rsidRDefault="00362AC1" w:rsidP="00362AC1">
      <w:pPr>
        <w:pStyle w:val="NormalHanging12a"/>
      </w:pPr>
      <w:r w:rsidRPr="000B45A4">
        <w:t>–</w:t>
      </w:r>
      <w:r w:rsidRPr="000B45A4">
        <w:tab/>
        <w:t>gezien Verordening (EG) nr. 1829/2003 van het Europees Parlement en de Raad van 22 september 2003 inzake genetisch gemodificeerde levensmiddelen en diervoeders</w:t>
      </w:r>
      <w:r w:rsidRPr="000B45A4">
        <w:rPr>
          <w:rStyle w:val="FootnoteReference"/>
        </w:rPr>
        <w:footnoteReference w:id="1"/>
      </w:r>
      <w:r w:rsidRPr="000B45A4">
        <w:t>, en met name artikel 7, lid 3, en artikel 19, lid 3,</w:t>
      </w:r>
    </w:p>
    <w:p w14:paraId="0D4B50DA" w14:textId="77777777" w:rsidR="00362AC1" w:rsidRPr="000B45A4" w:rsidRDefault="00362AC1" w:rsidP="00362AC1">
      <w:pPr>
        <w:pStyle w:val="NormalHanging12a"/>
      </w:pPr>
      <w:r w:rsidRPr="000B45A4">
        <w:t>–</w:t>
      </w:r>
      <w:r w:rsidRPr="000B45A4">
        <w:tab/>
        <w:t xml:space="preserve">gezien de stemming van 27 februari 2026 in het Permanent Comité voor planten, dieren, levensmiddelen en diervoeders als bedoeld in artikel 35 van Verordening (EG) nr. 1829/2003, die geen advies heeft opgeleverd, </w:t>
      </w:r>
      <w:bookmarkStart w:id="7" w:name="_Hlk219206484"/>
      <w:r w:rsidRPr="000B45A4">
        <w:t>en de stemming van 31 maart 2026 in het comité van beroep, die evenmin een advies heeft opgeleverd</w:t>
      </w:r>
      <w:bookmarkEnd w:id="7"/>
      <w:r w:rsidRPr="000B45A4">
        <w:t>,</w:t>
      </w:r>
    </w:p>
    <w:p w14:paraId="1D6964C8" w14:textId="77777777" w:rsidR="00362AC1" w:rsidRPr="000B45A4" w:rsidRDefault="00362AC1" w:rsidP="00362AC1">
      <w:pPr>
        <w:pStyle w:val="NormalHanging12a"/>
        <w:widowControl/>
      </w:pPr>
      <w:r w:rsidRPr="000B45A4">
        <w:t>–</w:t>
      </w:r>
      <w:r w:rsidRPr="000B45A4">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bookmarkStart w:id="8" w:name="_Hlk210662860"/>
      <w:r w:rsidRPr="000B45A4">
        <w:rPr>
          <w:rStyle w:val="FootnoteReference"/>
          <w:szCs w:val="24"/>
        </w:rPr>
        <w:footnoteReference w:id="2"/>
      </w:r>
      <w:bookmarkEnd w:id="8"/>
      <w:r w:rsidRPr="000B45A4">
        <w:t>,</w:t>
      </w:r>
    </w:p>
    <w:p w14:paraId="6F4C1F3A" w14:textId="77777777" w:rsidR="00362AC1" w:rsidRPr="000B45A4" w:rsidRDefault="00362AC1" w:rsidP="00362AC1">
      <w:pPr>
        <w:pStyle w:val="NormalHanging12a"/>
      </w:pPr>
      <w:r w:rsidRPr="000B45A4">
        <w:t>–</w:t>
      </w:r>
      <w:r w:rsidRPr="000B45A4">
        <w:tab/>
        <w:t>gezien het advies dat op 1 juli 2025 door de Europese Autoriteit voor voedselveiligheid (EFSA) is goedgekeurd en op 23 oktober 2025 is gepubliceerd</w:t>
      </w:r>
      <w:r w:rsidRPr="000B45A4">
        <w:rPr>
          <w:rStyle w:val="FootnoteReference"/>
        </w:rPr>
        <w:footnoteReference w:id="3"/>
      </w:r>
      <w:r w:rsidRPr="000B45A4">
        <w:t>,</w:t>
      </w:r>
    </w:p>
    <w:p w14:paraId="5656D45A" w14:textId="77777777" w:rsidR="00362AC1" w:rsidRPr="000B45A4" w:rsidRDefault="00362AC1" w:rsidP="00362AC1">
      <w:pPr>
        <w:pStyle w:val="NormalHanging12a"/>
      </w:pPr>
      <w:r w:rsidRPr="000B45A4">
        <w:lastRenderedPageBreak/>
        <w:t>–</w:t>
      </w:r>
      <w:r w:rsidRPr="000B45A4">
        <w:tab/>
        <w:t>gezien zijn eerdere resoluties waarin bezwaar wordt gemaakt tegen het verlenen van vergunningen voor genetisch gemodificeerde organismen (“ggo’s”)</w:t>
      </w:r>
      <w:r w:rsidRPr="000B45A4">
        <w:rPr>
          <w:rStyle w:val="FootnoteReference"/>
        </w:rPr>
        <w:footnoteReference w:id="4"/>
      </w:r>
      <w:r w:rsidRPr="000B45A4">
        <w:t>,</w:t>
      </w:r>
    </w:p>
    <w:p w14:paraId="5C1D6A45" w14:textId="77777777" w:rsidR="00362AC1" w:rsidRPr="000B45A4" w:rsidRDefault="00362AC1" w:rsidP="00362AC1">
      <w:pPr>
        <w:pStyle w:val="NormalHanging12a"/>
      </w:pPr>
      <w:r w:rsidRPr="000B45A4">
        <w:lastRenderedPageBreak/>
        <w:t>–</w:t>
      </w:r>
      <w:r w:rsidRPr="000B45A4">
        <w:tab/>
        <w:t>gezien artikel 115, leden 2 en 3, van zijn Reglement,</w:t>
      </w:r>
    </w:p>
    <w:p w14:paraId="6F82B048" w14:textId="77777777" w:rsidR="00362AC1" w:rsidRPr="000B45A4" w:rsidRDefault="00362AC1" w:rsidP="00362AC1">
      <w:pPr>
        <w:pStyle w:val="NormalHanging12a"/>
      </w:pPr>
      <w:r w:rsidRPr="000B45A4">
        <w:t>–</w:t>
      </w:r>
      <w:r w:rsidRPr="000B45A4">
        <w:tab/>
        <w:t xml:space="preserve">gezien de ontwerpresolutie van de Commissie milieubeheer, klimaat en </w:t>
      </w:r>
      <w:r w:rsidRPr="000B45A4">
        <w:lastRenderedPageBreak/>
        <w:t>voedselveiligheid,</w:t>
      </w:r>
    </w:p>
    <w:p w14:paraId="03B1A47C" w14:textId="77777777" w:rsidR="00362AC1" w:rsidRPr="000B45A4" w:rsidRDefault="00362AC1" w:rsidP="00362AC1">
      <w:pPr>
        <w:pStyle w:val="NormalHanging12a"/>
      </w:pPr>
      <w:r w:rsidRPr="000B45A4">
        <w:t>A.</w:t>
      </w:r>
      <w:r w:rsidRPr="000B45A4">
        <w:tab/>
        <w:t>overwegende dat de genetisch gemodificeerde soja MON 94637 (de “genetisch gemodificeerde soja”) is ontwikkeld om bescherming te bieden tegen bepaalde schadelijke lepidoptera door de expressie van twee nieuw ontworpen chimere Bt-eiwitten, Cry1A.2 en Cry1B.2;</w:t>
      </w:r>
    </w:p>
    <w:p w14:paraId="50FFD2EE" w14:textId="77777777" w:rsidR="00362AC1" w:rsidRPr="000B45A4" w:rsidRDefault="00362AC1" w:rsidP="00362AC1">
      <w:pPr>
        <w:pStyle w:val="NormalHanging12a"/>
      </w:pPr>
      <w:r w:rsidRPr="000B45A4">
        <w:t>B.</w:t>
      </w:r>
      <w:r w:rsidRPr="000B45A4">
        <w:tab/>
        <w:t>overwegende dat de EFSA op 1 juli 2025 een gunstig advies heeft uitgebracht waarin zij concludeerde dat de genetisch gemodificeerde soja even veilig is als zijn conventionele tegenhanger en de geteste niet-genetisch gemodificeerde sojasoorten met betrekking tot de mogelijke gevolgen voor de gezondheid van mens en dier en voor het milieu; overwegende dat de EFSA heeft geconcludeerd dat de consumptie van levensmiddelen en diervoeders op basis van de genetisch gemodificeerde soja geen aanleiding geeft tot bezorgdheid wat betreft de voeding en dat accidentele blootstelling van het milieu geen veiligheidsrisico met zich meebrengt;</w:t>
      </w:r>
    </w:p>
    <w:p w14:paraId="014BE2E9" w14:textId="77777777" w:rsidR="00362AC1" w:rsidRPr="000B45A4" w:rsidRDefault="00362AC1" w:rsidP="00362AC1">
      <w:pPr>
        <w:pStyle w:val="NormalHanging12a"/>
      </w:pPr>
      <w:r w:rsidRPr="000B45A4">
        <w:t>C.</w:t>
      </w:r>
      <w:r w:rsidRPr="000B45A4">
        <w:tab/>
        <w:t>overwegende dat de EFSA verder heeft geconcludeerd dat de moleculaire karakterisering en bio-informatica-analyses geen problemen aan het licht hebben gebracht die een aanvullende beoordeling van de veiligheid van levensmiddelen of diervoeders vereisen en dat monitoring van levensmiddelen of diervoeders na het in de handel brengen niet nodig werd geacht;</w:t>
      </w:r>
    </w:p>
    <w:p w14:paraId="574CAE14" w14:textId="77777777" w:rsidR="00362AC1" w:rsidRPr="000B45A4" w:rsidRDefault="00362AC1" w:rsidP="00362AC1">
      <w:pPr>
        <w:pStyle w:val="NormalHanging12a"/>
      </w:pPr>
      <w:r w:rsidRPr="000B45A4">
        <w:t>D.</w:t>
      </w:r>
      <w:r w:rsidRPr="000B45A4">
        <w:tab/>
        <w:t>overwegende dat de wetenschappelijke literatuur, ondanks de positieve beoordeling van de EFSA, aangeeft dat de nieuw ontworpen chimere Bt-toxinen Cry1A.2 en Cry1B.2 aanzienlijk meer insectendodende activiteit vertonen dan de toxinen waarvan ze zijn afgeleid, hetgeen specifieke veiligheidskwesties met zich meebrengt waar onvoldoende aandacht aan is besteed</w:t>
      </w:r>
      <w:r w:rsidRPr="000B45A4">
        <w:rPr>
          <w:rStyle w:val="FootnoteReference"/>
        </w:rPr>
        <w:footnoteReference w:id="5"/>
      </w:r>
      <w:r w:rsidRPr="000B45A4">
        <w:t>;</w:t>
      </w:r>
    </w:p>
    <w:p w14:paraId="33BF2044" w14:textId="77777777" w:rsidR="00362AC1" w:rsidRPr="000B45A4" w:rsidRDefault="00362AC1" w:rsidP="00362AC1">
      <w:pPr>
        <w:pStyle w:val="NormalHanging12a"/>
        <w:rPr>
          <w:color w:val="000000" w:themeColor="text1"/>
          <w:szCs w:val="24"/>
        </w:rPr>
      </w:pPr>
      <w:r w:rsidRPr="000B45A4">
        <w:rPr>
          <w:color w:val="000000" w:themeColor="text1"/>
        </w:rPr>
        <w:t>E.</w:t>
      </w:r>
      <w:r w:rsidRPr="000B45A4">
        <w:rPr>
          <w:color w:val="000000" w:themeColor="text1"/>
        </w:rPr>
        <w:tab/>
        <w:t>overwegende dat er kritiek is geuit op het door de aanvrager ingediende systematische literatuuronderzoek wegens methodologische tekortkomingen en omdat het niet alle beschikbare wetenschappelijke literatuur adequaat bestrijkt;</w:t>
      </w:r>
    </w:p>
    <w:p w14:paraId="46459E54" w14:textId="77777777" w:rsidR="00362AC1" w:rsidRPr="000B45A4" w:rsidRDefault="00362AC1" w:rsidP="00362AC1">
      <w:pPr>
        <w:spacing w:after="240"/>
        <w:ind w:left="567" w:hanging="567"/>
        <w:rPr>
          <w:szCs w:val="24"/>
        </w:rPr>
      </w:pPr>
      <w:r w:rsidRPr="000B45A4">
        <w:t>F.</w:t>
      </w:r>
      <w:r w:rsidRPr="000B45A4">
        <w:tab/>
        <w:t>overwegende dat de moleculaire karakterisering van de genetisch gemodificeerde soja nog steeds onvolledig is, aangezien onbedoelde genomische veranderingen en nieuw gecreëerde open leesramen niet grondig zijn onderzocht met behulp van de meest geavanceerde sequencing- en “-omics”-benaderingen;</w:t>
      </w:r>
    </w:p>
    <w:p w14:paraId="77D7DD3F" w14:textId="77777777" w:rsidR="00362AC1" w:rsidRPr="000B45A4" w:rsidRDefault="00362AC1" w:rsidP="00362AC1">
      <w:pPr>
        <w:pStyle w:val="NormalHanging12a"/>
      </w:pPr>
      <w:r w:rsidRPr="000B45A4">
        <w:t>G.</w:t>
      </w:r>
      <w:r w:rsidRPr="000B45A4">
        <w:tab/>
        <w:t>overwegende dat genexpressie slechts onder beperkte veldomstandigheden werd beoordeeld, namelijk gedurende één jaar en in één land, zonder voldoende rekening te houden met milieustressfactoren of verschillende genetische achtergronden, ondanks bekende variabiliteit in transgene expressie;</w:t>
      </w:r>
    </w:p>
    <w:p w14:paraId="2F4FA6D5" w14:textId="77777777" w:rsidR="00362AC1" w:rsidRPr="000B45A4" w:rsidRDefault="00362AC1" w:rsidP="00362AC1">
      <w:pPr>
        <w:pStyle w:val="NormalWeb"/>
        <w:widowControl w:val="0"/>
        <w:spacing w:beforeAutospacing="0" w:after="240" w:afterAutospacing="0"/>
        <w:ind w:left="567" w:hanging="567"/>
      </w:pPr>
      <w:r w:rsidRPr="000B45A4">
        <w:t>H.</w:t>
      </w:r>
      <w:r w:rsidRPr="000B45A4">
        <w:tab/>
        <w:t xml:space="preserve">overwegende dat veldproeven ter ondersteuning van de aanvraag een beperkt geografisch en milieubereik hadden en geen weerspiegeling vormen van de diversiteit </w:t>
      </w:r>
      <w:r w:rsidRPr="000B45A4">
        <w:lastRenderedPageBreak/>
        <w:t>van de milieuomstandigheden waaronder sojabonen mogen worden geteeld of verwerkt;</w:t>
      </w:r>
    </w:p>
    <w:p w14:paraId="1DC0176B" w14:textId="77777777" w:rsidR="00362AC1" w:rsidRPr="000B45A4" w:rsidRDefault="00362AC1" w:rsidP="00362AC1">
      <w:pPr>
        <w:spacing w:after="240"/>
        <w:ind w:left="567" w:hanging="567"/>
      </w:pPr>
      <w:r w:rsidRPr="000B45A4">
        <w:t>I.</w:t>
      </w:r>
      <w:r w:rsidRPr="000B45A4">
        <w:tab/>
        <w:t>overwegende dat de meeste toxicologische studies gebaseerd waren op microbieel geproduceerde Bt-eiwitten in plaats van plantaardige eiwitten, ondanks bewijs dat plantaardige bestanddelen zoals proteaseremmers de toxiciteit van de Bt-eiwitten kunnen vergroten;</w:t>
      </w:r>
    </w:p>
    <w:p w14:paraId="6D4F15C5" w14:textId="77777777" w:rsidR="00362AC1" w:rsidRPr="000B45A4" w:rsidRDefault="00362AC1" w:rsidP="00362AC1">
      <w:pPr>
        <w:pStyle w:val="NormalHanging12a"/>
      </w:pPr>
      <w:r w:rsidRPr="000B45A4">
        <w:t xml:space="preserve">J. </w:t>
      </w:r>
      <w:r w:rsidRPr="000B45A4">
        <w:tab/>
        <w:t>overwegende dat verschillende statistisch significante bevindingen die in de toxicologische onderzoeken van 28 en 90 dagen zijn waargenomen, niet hebben geleid tot aanvullende follow-uponderzoeken;</w:t>
      </w:r>
    </w:p>
    <w:p w14:paraId="0E0325B9" w14:textId="77777777" w:rsidR="00362AC1" w:rsidRPr="000B45A4" w:rsidRDefault="00362AC1" w:rsidP="00362AC1">
      <w:pPr>
        <w:spacing w:after="240"/>
        <w:ind w:left="567" w:hanging="567"/>
      </w:pPr>
      <w:r w:rsidRPr="000B45A4">
        <w:t>K.</w:t>
      </w:r>
      <w:r w:rsidRPr="000B45A4">
        <w:tab/>
        <w:t>overwegende dat mogelijke synergetische of combinatorische effecten tussen de twee Bt-toxinen, met plantenstoffen of met andere stressfactoren, niet naar behoren zijn onderzocht;</w:t>
      </w:r>
    </w:p>
    <w:p w14:paraId="29CAE720" w14:textId="77777777" w:rsidR="00362AC1" w:rsidRPr="000B45A4" w:rsidRDefault="00362AC1" w:rsidP="00362AC1">
      <w:pPr>
        <w:spacing w:after="240"/>
        <w:ind w:left="567" w:hanging="567"/>
      </w:pPr>
      <w:r w:rsidRPr="000B45A4">
        <w:t>L.</w:t>
      </w:r>
      <w:r w:rsidRPr="000B45A4">
        <w:tab/>
        <w:t>overwegende dat in de milieurisicobeoordeling onvoldoende aandacht werd besteed aan mogelijke blootstelling door accidentele verspreiding, mest of afvalwater, en aan mogelijke effecten op niet-doelorganismen;</w:t>
      </w:r>
    </w:p>
    <w:p w14:paraId="681183F3" w14:textId="77777777" w:rsidR="00362AC1" w:rsidRPr="000B45A4" w:rsidRDefault="00362AC1" w:rsidP="00362AC1">
      <w:pPr>
        <w:pStyle w:val="NormalWeb"/>
        <w:widowControl w:val="0"/>
        <w:spacing w:beforeAutospacing="0" w:after="240" w:afterAutospacing="0"/>
        <w:ind w:left="567" w:hanging="567"/>
      </w:pPr>
      <w:r w:rsidRPr="000B45A4">
        <w:t>M.</w:t>
      </w:r>
      <w:r w:rsidRPr="000B45A4">
        <w:tab/>
        <w:t>overwegende dat het Parlement herhaaldelijk heeft benadrukt dat de Commissie geen ggo’s mag toelaten als de lidstaten in het permanent Comité voor planten, dieren, levensmiddelen en diervoeders of het comité van beroep geen gekwalificeerde meerderheid kunnen bereiken, met als doel het aanhoudende democratische tekort aan te pakken;</w:t>
      </w:r>
    </w:p>
    <w:p w14:paraId="02FFEC81" w14:textId="77777777" w:rsidR="00362AC1" w:rsidRPr="000B45A4" w:rsidRDefault="00362AC1" w:rsidP="00362AC1">
      <w:pPr>
        <w:pStyle w:val="NormalWeb"/>
        <w:widowControl w:val="0"/>
        <w:shd w:val="clear" w:color="auto" w:fill="FFFFFF"/>
        <w:spacing w:beforeAutospacing="0" w:after="240" w:afterAutospacing="0"/>
        <w:ind w:left="567" w:hanging="567"/>
        <w:rPr>
          <w:color w:val="000000" w:themeColor="text1"/>
        </w:rPr>
      </w:pPr>
      <w:r w:rsidRPr="000B45A4">
        <w:rPr>
          <w:color w:val="000000" w:themeColor="text1"/>
        </w:rPr>
        <w:t>N.</w:t>
      </w:r>
      <w:r w:rsidRPr="000B45A4">
        <w:rPr>
          <w:color w:val="000000" w:themeColor="text1"/>
        </w:rPr>
        <w:tab/>
        <w:t>overwegende dat de Commissie zich bewust is van de democratische tekortkomingen, het gebrek aan steun van de lidstaten en de bezwaren van het Parlement, maar desondanks vergunningen blijft verlenen voor ggo’s;</w:t>
      </w:r>
    </w:p>
    <w:p w14:paraId="2F20C191" w14:textId="77777777" w:rsidR="00362AC1" w:rsidRPr="000B45A4" w:rsidRDefault="00362AC1" w:rsidP="00362AC1">
      <w:pPr>
        <w:spacing w:after="240"/>
        <w:ind w:left="567" w:hanging="567"/>
      </w:pPr>
      <w:r w:rsidRPr="000B45A4">
        <w:t>O.</w:t>
      </w:r>
      <w:r w:rsidRPr="000B45A4">
        <w:tab/>
        <w:t>overwegende dat volgens de “één gezondheid”-benadering rekening moet worden gehouden met de onderlinge afhankelijkheid tussen de gezondheid van mensen, dieren, planten en het milieu bij de beoordeling van de duurzaamheid en veiligheid van ggo’s op de lange termijn;</w:t>
      </w:r>
    </w:p>
    <w:p w14:paraId="16AEB411" w14:textId="77777777" w:rsidR="00362AC1" w:rsidRPr="000B45A4" w:rsidRDefault="00362AC1" w:rsidP="00362AC1">
      <w:pPr>
        <w:spacing w:after="240"/>
        <w:ind w:left="567" w:hanging="567"/>
      </w:pPr>
      <w:r w:rsidRPr="000B45A4">
        <w:t>1.</w:t>
      </w:r>
      <w:r w:rsidRPr="000B45A4">
        <w:tab/>
        <w:t>is van mening dat het ontwerp van uitvoeringsbesluit van de Commissie de in Verordening (EG) nr. 1829/2003 bedoelde uitvoeringsbevoegdheden overschrijdt;</w:t>
      </w:r>
    </w:p>
    <w:p w14:paraId="473EB93B" w14:textId="77777777" w:rsidR="00362AC1" w:rsidRPr="000B45A4" w:rsidRDefault="00362AC1" w:rsidP="00362AC1">
      <w:pPr>
        <w:spacing w:after="240"/>
        <w:ind w:left="567" w:hanging="567"/>
      </w:pPr>
      <w:r w:rsidRPr="000B45A4">
        <w:t>2.</w:t>
      </w:r>
      <w:r w:rsidRPr="000B45A4">
        <w:tab/>
        <w:t>is van mening dat het ontwerp van uitvoeringsbesluit van de Commissie niet in overeenstemming is met het recht van de Unie, aangezien het niet verenigbaar is met het doel van Verordening (EG) nr. 1829/2003 om overeenkomstig de algemene beginselen die in Verordening (EG) nr. 178/2002 van het Europees Parlement en de Raad</w:t>
      </w:r>
      <w:r w:rsidRPr="000B45A4">
        <w:rPr>
          <w:rStyle w:val="FootnoteReference"/>
        </w:rPr>
        <w:footnoteReference w:id="6"/>
      </w:r>
      <w:r w:rsidRPr="000B45A4">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w:t>
      </w:r>
      <w:r w:rsidRPr="000B45A4">
        <w:lastRenderedPageBreak/>
        <w:t>interne markt gewaarborgd is;</w:t>
      </w:r>
    </w:p>
    <w:p w14:paraId="4C54EA18" w14:textId="77777777" w:rsidR="00362AC1" w:rsidRPr="000B45A4" w:rsidRDefault="00362AC1" w:rsidP="00362AC1">
      <w:pPr>
        <w:spacing w:after="240"/>
        <w:ind w:left="567" w:hanging="567"/>
      </w:pPr>
      <w:bookmarkStart w:id="10" w:name="_Hlk213234159"/>
      <w:r w:rsidRPr="000B45A4">
        <w:t xml:space="preserve">3. </w:t>
      </w:r>
      <w:r w:rsidRPr="000B45A4">
        <w:tab/>
        <w:t>is van mening dat de risicobeoordeling nog steeds onvolledig is, met name wat betreft de moleculaire karakterisering, de toxicologische beoordeling en de milieurisicobeoordeling;</w:t>
      </w:r>
      <w:bookmarkEnd w:id="10"/>
    </w:p>
    <w:p w14:paraId="70A57681" w14:textId="77777777" w:rsidR="00362AC1" w:rsidRPr="000B45A4" w:rsidRDefault="00362AC1" w:rsidP="00362AC1">
      <w:pPr>
        <w:spacing w:after="240"/>
        <w:ind w:left="567" w:hanging="567"/>
      </w:pPr>
      <w:r w:rsidRPr="000B45A4">
        <w:t>4.</w:t>
      </w:r>
      <w:r w:rsidRPr="000B45A4">
        <w:tab/>
        <w:t>verzoekt de Commissie haar ontwerp van uitvoeringsbesluit in te trekken;</w:t>
      </w:r>
    </w:p>
    <w:p w14:paraId="16C02043" w14:textId="77777777" w:rsidR="00362AC1" w:rsidRPr="000B45A4" w:rsidRDefault="00362AC1" w:rsidP="00362AC1">
      <w:pPr>
        <w:spacing w:after="240"/>
        <w:ind w:left="567" w:hanging="567"/>
      </w:pPr>
      <w:r w:rsidRPr="000B45A4">
        <w:t>5.</w:t>
      </w:r>
      <w:r w:rsidRPr="000B45A4">
        <w:tab/>
        <w:t>verzoekt de Commissie de vergunning voor de genetisch gemodificeerde soja niet te verlenen vanwege het gebrek aan voldoende bewijs over de langetermijneffecten op de biodiversiteit, de voedselveiligheid, het levensonderhoud van landbouwers en de diergezondheid, in overeenstemming met de “één gezondheid”-benadering;</w:t>
      </w:r>
    </w:p>
    <w:p w14:paraId="63A2654E" w14:textId="77777777" w:rsidR="00362AC1" w:rsidRPr="000B45A4" w:rsidRDefault="00362AC1" w:rsidP="00362AC1">
      <w:pPr>
        <w:spacing w:after="240"/>
        <w:ind w:left="567" w:hanging="567"/>
      </w:pPr>
      <w:bookmarkStart w:id="11" w:name="_Hlk210900300"/>
      <w:r w:rsidRPr="000B45A4">
        <w:t>6.</w:t>
      </w:r>
      <w:r w:rsidRPr="000B45A4">
        <w:tab/>
        <w:t>verzoekt de Commissie onverwijld een wetgevingsvoorstel tot hervorming van de besluitvormingsprocedure inzake ggo’s in te dienen teneinde tegemoet te komen aan de aanhoudende bezwaren van het Parlement en het gebrek aan steun van een gekwalificeerde meerderheid van de lidstaten</w:t>
      </w:r>
      <w:bookmarkEnd w:id="11"/>
      <w:r w:rsidRPr="000B45A4">
        <w:t>;</w:t>
      </w:r>
    </w:p>
    <w:p w14:paraId="68155FAA" w14:textId="77777777" w:rsidR="00362AC1" w:rsidRPr="000B45A4" w:rsidRDefault="00362AC1" w:rsidP="00362AC1">
      <w:pPr>
        <w:spacing w:after="240"/>
        <w:ind w:left="567" w:hanging="567"/>
      </w:pPr>
      <w:r w:rsidRPr="000B45A4">
        <w:t>7.</w:t>
      </w:r>
      <w:r w:rsidRPr="000B45A4">
        <w:tab/>
        <w:t>benadrukt in dit verband dat het toestaan van de invoer voor gebruik in levensmiddelen of diervoeders van genetisch gemodificeerde planten die tolerant zijn gemaakt voor in de Unie verboden herbiciden, zoals glufosinaat, niet strookt met de internationale verbintenissen van de Unie uit hoofde van onder meer het VN-Verdrag inzake biologische diversiteit en de duurzameontwikkelingsdoelstellingen van de VN, met inbegrip van het mondiaal biodiversiteitskader van Kunming-Montreal, en dat dit een ongelijk speelveld creëert voor landbouwers in de Unie;</w:t>
      </w:r>
    </w:p>
    <w:p w14:paraId="1703E00A" w14:textId="635C1B08" w:rsidR="00960821" w:rsidRPr="000B45A4" w:rsidRDefault="00362AC1" w:rsidP="00960821">
      <w:pPr>
        <w:spacing w:after="240"/>
        <w:ind w:left="567" w:hanging="567"/>
      </w:pPr>
      <w:bookmarkStart w:id="12" w:name="_Hlk210900241"/>
      <w:bookmarkEnd w:id="12"/>
      <w:r w:rsidRPr="000B45A4">
        <w:t>8.</w:t>
      </w:r>
      <w:r w:rsidRPr="000B45A4">
        <w:tab/>
        <w:t>verzoekt zijn Voorzitter deze resolutie te doen toekomen aan de Raad en de Commissie, alsmede aan de regeringen en parlementen van de lidstaten.</w:t>
      </w:r>
    </w:p>
    <w:sectPr w:rsidR="00960821" w:rsidRPr="000B45A4" w:rsidSect="00960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7A441" w14:textId="77777777" w:rsidR="003462FF" w:rsidRPr="00960821" w:rsidRDefault="003462FF">
      <w:r w:rsidRPr="00960821">
        <w:separator/>
      </w:r>
    </w:p>
  </w:endnote>
  <w:endnote w:type="continuationSeparator" w:id="0">
    <w:p w14:paraId="40E0F3EC" w14:textId="77777777" w:rsidR="003462FF" w:rsidRPr="00960821" w:rsidRDefault="003462FF">
      <w:r w:rsidRPr="00960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0780" w14:textId="77777777" w:rsidR="00064002" w:rsidRPr="009608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C9FC" w14:textId="77777777" w:rsidR="00064002" w:rsidRPr="009608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0446" w14:textId="77777777" w:rsidR="00064002" w:rsidRPr="009608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FDB3D" w14:textId="77777777" w:rsidR="003462FF" w:rsidRPr="00960821" w:rsidRDefault="003462FF">
      <w:r w:rsidRPr="00960821">
        <w:separator/>
      </w:r>
    </w:p>
  </w:footnote>
  <w:footnote w:type="continuationSeparator" w:id="0">
    <w:p w14:paraId="01D40469" w14:textId="77777777" w:rsidR="003462FF" w:rsidRPr="00960821" w:rsidRDefault="003462FF">
      <w:r w:rsidRPr="00960821">
        <w:continuationSeparator/>
      </w:r>
    </w:p>
  </w:footnote>
  <w:footnote w:id="1">
    <w:p w14:paraId="74926E22" w14:textId="4AAF5B7F" w:rsidR="00362AC1" w:rsidRPr="00960821" w:rsidRDefault="00362AC1" w:rsidP="00960821">
      <w:pPr>
        <w:pStyle w:val="FootnoteText"/>
        <w:ind w:left="567" w:hanging="567"/>
        <w:rPr>
          <w:sz w:val="24"/>
          <w:lang w:val="nl-NL"/>
        </w:rPr>
      </w:pPr>
      <w:r w:rsidRPr="00960821">
        <w:rPr>
          <w:rStyle w:val="Funotenzeichen"/>
          <w:sz w:val="24"/>
          <w:lang w:val="nl-NL"/>
        </w:rPr>
        <w:footnoteRef/>
      </w:r>
      <w:r w:rsidR="00960821" w:rsidRPr="00960821">
        <w:rPr>
          <w:sz w:val="24"/>
          <w:lang w:val="nl-NL"/>
        </w:rPr>
        <w:t xml:space="preserve"> </w:t>
      </w:r>
      <w:r w:rsidR="00960821" w:rsidRPr="00960821">
        <w:rPr>
          <w:sz w:val="24"/>
          <w:lang w:val="nl-NL"/>
        </w:rPr>
        <w:tab/>
      </w:r>
      <w:r w:rsidRPr="00960821">
        <w:rPr>
          <w:sz w:val="24"/>
          <w:lang w:val="nl-NL"/>
        </w:rPr>
        <w:t xml:space="preserve">PB L 268 van 18.10.2003, blz. 1, ELI: </w:t>
      </w:r>
      <w:hyperlink r:id="rId1" w:tooltip="Geeft toegang tot dit document via de ELI URI." w:history="1">
        <w:r w:rsidRPr="00960821">
          <w:rPr>
            <w:rStyle w:val="Hyperlink"/>
            <w:sz w:val="24"/>
            <w:lang w:val="nl-NL"/>
          </w:rPr>
          <w:t>http://data.europa.eu/eli/reg/2003/1829/oj</w:t>
        </w:r>
      </w:hyperlink>
      <w:r w:rsidRPr="00960821">
        <w:rPr>
          <w:sz w:val="24"/>
          <w:lang w:val="nl-NL"/>
        </w:rPr>
        <w:t>.</w:t>
      </w:r>
    </w:p>
  </w:footnote>
  <w:footnote w:id="2">
    <w:p w14:paraId="3098111A" w14:textId="129F4D50" w:rsidR="00362AC1" w:rsidRPr="00960821" w:rsidRDefault="00362AC1" w:rsidP="00960821">
      <w:pPr>
        <w:pStyle w:val="FootnoteText"/>
        <w:ind w:left="567" w:hanging="567"/>
        <w:rPr>
          <w:sz w:val="24"/>
          <w:lang w:val="nl-NL"/>
        </w:rPr>
      </w:pPr>
      <w:r w:rsidRPr="00960821">
        <w:rPr>
          <w:rStyle w:val="Funotenzeichen"/>
          <w:sz w:val="24"/>
          <w:lang w:val="nl-NL"/>
        </w:rPr>
        <w:footnoteRef/>
      </w:r>
      <w:bookmarkStart w:id="9" w:name="_Hlk210663104_Kopie_1"/>
      <w:r w:rsidR="00960821" w:rsidRPr="00960821">
        <w:rPr>
          <w:sz w:val="24"/>
          <w:lang w:val="nl-NL"/>
        </w:rPr>
        <w:t xml:space="preserve"> </w:t>
      </w:r>
      <w:r w:rsidR="00960821" w:rsidRPr="00960821">
        <w:rPr>
          <w:sz w:val="24"/>
          <w:lang w:val="nl-NL"/>
        </w:rPr>
        <w:tab/>
      </w:r>
      <w:r w:rsidRPr="00960821">
        <w:rPr>
          <w:sz w:val="24"/>
          <w:lang w:val="nl-NL"/>
        </w:rPr>
        <w:t xml:space="preserve">PB L 55 van 28.2.2011, blz. 13, ELI: </w:t>
      </w:r>
      <w:hyperlink r:id="rId2">
        <w:r w:rsidRPr="00960821">
          <w:rPr>
            <w:rStyle w:val="Hyperlink"/>
            <w:sz w:val="24"/>
            <w:lang w:val="nl-NL"/>
          </w:rPr>
          <w:t>http://data.europa.eu/eli/reg/2011/182/oj</w:t>
        </w:r>
      </w:hyperlink>
      <w:r w:rsidRPr="00960821">
        <w:rPr>
          <w:sz w:val="24"/>
          <w:lang w:val="nl-NL"/>
        </w:rPr>
        <w:t>.</w:t>
      </w:r>
      <w:bookmarkEnd w:id="9"/>
    </w:p>
  </w:footnote>
  <w:footnote w:id="3">
    <w:p w14:paraId="54D4EAEF" w14:textId="03BB89E3" w:rsidR="00362AC1" w:rsidRPr="00960821" w:rsidRDefault="00362AC1" w:rsidP="00960821">
      <w:pPr>
        <w:pStyle w:val="FootnoteText"/>
        <w:ind w:left="567" w:hanging="567"/>
        <w:rPr>
          <w:sz w:val="24"/>
          <w:lang w:val="nl-NL"/>
        </w:rPr>
      </w:pPr>
      <w:r w:rsidRPr="00960821">
        <w:rPr>
          <w:rStyle w:val="Funotenzeichen"/>
          <w:sz w:val="24"/>
          <w:lang w:val="nl-NL"/>
        </w:rPr>
        <w:footnoteRef/>
      </w:r>
      <w:r w:rsidR="00960821" w:rsidRPr="00960821">
        <w:rPr>
          <w:sz w:val="24"/>
          <w:lang w:val="nl-NL"/>
        </w:rPr>
        <w:t xml:space="preserve"> </w:t>
      </w:r>
      <w:r w:rsidR="00960821" w:rsidRPr="00960821">
        <w:rPr>
          <w:sz w:val="24"/>
          <w:lang w:val="nl-NL"/>
        </w:rPr>
        <w:tab/>
      </w:r>
      <w:r w:rsidRPr="00960821">
        <w:rPr>
          <w:sz w:val="24"/>
          <w:lang w:val="nl-NL"/>
        </w:rPr>
        <w:t xml:space="preserve">Wetenschappelijk advies van het EFSA-panel voor genetisch gemodificeerde organismen getiteld “Assessment of genetically modified soybean MON 94637 (application GMFF-2023-21116)”, EFSA Journal 2025; 23(10):e9581, </w:t>
      </w:r>
      <w:hyperlink r:id="rId3">
        <w:r w:rsidRPr="00960821">
          <w:rPr>
            <w:rStyle w:val="Hyperlink"/>
            <w:sz w:val="24"/>
            <w:lang w:val="nl-NL"/>
          </w:rPr>
          <w:t>https://doi.org/10.2903/j.efsa.2025.9581</w:t>
        </w:r>
      </w:hyperlink>
      <w:r w:rsidRPr="00960821">
        <w:rPr>
          <w:rStyle w:val="Hyperlink"/>
          <w:sz w:val="24"/>
          <w:lang w:val="nl-NL"/>
        </w:rPr>
        <w:t>.</w:t>
      </w:r>
    </w:p>
  </w:footnote>
  <w:footnote w:id="4">
    <w:p w14:paraId="0745C086" w14:textId="44F26A56" w:rsidR="00362AC1" w:rsidRPr="00960821" w:rsidRDefault="00362AC1" w:rsidP="00960821">
      <w:pPr>
        <w:pStyle w:val="FootnoteText"/>
        <w:ind w:left="567" w:hanging="567"/>
        <w:rPr>
          <w:color w:val="000000" w:themeColor="text1"/>
          <w:sz w:val="24"/>
          <w:vertAlign w:val="superscript"/>
          <w:lang w:val="nl-NL"/>
        </w:rPr>
      </w:pPr>
      <w:r w:rsidRPr="00960821">
        <w:rPr>
          <w:rStyle w:val="Funotenzeichen"/>
          <w:sz w:val="24"/>
          <w:lang w:val="nl-NL"/>
        </w:rPr>
        <w:footnoteRef/>
      </w:r>
      <w:r w:rsidR="00960821" w:rsidRPr="00960821">
        <w:rPr>
          <w:sz w:val="24"/>
          <w:lang w:val="nl-NL"/>
        </w:rPr>
        <w:t xml:space="preserve"> </w:t>
      </w:r>
      <w:r w:rsidR="00960821" w:rsidRPr="00960821">
        <w:rPr>
          <w:sz w:val="24"/>
          <w:lang w:val="nl-NL"/>
        </w:rPr>
        <w:tab/>
      </w:r>
      <w:r w:rsidRPr="00960821">
        <w:rPr>
          <w:sz w:val="24"/>
          <w:lang w:val="nl-NL"/>
        </w:rPr>
        <w:t>Het Parlement heeft in de achtste zittingsperiode 36, en in de negende zittingsperiode 38 resoluties aangenomen waarin bezwaar wordt gemaakt tegen het verlenen van vergunningen voor ggo’s.</w:t>
      </w:r>
      <w:r w:rsidRPr="00960821">
        <w:rPr>
          <w:color w:val="000000" w:themeColor="text1"/>
          <w:sz w:val="24"/>
          <w:lang w:val="nl-NL"/>
        </w:rPr>
        <w:t xml:space="preserve"> Voorts heeft het Parlement in de tiende zittingsperiode de volgende resoluties aangenomen:</w:t>
      </w:r>
    </w:p>
    <w:p w14:paraId="19F78529" w14:textId="22E63FAF"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r w:rsidR="00362AC1" w:rsidRPr="00960821">
          <w:rPr>
            <w:rStyle w:val="Hyperlink"/>
            <w:sz w:val="24"/>
            <w:lang w:val="nl-NL"/>
          </w:rPr>
          <w:t>http://data.europa.eu/eli/C/2025/1797/oj</w:t>
        </w:r>
      </w:hyperlink>
      <w:r w:rsidR="00362AC1" w:rsidRPr="00960821">
        <w:rPr>
          <w:color w:val="000000" w:themeColor="text1"/>
          <w:sz w:val="24"/>
          <w:lang w:val="nl-NL"/>
        </w:rPr>
        <w:t>).</w:t>
      </w:r>
    </w:p>
    <w:p w14:paraId="47BC3D60" w14:textId="7625D943"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r w:rsidR="00362AC1" w:rsidRPr="00960821">
          <w:rPr>
            <w:rStyle w:val="Hyperlink"/>
            <w:sz w:val="24"/>
            <w:lang w:val="nl-NL"/>
          </w:rPr>
          <w:t>http://data.europa.eu/eli/C/2025/1798/oj</w:t>
        </w:r>
      </w:hyperlink>
      <w:r w:rsidR="00362AC1" w:rsidRPr="00960821">
        <w:rPr>
          <w:color w:val="000000" w:themeColor="text1"/>
          <w:sz w:val="24"/>
          <w:lang w:val="nl-NL"/>
        </w:rPr>
        <w:t>).</w:t>
      </w:r>
    </w:p>
    <w:p w14:paraId="1B8B70A8" w14:textId="250CE47D"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(PB C, C/2025/1799, 4.4.2025, ELI: </w:t>
      </w:r>
      <w:hyperlink r:id="rId6">
        <w:r w:rsidR="00362AC1" w:rsidRPr="00960821">
          <w:rPr>
            <w:rStyle w:val="Hyperlink"/>
            <w:sz w:val="24"/>
            <w:lang w:val="nl-NL"/>
          </w:rPr>
          <w:t>http://data.europa.eu/eli/C/2025/1799/oj</w:t>
        </w:r>
      </w:hyperlink>
      <w:r w:rsidR="00362AC1" w:rsidRPr="00960821">
        <w:rPr>
          <w:color w:val="000000" w:themeColor="text1"/>
          <w:sz w:val="24"/>
          <w:lang w:val="nl-NL"/>
        </w:rPr>
        <w:t>).</w:t>
      </w:r>
    </w:p>
    <w:p w14:paraId="4F6D9C45" w14:textId="7AA660B4"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maïs MON 810 overeenkomstig Verordening (EG) nr. 1829/2003 van het Europees Parlement en de Raad en tot intrekking van Uitvoeringsbesluit (EU) 2017/1207 van de Commissie (PB C, C/2025/1800, 4.4.2025, ELI: </w:t>
      </w:r>
      <w:hyperlink r:id="rId7">
        <w:r w:rsidR="00362AC1" w:rsidRPr="00960821">
          <w:rPr>
            <w:rStyle w:val="Hyperlink"/>
            <w:sz w:val="24"/>
            <w:lang w:val="nl-NL"/>
          </w:rPr>
          <w:t>http://data.europa.eu/eli/C/2025/1800/oj</w:t>
        </w:r>
      </w:hyperlink>
      <w:r w:rsidR="00362AC1" w:rsidRPr="00960821">
        <w:rPr>
          <w:color w:val="000000" w:themeColor="text1"/>
          <w:sz w:val="24"/>
          <w:lang w:val="nl-NL"/>
        </w:rPr>
        <w:t>).</w:t>
      </w:r>
    </w:p>
    <w:p w14:paraId="3B10E898" w14:textId="5BD8DCAA"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r w:rsidR="00362AC1" w:rsidRPr="00960821">
          <w:rPr>
            <w:rStyle w:val="Hyperlink"/>
            <w:sz w:val="24"/>
            <w:lang w:val="nl-NL"/>
          </w:rPr>
          <w:t>http://data.europa.eu/eli/C/2025/1801/oj</w:t>
        </w:r>
      </w:hyperlink>
      <w:r w:rsidR="00362AC1" w:rsidRPr="00960821">
        <w:rPr>
          <w:color w:val="000000" w:themeColor="text1"/>
          <w:sz w:val="24"/>
          <w:lang w:val="nl-NL"/>
        </w:rPr>
        <w:t>).</w:t>
      </w:r>
    </w:p>
    <w:p w14:paraId="12B7EDC8" w14:textId="365E6F66"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Resolutie van het Europees Parlement van 26 november 2024 over Uitvoeringsbesluit (E</w:t>
      </w:r>
      <w:r w:rsidR="00307574">
        <w:rPr>
          <w:color w:val="000000" w:themeColor="text1"/>
          <w:sz w:val="24"/>
          <w:lang w:val="nl-NL"/>
        </w:rPr>
        <w:t>U</w:t>
      </w:r>
      <w:r w:rsidR="00362AC1" w:rsidRPr="00960821">
        <w:rPr>
          <w:color w:val="000000" w:themeColor="text1"/>
          <w:sz w:val="24"/>
          <w:lang w:val="nl-NL"/>
        </w:rPr>
        <w:t xml:space="preserve">)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 4.4.2025, ELI: </w:t>
      </w:r>
      <w:hyperlink r:id="rId9">
        <w:r w:rsidR="00362AC1" w:rsidRPr="00960821">
          <w:rPr>
            <w:rStyle w:val="Hyperlink"/>
            <w:sz w:val="24"/>
            <w:lang w:val="nl-NL"/>
          </w:rPr>
          <w:t>http://data.europa.eu/eli/C/2025/1802/oj</w:t>
        </w:r>
      </w:hyperlink>
      <w:r w:rsidR="00362AC1" w:rsidRPr="00960821">
        <w:rPr>
          <w:color w:val="000000" w:themeColor="text1"/>
          <w:sz w:val="24"/>
          <w:lang w:val="nl-NL"/>
        </w:rPr>
        <w:t>).</w:t>
      </w:r>
    </w:p>
    <w:p w14:paraId="3529CDF9" w14:textId="056B92BD"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r w:rsidR="00362AC1" w:rsidRPr="00960821">
          <w:rPr>
            <w:rStyle w:val="Hyperlink"/>
            <w:sz w:val="24"/>
            <w:lang w:val="nl-NL"/>
          </w:rPr>
          <w:t>http://data.europa.eu/eli/C/2025/1803/oj</w:t>
        </w:r>
      </w:hyperlink>
      <w:r w:rsidR="00362AC1" w:rsidRPr="00960821">
        <w:rPr>
          <w:color w:val="000000" w:themeColor="text1"/>
          <w:sz w:val="24"/>
          <w:lang w:val="nl-NL"/>
        </w:rPr>
        <w:t>).</w:t>
      </w:r>
    </w:p>
    <w:p w14:paraId="1FCFABC4" w14:textId="0AE913E3" w:rsidR="00362AC1" w:rsidRPr="00960821" w:rsidRDefault="00960821" w:rsidP="00960821">
      <w:pPr>
        <w:pStyle w:val="FootnoteText"/>
        <w:ind w:left="567" w:hanging="567"/>
        <w:rPr>
          <w:color w:val="000000" w:themeColor="text1"/>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t xml:space="preserve">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r w:rsidR="00362AC1" w:rsidRPr="00960821">
          <w:rPr>
            <w:rStyle w:val="Hyperlink"/>
            <w:sz w:val="24"/>
            <w:lang w:val="nl-NL"/>
          </w:rPr>
          <w:t>http://data.europa.eu/eli/C/2025/1804/oj</w:t>
        </w:r>
      </w:hyperlink>
      <w:r w:rsidR="00362AC1" w:rsidRPr="00960821">
        <w:rPr>
          <w:color w:val="000000" w:themeColor="text1"/>
          <w:sz w:val="24"/>
          <w:lang w:val="nl-NL"/>
        </w:rPr>
        <w:t>).</w:t>
      </w:r>
    </w:p>
    <w:p w14:paraId="7CFD3DAA" w14:textId="2AAC99EC" w:rsidR="00362AC1" w:rsidRPr="00960821" w:rsidRDefault="00960821" w:rsidP="00960821">
      <w:pPr>
        <w:pStyle w:val="FootnoteText"/>
        <w:ind w:left="567" w:hanging="567"/>
        <w:rPr>
          <w:sz w:val="24"/>
          <w:vertAlign w:val="superscript"/>
          <w:lang w:val="nl-NL"/>
        </w:rPr>
      </w:pPr>
      <w:r w:rsidRPr="00960821">
        <w:rPr>
          <w:color w:val="000000" w:themeColor="text1"/>
          <w:sz w:val="24"/>
          <w:lang w:val="nl-NL"/>
        </w:rPr>
        <w:t xml:space="preserve"> </w:t>
      </w:r>
      <w:r w:rsidRPr="00960821">
        <w:rPr>
          <w:color w:val="000000" w:themeColor="text1"/>
          <w:sz w:val="24"/>
          <w:lang w:val="nl-NL"/>
        </w:rPr>
        <w:tab/>
      </w:r>
      <w:r w:rsidR="00362AC1" w:rsidRPr="00960821">
        <w:rPr>
          <w:color w:val="000000" w:themeColor="text1"/>
          <w:sz w:val="24"/>
          <w:lang w:val="nl-NL"/>
        </w:rPr>
        <w:t>–</w:t>
      </w:r>
      <w:r w:rsidR="00362AC1" w:rsidRPr="00960821">
        <w:rPr>
          <w:color w:val="000000" w:themeColor="text1"/>
          <w:sz w:val="24"/>
          <w:lang w:val="nl-NL"/>
        </w:rPr>
        <w:tab/>
      </w:r>
      <w:r w:rsidR="00362AC1" w:rsidRPr="00960821">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 29.4.2025, ELI: </w:t>
      </w:r>
      <w:hyperlink r:id="rId12" w:tooltip="Geeft toegang tot dit document via de ELI URI.">
        <w:r w:rsidR="00362AC1" w:rsidRPr="00960821">
          <w:rPr>
            <w:rStyle w:val="Hyperlink"/>
            <w:sz w:val="24"/>
            <w:lang w:val="nl-NL"/>
          </w:rPr>
          <w:t>http://data.europa.eu/eli/C/2025/2246/oj</w:t>
        </w:r>
      </w:hyperlink>
      <w:r w:rsidR="00362AC1" w:rsidRPr="00960821">
        <w:rPr>
          <w:sz w:val="24"/>
          <w:lang w:val="nl-NL"/>
        </w:rPr>
        <w:t>).</w:t>
      </w:r>
    </w:p>
    <w:p w14:paraId="1A339D31" w14:textId="3A99BDE3"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 29.4.2025, ELI: </w:t>
      </w:r>
      <w:hyperlink r:id="rId13" w:tooltip="Geeft toegang tot dit document via de ELI URI.">
        <w:r w:rsidR="00362AC1" w:rsidRPr="00960821">
          <w:rPr>
            <w:rStyle w:val="Hyperlink"/>
            <w:sz w:val="24"/>
            <w:lang w:val="nl-NL"/>
          </w:rPr>
          <w:t>http://data.europa.eu/eli/C/2025/2247/oj</w:t>
        </w:r>
      </w:hyperlink>
      <w:r w:rsidR="00362AC1" w:rsidRPr="00960821">
        <w:rPr>
          <w:sz w:val="24"/>
          <w:lang w:val="nl-NL"/>
        </w:rPr>
        <w:t>).</w:t>
      </w:r>
    </w:p>
    <w:p w14:paraId="49223326" w14:textId="37168E6C"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(PB C, C/2026/586, 24.2.2026, ELI: </w:t>
      </w:r>
      <w:hyperlink r:id="rId14" w:tooltip="Geeft toegang tot dit document via de ELI URI." w:history="1">
        <w:r w:rsidR="00362AC1" w:rsidRPr="00960821">
          <w:rPr>
            <w:rStyle w:val="Hyperlink"/>
            <w:sz w:val="24"/>
            <w:lang w:val="nl-NL"/>
          </w:rPr>
          <w:t>http://data.europa.eu/eli/C/2026/586/oj</w:t>
        </w:r>
      </w:hyperlink>
      <w:r w:rsidR="00362AC1" w:rsidRPr="00960821">
        <w:rPr>
          <w:sz w:val="24"/>
          <w:lang w:val="nl-NL"/>
        </w:rPr>
        <w:t>).</w:t>
      </w:r>
    </w:p>
    <w:p w14:paraId="4011042F" w14:textId="7762A0B8"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(Aangenomen teksten, P10_TA(2025)0222).</w:t>
      </w:r>
    </w:p>
    <w:p w14:paraId="67DA4E92" w14:textId="1DBCAABB"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(Aangenomen teksten, P10_TA(2025)0288).</w:t>
      </w:r>
    </w:p>
    <w:p w14:paraId="3D052C87" w14:textId="69EE9362"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(Aangenomen teksten, P10_TA(2025)0289).</w:t>
      </w:r>
    </w:p>
    <w:p w14:paraId="0A8A09B1" w14:textId="00991370"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(Aangenomen teksten, P10_TA(2025)0290).</w:t>
      </w:r>
    </w:p>
    <w:p w14:paraId="6CA28C30" w14:textId="0B8B5455"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(Aangenomen teksten, P10_TA(2025)0291).</w:t>
      </w:r>
    </w:p>
    <w:p w14:paraId="32E8F2D1" w14:textId="7B2EED89"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(Aangenomen teksten, P10_TA(2025)0292).</w:t>
      </w:r>
    </w:p>
    <w:p w14:paraId="2DB80CA0" w14:textId="525B9000"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(Aangenomen teksten, P10_TA(2025)0327).</w:t>
      </w:r>
    </w:p>
    <w:p w14:paraId="08C921A8" w14:textId="1DB02F89"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(Aangenomen teksten, P10_TA(2025)0328).</w:t>
      </w:r>
    </w:p>
    <w:p w14:paraId="271CE11B" w14:textId="0B1C64F4"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11 februari 2026 over het ontwerp van uitvoeringsbesluit van de Commissie tot verlening van een vergunning voor het in de handel brengen van producten die geheel of gedeeltelijk bestaan uit of zijn geproduceerd met de genetisch gemodificeerde soja DBN-09004-6 overeenkomstig Verordening (EG) nr. 1829/2003 van het Europees Parlement en de Raad (Aangenomen teksten, P10_TA(2026)0041).</w:t>
      </w:r>
    </w:p>
    <w:p w14:paraId="19F48FB2" w14:textId="5B59915F"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de genetisch gemodificeerde mais T25 (ACS-ZMØØ3-2) overeenkomstig Verordening (EG) nr. 1829/2003 van het Europees Parlement en de Raad (Aangenomen teksten, P10_TA(2026)0042).</w:t>
      </w:r>
    </w:p>
    <w:p w14:paraId="56394CB2" w14:textId="162AD436" w:rsidR="00362AC1" w:rsidRPr="00960821" w:rsidRDefault="00960821" w:rsidP="00960821">
      <w:pPr>
        <w:pStyle w:val="FootnoteText"/>
        <w:ind w:left="567" w:hanging="567"/>
        <w:rPr>
          <w:sz w:val="24"/>
          <w:vertAlign w:val="superscript"/>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GHB614 × LLCotton25 overeenkomstig Verordening (EG) nr. 1829/2003 van het Europees Parlement en de Raad (Aangenomen teksten, P10_TA(2026)0043).</w:t>
      </w:r>
    </w:p>
    <w:p w14:paraId="6F4028DF" w14:textId="041BE846" w:rsidR="00362AC1" w:rsidRPr="00960821" w:rsidRDefault="00960821" w:rsidP="00960821">
      <w:pPr>
        <w:pStyle w:val="FootnoteText"/>
        <w:ind w:left="567" w:hanging="567"/>
        <w:rPr>
          <w:sz w:val="24"/>
          <w:lang w:val="nl-NL"/>
        </w:rPr>
      </w:pPr>
      <w:r w:rsidRPr="00960821">
        <w:rPr>
          <w:sz w:val="24"/>
          <w:lang w:val="nl-NL"/>
        </w:rPr>
        <w:t xml:space="preserve"> </w:t>
      </w:r>
      <w:r w:rsidRPr="00960821">
        <w:rPr>
          <w:sz w:val="24"/>
          <w:lang w:val="nl-NL"/>
        </w:rPr>
        <w:tab/>
      </w:r>
      <w:r w:rsidR="00362AC1" w:rsidRPr="00960821">
        <w:rPr>
          <w:sz w:val="24"/>
          <w:lang w:val="nl-NL"/>
        </w:rPr>
        <w:t>–</w:t>
      </w:r>
      <w:r w:rsidR="00362AC1" w:rsidRPr="00960821">
        <w:rPr>
          <w:sz w:val="24"/>
          <w:lang w:val="nl-NL"/>
        </w:rPr>
        <w:tab/>
        <w:t>Resolutie van het Europees Parlement van 11 februari 2026 over het ontwerp van uitvoeringsbesluit van de Commissie tot verlenging van de vergunning voor het in de handel brengen van producten die geheel of gedeeltelijk bestaan uit of zijn geproduceerd met genetisch gemodificeerd katoen T304-40 overeenkomstig Verordening (EG) nr. 1829/2003 van het Europees Parlement en de Raad (Aangenomen teksten, P10_TA(2026)0044).</w:t>
      </w:r>
    </w:p>
  </w:footnote>
  <w:footnote w:id="5">
    <w:p w14:paraId="0B6CD58C" w14:textId="49744B33" w:rsidR="00362AC1" w:rsidRPr="005C25AC" w:rsidRDefault="00362AC1" w:rsidP="00960821">
      <w:pPr>
        <w:pStyle w:val="FootnoteText"/>
        <w:ind w:left="567" w:hanging="567"/>
        <w:rPr>
          <w:sz w:val="24"/>
          <w:lang w:val="en-GB"/>
        </w:rPr>
      </w:pPr>
      <w:r w:rsidRPr="00960821">
        <w:rPr>
          <w:rStyle w:val="FootnoteReference"/>
          <w:sz w:val="24"/>
          <w:lang w:val="nl-NL"/>
        </w:rPr>
        <w:footnoteRef/>
      </w:r>
      <w:r w:rsidR="00960821" w:rsidRPr="00960821">
        <w:rPr>
          <w:sz w:val="24"/>
          <w:lang w:val="nl-NL"/>
        </w:rPr>
        <w:t xml:space="preserve"> </w:t>
      </w:r>
      <w:r w:rsidR="00960821" w:rsidRPr="00960821">
        <w:rPr>
          <w:sz w:val="24"/>
          <w:lang w:val="nl-NL"/>
        </w:rPr>
        <w:tab/>
      </w:r>
      <w:r w:rsidRPr="00960821">
        <w:rPr>
          <w:sz w:val="24"/>
          <w:lang w:val="nl-NL"/>
        </w:rPr>
        <w:t xml:space="preserve">Chen, D., Moar, W.J., Jerga, A., Gowda, A., Milligan, J.S., Bretsynder, E.C., Rydel, T.J., Baum, J.A., Semeao, A., Fu, S., Guzov, V., Gabbert, K., Head, P.H., Haas, J.A. (2021), </w:t>
      </w:r>
      <w:r w:rsidRPr="00960821">
        <w:rPr>
          <w:sz w:val="24"/>
          <w:shd w:val="clear" w:color="auto" w:fill="FFFFFF"/>
          <w:lang w:val="nl-NL"/>
        </w:rPr>
        <w:t>‘</w:t>
      </w:r>
      <w:r w:rsidRPr="00960821">
        <w:rPr>
          <w:i/>
          <w:sz w:val="24"/>
          <w:lang w:val="nl-NL"/>
        </w:rPr>
        <w:t>Bacillus thuringiensis</w:t>
      </w:r>
      <w:r w:rsidRPr="00960821">
        <w:rPr>
          <w:sz w:val="24"/>
          <w:lang w:val="nl-NL"/>
        </w:rPr>
        <w:t xml:space="preserve"> chimeric proteins Cry1A. </w:t>
      </w:r>
      <w:r w:rsidRPr="005C25AC">
        <w:rPr>
          <w:sz w:val="24"/>
          <w:lang w:val="en-GB"/>
        </w:rPr>
        <w:t>2 and Cry1B. 2 to control soybean lepidopteran pests: New domain combinations enhance insecticidal spectrum of activity and novel receptor contributions</w:t>
      </w:r>
      <w:r w:rsidRPr="005C25AC">
        <w:rPr>
          <w:sz w:val="24"/>
          <w:shd w:val="clear" w:color="auto" w:fill="FFFFFF"/>
          <w:lang w:val="en-GB"/>
        </w:rPr>
        <w:t>’,</w:t>
      </w:r>
      <w:r w:rsidRPr="005C25AC">
        <w:rPr>
          <w:sz w:val="24"/>
          <w:lang w:val="en-GB"/>
        </w:rPr>
        <w:t xml:space="preserve"> </w:t>
      </w:r>
      <w:r w:rsidRPr="005C25AC">
        <w:rPr>
          <w:i/>
          <w:sz w:val="24"/>
          <w:lang w:val="en-GB"/>
        </w:rPr>
        <w:t>PLoS One</w:t>
      </w:r>
      <w:r w:rsidRPr="005C25AC">
        <w:rPr>
          <w:sz w:val="24"/>
          <w:lang w:val="en-GB"/>
        </w:rPr>
        <w:t xml:space="preserve">, June 2017, 16(6), e0249150, </w:t>
      </w:r>
      <w:hyperlink r:id="rId15" w:history="1">
        <w:r w:rsidRPr="005C25AC">
          <w:rPr>
            <w:rStyle w:val="Hyperlink"/>
            <w:sz w:val="24"/>
            <w:lang w:val="en-GB"/>
          </w:rPr>
          <w:t>https://doi.org/10.1371/journal.pone.0249150</w:t>
        </w:r>
      </w:hyperlink>
      <w:r w:rsidRPr="005C25AC">
        <w:rPr>
          <w:rStyle w:val="Hyperlink"/>
          <w:sz w:val="24"/>
          <w:lang w:val="en-GB"/>
        </w:rPr>
        <w:t>.</w:t>
      </w:r>
    </w:p>
  </w:footnote>
  <w:footnote w:id="6">
    <w:p w14:paraId="694909F0" w14:textId="6D81F57C" w:rsidR="00362AC1" w:rsidRPr="00960821" w:rsidRDefault="00362AC1" w:rsidP="00960821">
      <w:pPr>
        <w:pStyle w:val="FootnoteText"/>
        <w:ind w:left="567" w:hanging="567"/>
        <w:rPr>
          <w:sz w:val="24"/>
          <w:lang w:val="nl-NL"/>
        </w:rPr>
      </w:pPr>
      <w:r w:rsidRPr="00960821">
        <w:rPr>
          <w:rStyle w:val="Funotenzeichen"/>
          <w:sz w:val="24"/>
          <w:lang w:val="nl-NL"/>
        </w:rPr>
        <w:footnoteRef/>
      </w:r>
      <w:r w:rsidR="00960821" w:rsidRPr="00960821">
        <w:rPr>
          <w:sz w:val="24"/>
          <w:lang w:val="nl-NL"/>
        </w:rPr>
        <w:t xml:space="preserve"> </w:t>
      </w:r>
      <w:r w:rsidR="00960821" w:rsidRPr="00960821">
        <w:rPr>
          <w:sz w:val="24"/>
          <w:lang w:val="nl-NL"/>
        </w:rPr>
        <w:tab/>
      </w:r>
      <w:r w:rsidRPr="00960821">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6" w:tgtFrame="Gives%20access%20to%20this%20document%20through%20its%20ELI%20URI.">
        <w:r w:rsidRPr="00960821">
          <w:rPr>
            <w:rStyle w:val="Hyperlink"/>
            <w:sz w:val="24"/>
            <w:lang w:val="nl-NL"/>
          </w:rPr>
          <w:t>http://data.europa.eu/eli/reg/2002/178/oj</w:t>
        </w:r>
      </w:hyperlink>
      <w:r w:rsidRPr="0096082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80F4" w14:textId="77777777" w:rsidR="00064002" w:rsidRPr="009608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776C" w14:textId="77777777" w:rsidR="00064002" w:rsidRPr="009608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E60E" w14:textId="77777777" w:rsidR="00064002" w:rsidRPr="009608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1770271">
    <w:abstractNumId w:val="9"/>
  </w:num>
  <w:num w:numId="2" w16cid:durableId="36976980">
    <w:abstractNumId w:val="9"/>
  </w:num>
  <w:num w:numId="3" w16cid:durableId="1872500326">
    <w:abstractNumId w:val="7"/>
  </w:num>
  <w:num w:numId="4" w16cid:durableId="1023747657">
    <w:abstractNumId w:val="7"/>
  </w:num>
  <w:num w:numId="5" w16cid:durableId="1440296100">
    <w:abstractNumId w:val="6"/>
  </w:num>
  <w:num w:numId="6" w16cid:durableId="1125080504">
    <w:abstractNumId w:val="6"/>
  </w:num>
  <w:num w:numId="7" w16cid:durableId="2011366894">
    <w:abstractNumId w:val="5"/>
  </w:num>
  <w:num w:numId="8" w16cid:durableId="1812941542">
    <w:abstractNumId w:val="5"/>
  </w:num>
  <w:num w:numId="9" w16cid:durableId="1305046788">
    <w:abstractNumId w:val="4"/>
  </w:num>
  <w:num w:numId="10" w16cid:durableId="2110932885">
    <w:abstractNumId w:val="4"/>
  </w:num>
  <w:num w:numId="11" w16cid:durableId="1826701092">
    <w:abstractNumId w:val="8"/>
  </w:num>
  <w:num w:numId="12" w16cid:durableId="1690140379">
    <w:abstractNumId w:val="8"/>
  </w:num>
  <w:num w:numId="13" w16cid:durableId="1436754703">
    <w:abstractNumId w:val="3"/>
  </w:num>
  <w:num w:numId="14" w16cid:durableId="1249653752">
    <w:abstractNumId w:val="3"/>
  </w:num>
  <w:num w:numId="15" w16cid:durableId="1989630312">
    <w:abstractNumId w:val="2"/>
  </w:num>
  <w:num w:numId="16" w16cid:durableId="872767947">
    <w:abstractNumId w:val="2"/>
  </w:num>
  <w:num w:numId="17" w16cid:durableId="1304853234">
    <w:abstractNumId w:val="1"/>
  </w:num>
  <w:num w:numId="18" w16cid:durableId="815688168">
    <w:abstractNumId w:val="1"/>
  </w:num>
  <w:num w:numId="19" w16cid:durableId="165052212">
    <w:abstractNumId w:val="0"/>
  </w:num>
  <w:num w:numId="20" w16cid:durableId="1572274246">
    <w:abstractNumId w:val="0"/>
  </w:num>
  <w:num w:numId="21" w16cid:durableId="1158113999">
    <w:abstractNumId w:val="9"/>
  </w:num>
  <w:num w:numId="22" w16cid:durableId="2060855923">
    <w:abstractNumId w:val="7"/>
  </w:num>
  <w:num w:numId="23" w16cid:durableId="238950189">
    <w:abstractNumId w:val="6"/>
  </w:num>
  <w:num w:numId="24" w16cid:durableId="447893210">
    <w:abstractNumId w:val="5"/>
  </w:num>
  <w:num w:numId="25" w16cid:durableId="2127039912">
    <w:abstractNumId w:val="4"/>
  </w:num>
  <w:num w:numId="26" w16cid:durableId="763385319">
    <w:abstractNumId w:val="8"/>
  </w:num>
  <w:num w:numId="27" w16cid:durableId="445852634">
    <w:abstractNumId w:val="3"/>
  </w:num>
  <w:num w:numId="28" w16cid:durableId="1876238517">
    <w:abstractNumId w:val="2"/>
  </w:num>
  <w:num w:numId="29" w16cid:durableId="813834445">
    <w:abstractNumId w:val="1"/>
  </w:num>
  <w:num w:numId="30" w16cid:durableId="943541215">
    <w:abstractNumId w:val="0"/>
  </w:num>
  <w:num w:numId="31" w16cid:durableId="1316379891">
    <w:abstractNumId w:val="9"/>
  </w:num>
  <w:num w:numId="32" w16cid:durableId="98646482">
    <w:abstractNumId w:val="7"/>
  </w:num>
  <w:num w:numId="33" w16cid:durableId="1821073894">
    <w:abstractNumId w:val="6"/>
  </w:num>
  <w:num w:numId="34" w16cid:durableId="196234767">
    <w:abstractNumId w:val="5"/>
  </w:num>
  <w:num w:numId="35" w16cid:durableId="1487160259">
    <w:abstractNumId w:val="4"/>
  </w:num>
  <w:num w:numId="36" w16cid:durableId="1398014505">
    <w:abstractNumId w:val="8"/>
  </w:num>
  <w:num w:numId="37" w16cid:durableId="1364676092">
    <w:abstractNumId w:val="3"/>
  </w:num>
  <w:num w:numId="38" w16cid:durableId="273636197">
    <w:abstractNumId w:val="2"/>
  </w:num>
  <w:num w:numId="39" w16cid:durableId="1928882895">
    <w:abstractNumId w:val="1"/>
  </w:num>
  <w:num w:numId="40" w16cid:durableId="2086490370">
    <w:abstractNumId w:val="0"/>
  </w:num>
  <w:num w:numId="41" w16cid:durableId="1574581380">
    <w:abstractNumId w:val="10"/>
  </w:num>
  <w:num w:numId="42" w16cid:durableId="67772377">
    <w:abstractNumId w:val="10"/>
  </w:num>
  <w:num w:numId="43" w16cid:durableId="480540384">
    <w:abstractNumId w:val="10"/>
  </w:num>
  <w:num w:numId="44" w16cid:durableId="883642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NL"/>
    <w:docVar w:name="dvnumam" w:val="0"/>
    <w:docVar w:name="dvpe" w:val="785.406"/>
    <w:docVar w:name="dvtitre" w:val="Resolutie van het Europees Parlement van xx april 2026 over het ontwerp van uitvoeringsbesluit van de Commissie tot verlening van een vergunning voor het in de handel brengen van producten die geheel of gedeeltelijk bestaan uit of zijn geproduceerd met de genetisch gemodificeerde soja MON 94637 overeenkomstig Verordening (EG) nr. 1829/2003 van het Europees Parlement en de Raad(D113501/03 – 2026/2651(RSP))"/>
  </w:docVars>
  <w:rsids>
    <w:rsidRoot w:val="003462FF"/>
    <w:rsid w:val="00002272"/>
    <w:rsid w:val="00064002"/>
    <w:rsid w:val="000677B9"/>
    <w:rsid w:val="000831BA"/>
    <w:rsid w:val="00085FBC"/>
    <w:rsid w:val="000A42CC"/>
    <w:rsid w:val="000B45A4"/>
    <w:rsid w:val="000E7DD9"/>
    <w:rsid w:val="0010095E"/>
    <w:rsid w:val="00125B37"/>
    <w:rsid w:val="00187494"/>
    <w:rsid w:val="001F32AE"/>
    <w:rsid w:val="001F77F4"/>
    <w:rsid w:val="002767FF"/>
    <w:rsid w:val="002B18FE"/>
    <w:rsid w:val="002B5493"/>
    <w:rsid w:val="00307574"/>
    <w:rsid w:val="00343214"/>
    <w:rsid w:val="003462FF"/>
    <w:rsid w:val="00361C00"/>
    <w:rsid w:val="00362AC1"/>
    <w:rsid w:val="00395FA1"/>
    <w:rsid w:val="003E15D4"/>
    <w:rsid w:val="00411CCE"/>
    <w:rsid w:val="0041666E"/>
    <w:rsid w:val="00421060"/>
    <w:rsid w:val="00471C19"/>
    <w:rsid w:val="004867E3"/>
    <w:rsid w:val="00494A28"/>
    <w:rsid w:val="004C0004"/>
    <w:rsid w:val="004C5D52"/>
    <w:rsid w:val="0050519A"/>
    <w:rsid w:val="005072A1"/>
    <w:rsid w:val="0050750A"/>
    <w:rsid w:val="00514517"/>
    <w:rsid w:val="00545827"/>
    <w:rsid w:val="00560270"/>
    <w:rsid w:val="005C2568"/>
    <w:rsid w:val="005C25AC"/>
    <w:rsid w:val="005F1B17"/>
    <w:rsid w:val="006037C0"/>
    <w:rsid w:val="006631B6"/>
    <w:rsid w:val="00680577"/>
    <w:rsid w:val="00695265"/>
    <w:rsid w:val="006F74FA"/>
    <w:rsid w:val="00731ADD"/>
    <w:rsid w:val="00734777"/>
    <w:rsid w:val="00747932"/>
    <w:rsid w:val="00751A4A"/>
    <w:rsid w:val="00756632"/>
    <w:rsid w:val="00762C74"/>
    <w:rsid w:val="00786EC0"/>
    <w:rsid w:val="007D1690"/>
    <w:rsid w:val="007E22AD"/>
    <w:rsid w:val="007E781B"/>
    <w:rsid w:val="00817416"/>
    <w:rsid w:val="00842779"/>
    <w:rsid w:val="00865F67"/>
    <w:rsid w:val="00881A7B"/>
    <w:rsid w:val="008840E5"/>
    <w:rsid w:val="00887B3E"/>
    <w:rsid w:val="008C2AC6"/>
    <w:rsid w:val="00930C23"/>
    <w:rsid w:val="0093193B"/>
    <w:rsid w:val="009509D8"/>
    <w:rsid w:val="00950B64"/>
    <w:rsid w:val="00960821"/>
    <w:rsid w:val="00981893"/>
    <w:rsid w:val="00A1687D"/>
    <w:rsid w:val="00A21498"/>
    <w:rsid w:val="00A43E52"/>
    <w:rsid w:val="00A4678D"/>
    <w:rsid w:val="00A778C7"/>
    <w:rsid w:val="00AB441E"/>
    <w:rsid w:val="00AB6293"/>
    <w:rsid w:val="00AE0928"/>
    <w:rsid w:val="00AF3B82"/>
    <w:rsid w:val="00B12E95"/>
    <w:rsid w:val="00B22876"/>
    <w:rsid w:val="00B558F0"/>
    <w:rsid w:val="00BA42E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0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A0322"/>
  <w15:chartTrackingRefBased/>
  <w15:docId w15:val="{618030C3-2073-4D65-A7E3-C4F6A6DC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362AC1"/>
    <w:pPr>
      <w:spacing w:before="480" w:after="240"/>
    </w:pPr>
  </w:style>
  <w:style w:type="paragraph" w:customStyle="1" w:styleId="NormalHanging12a">
    <w:name w:val="NormalHanging12a"/>
    <w:basedOn w:val="Normal"/>
    <w:qFormat/>
    <w:rsid w:val="00362AC1"/>
    <w:pPr>
      <w:spacing w:after="240"/>
      <w:ind w:left="567" w:hanging="567"/>
    </w:pPr>
  </w:style>
  <w:style w:type="paragraph" w:customStyle="1" w:styleId="NormalBold">
    <w:name w:val="NormalBold"/>
    <w:basedOn w:val="Normal"/>
    <w:qFormat/>
    <w:rsid w:val="00362AC1"/>
    <w:rPr>
      <w:b/>
    </w:rPr>
  </w:style>
  <w:style w:type="character" w:styleId="Hyperlink">
    <w:name w:val="Hyperlink"/>
    <w:basedOn w:val="DefaultParagraphFont"/>
    <w:uiPriority w:val="99"/>
    <w:unhideWhenUsed/>
    <w:rsid w:val="00362AC1"/>
    <w:rPr>
      <w:color w:val="0000FF"/>
      <w:u w:val="single"/>
    </w:rPr>
  </w:style>
  <w:style w:type="character" w:customStyle="1" w:styleId="Funotenzeichen">
    <w:name w:val="Fußnotenzeichen"/>
    <w:basedOn w:val="DefaultParagraphFont"/>
    <w:uiPriority w:val="99"/>
    <w:qFormat/>
    <w:rsid w:val="00362AC1"/>
    <w:rPr>
      <w:rFonts w:cs="Times New Roman"/>
      <w:vertAlign w:val="superscript"/>
    </w:rPr>
  </w:style>
  <w:style w:type="paragraph" w:styleId="NormalWeb">
    <w:name w:val="Normal (Web)"/>
    <w:basedOn w:val="Normal"/>
    <w:uiPriority w:val="99"/>
    <w:unhideWhenUsed/>
    <w:qFormat/>
    <w:rsid w:val="00362AC1"/>
    <w:pPr>
      <w:widowControl/>
      <w:suppressAutoHyphens/>
      <w:spacing w:beforeAutospacing="1" w:afterAutospacing="1"/>
    </w:pPr>
    <w:rPr>
      <w:szCs w:val="24"/>
    </w:rPr>
  </w:style>
  <w:style w:type="paragraph" w:styleId="Revision">
    <w:name w:val="Revision"/>
    <w:hidden/>
    <w:uiPriority w:val="99"/>
    <w:semiHidden/>
    <w:rsid w:val="00BA42E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1249</Words>
  <Characters>7746</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DER VEEN Johan</cp:lastModifiedBy>
  <cp:revision>2</cp:revision>
  <cp:lastPrinted>2004-11-19T15:42:00Z</cp:lastPrinted>
  <dcterms:created xsi:type="dcterms:W3CDTF">2026-05-29T11:29:00Z</dcterms:created>
  <dcterms:modified xsi:type="dcterms:W3CDTF">2026-05-29T11:29:00Z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B10-0186/2026</vt:lpwstr>
  </property>
  <property fmtid="{D5CDD505-2E9C-101B-9397-08002B2CF9AE}" pid="4" name="&lt;Type&gt;">
    <vt:lpwstr>RR</vt:lpwstr>
  </property>
</Properties>
</file>