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5492" w14:paraId="39AAA082" w14:textId="77777777" w:rsidTr="0010095E">
        <w:trPr>
          <w:trHeight w:hRule="exact" w:val="1418"/>
        </w:trPr>
        <w:tc>
          <w:tcPr>
            <w:tcW w:w="6804" w:type="dxa"/>
            <w:shd w:val="clear" w:color="auto" w:fill="auto"/>
            <w:vAlign w:val="center"/>
          </w:tcPr>
          <w:p w14:paraId="768A5F3F" w14:textId="77777777" w:rsidR="00751A4A" w:rsidRPr="009C5492" w:rsidRDefault="005C6BF7" w:rsidP="0010095E">
            <w:pPr>
              <w:pStyle w:val="EPName"/>
            </w:pPr>
            <w:r w:rsidRPr="009C5492">
              <w:t>Parlamentul European</w:t>
            </w:r>
          </w:p>
          <w:p w14:paraId="3574D991" w14:textId="77777777" w:rsidR="00751A4A" w:rsidRPr="009C5492" w:rsidRDefault="005F1B17" w:rsidP="005F1B17">
            <w:pPr>
              <w:pStyle w:val="EPTerm"/>
              <w:rPr>
                <w:rStyle w:val="HideTWBExt"/>
                <w:noProof w:val="0"/>
                <w:vanish w:val="0"/>
                <w:color w:val="auto"/>
              </w:rPr>
            </w:pPr>
            <w:r w:rsidRPr="009C5492">
              <w:t>2024</w:t>
            </w:r>
            <w:r w:rsidR="00817416" w:rsidRPr="009C5492">
              <w:t>-202</w:t>
            </w:r>
            <w:r w:rsidRPr="009C5492">
              <w:t>9</w:t>
            </w:r>
          </w:p>
        </w:tc>
        <w:tc>
          <w:tcPr>
            <w:tcW w:w="2268" w:type="dxa"/>
            <w:shd w:val="clear" w:color="auto" w:fill="auto"/>
          </w:tcPr>
          <w:p w14:paraId="5ECB55E2" w14:textId="77777777" w:rsidR="00751A4A" w:rsidRPr="009C5492" w:rsidRDefault="00187494" w:rsidP="0010095E">
            <w:pPr>
              <w:pStyle w:val="EPLogo"/>
            </w:pPr>
            <w:r w:rsidRPr="009C5492">
              <w:rPr>
                <w:noProof/>
                <w:lang w:eastAsia="ja-JP"/>
              </w:rPr>
              <w:drawing>
                <wp:inline distT="0" distB="0" distL="0" distR="0" wp14:anchorId="0D1C7CB2" wp14:editId="18E874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DC7A29" w14:textId="77777777" w:rsidR="00D058B8" w:rsidRPr="009C5492" w:rsidRDefault="00D058B8" w:rsidP="004C5D52">
      <w:pPr>
        <w:pStyle w:val="LineTop"/>
      </w:pPr>
    </w:p>
    <w:p w14:paraId="6247560D" w14:textId="77777777" w:rsidR="00680577" w:rsidRPr="009C5492" w:rsidRDefault="005C6BF7" w:rsidP="00680577">
      <w:pPr>
        <w:pStyle w:val="EPBodyTA1"/>
      </w:pPr>
      <w:r w:rsidRPr="009C5492">
        <w:t>TEXTE ADOPTATE</w:t>
      </w:r>
    </w:p>
    <w:p w14:paraId="65BD24C9" w14:textId="77777777" w:rsidR="00D058B8" w:rsidRPr="009C5492" w:rsidRDefault="00D058B8" w:rsidP="00D058B8">
      <w:pPr>
        <w:pStyle w:val="LineBottom"/>
      </w:pPr>
    </w:p>
    <w:p w14:paraId="24391AB9" w14:textId="1357A4C8" w:rsidR="005C6BF7" w:rsidRPr="009C5492" w:rsidRDefault="005C6BF7" w:rsidP="005C6BF7">
      <w:pPr>
        <w:pStyle w:val="ATHeading1"/>
      </w:pPr>
      <w:bookmarkStart w:id="0" w:name="TANumber"/>
      <w:r w:rsidRPr="009C5492">
        <w:t>P10_TA(2026)0</w:t>
      </w:r>
      <w:bookmarkEnd w:id="0"/>
      <w:r w:rsidR="009C5492" w:rsidRPr="009C5492">
        <w:t>150</w:t>
      </w:r>
    </w:p>
    <w:p w14:paraId="3DC2EDAB" w14:textId="1137506C" w:rsidR="005C6BF7" w:rsidRPr="009C5492" w:rsidRDefault="0005087F" w:rsidP="005C6BF7">
      <w:pPr>
        <w:pStyle w:val="ATHeading2"/>
      </w:pPr>
      <w:bookmarkStart w:id="1" w:name="title"/>
      <w:r w:rsidRPr="009C5492">
        <w:t>S</w:t>
      </w:r>
      <w:r w:rsidR="005C6BF7" w:rsidRPr="009C5492">
        <w:t>oia modificată genetic MON 94637</w:t>
      </w:r>
      <w:bookmarkEnd w:id="1"/>
    </w:p>
    <w:p w14:paraId="7A249761" w14:textId="77777777" w:rsidR="005C6BF7" w:rsidRPr="009C5492" w:rsidRDefault="005C6BF7" w:rsidP="005C6BF7">
      <w:pPr>
        <w:rPr>
          <w:i/>
          <w:vanish/>
        </w:rPr>
      </w:pPr>
      <w:r w:rsidRPr="009C5492">
        <w:rPr>
          <w:i/>
        </w:rPr>
        <w:fldChar w:fldCharType="begin"/>
      </w:r>
      <w:r w:rsidRPr="009C5492">
        <w:rPr>
          <w:i/>
        </w:rPr>
        <w:instrText xml:space="preserve"> TC"(</w:instrText>
      </w:r>
      <w:bookmarkStart w:id="2" w:name="DocNumber"/>
      <w:r w:rsidRPr="009C5492">
        <w:rPr>
          <w:i/>
        </w:rPr>
        <w:instrText>B10-0186/2026</w:instrText>
      </w:r>
      <w:bookmarkEnd w:id="2"/>
      <w:r w:rsidRPr="009C5492">
        <w:rPr>
          <w:i/>
        </w:rPr>
        <w:instrText xml:space="preserve">)"\l3 \n&gt; \* MERGEFORMAT </w:instrText>
      </w:r>
      <w:r w:rsidRPr="009C5492">
        <w:rPr>
          <w:i/>
        </w:rPr>
        <w:fldChar w:fldCharType="end"/>
      </w:r>
    </w:p>
    <w:p w14:paraId="68D05168" w14:textId="77777777" w:rsidR="005C6BF7" w:rsidRPr="009C5492" w:rsidRDefault="005C6BF7" w:rsidP="005C6BF7">
      <w:pPr>
        <w:rPr>
          <w:vanish/>
        </w:rPr>
      </w:pPr>
      <w:bookmarkStart w:id="3" w:name="PE"/>
      <w:r w:rsidRPr="009C5492">
        <w:rPr>
          <w:vanish/>
        </w:rPr>
        <w:t>PE785.406</w:t>
      </w:r>
      <w:bookmarkEnd w:id="3"/>
    </w:p>
    <w:p w14:paraId="1ACFF5A6" w14:textId="77777777" w:rsidR="005C6BF7" w:rsidRPr="009C5492" w:rsidRDefault="005C6BF7" w:rsidP="005C6BF7">
      <w:pPr>
        <w:pStyle w:val="ATHeading3"/>
      </w:pPr>
      <w:bookmarkStart w:id="4" w:name="Sujet"/>
      <w:r w:rsidRPr="009C5492">
        <w:t>Rezoluția Parlamentului European din 29 aprilie 2026 referitoare la proiectul de decizie de punere în aplicare a Comisiei de autorizare a introducerii pe piață a produselor care conțin, sunt compuse sau fabricate din soia modificată genetic MON 94637, în temeiul Regulamentului (CE) nr. 1829/2003 al Parlamentului European și al Consiliului</w:t>
      </w:r>
      <w:bookmarkEnd w:id="4"/>
      <w:r w:rsidRPr="009C5492">
        <w:t xml:space="preserve"> </w:t>
      </w:r>
      <w:bookmarkStart w:id="5" w:name="References"/>
      <w:r w:rsidRPr="009C5492">
        <w:t>(D113501/03 – 2026/2651(RSP))</w:t>
      </w:r>
      <w:bookmarkEnd w:id="5"/>
    </w:p>
    <w:p w14:paraId="6E01F94C" w14:textId="77777777" w:rsidR="00A81E68" w:rsidRPr="009C5492" w:rsidRDefault="00A81E68" w:rsidP="00A81E68">
      <w:pPr>
        <w:pStyle w:val="EPComma"/>
      </w:pPr>
      <w:bookmarkStart w:id="6" w:name="TextBodyBegin"/>
      <w:bookmarkEnd w:id="6"/>
      <w:r w:rsidRPr="009C5492">
        <w:rPr>
          <w:i/>
          <w:iCs/>
        </w:rPr>
        <w:t>Parlamentul European</w:t>
      </w:r>
      <w:r w:rsidRPr="009C5492">
        <w:t>,</w:t>
      </w:r>
    </w:p>
    <w:p w14:paraId="5CC5BB5D" w14:textId="77777777" w:rsidR="00A81E68" w:rsidRPr="009C5492" w:rsidRDefault="00A81E68" w:rsidP="00A81E68">
      <w:pPr>
        <w:pStyle w:val="NormalHanging12a"/>
      </w:pPr>
      <w:r w:rsidRPr="009C5492">
        <w:t>–</w:t>
      </w:r>
      <w:r w:rsidRPr="009C5492">
        <w:tab/>
        <w:t>având în vedere proiectul de decizie de punere în aplicare a Comisiei de autorizare a introducerii pe piață a produselor care conțin, sunt compuse sau fabricate din soia modificată genetic MON 94637, în temeiul Regulamentului (CE) nr. 1829/2003 al Parlamentului European și al Consiliului (D113501/03),</w:t>
      </w:r>
    </w:p>
    <w:p w14:paraId="28B1C836" w14:textId="77777777" w:rsidR="00A81E68" w:rsidRPr="009C5492" w:rsidRDefault="00A81E68" w:rsidP="00A81E68">
      <w:pPr>
        <w:pStyle w:val="NormalHanging12a"/>
      </w:pPr>
      <w:r w:rsidRPr="009C5492">
        <w:t>–</w:t>
      </w:r>
      <w:r w:rsidRPr="009C5492">
        <w:tab/>
        <w:t>având în vedere Regulamentul (CE) nr. 1829/2003 al Parlamentului European și al Consiliului din 22 septembrie 2003 privind produsele alimentare și furajele modificate genetic</w:t>
      </w:r>
      <w:r w:rsidRPr="009C5492">
        <w:rPr>
          <w:rStyle w:val="FootnoteReference"/>
        </w:rPr>
        <w:footnoteReference w:id="1"/>
      </w:r>
      <w:r w:rsidRPr="009C5492">
        <w:t>, în special articolul 7 alineatul (3) și articolul 19 alineatul (3),</w:t>
      </w:r>
    </w:p>
    <w:p w14:paraId="475A88E6" w14:textId="77777777" w:rsidR="00A81E68" w:rsidRPr="009C5492" w:rsidRDefault="00A81E68" w:rsidP="00A81E68">
      <w:pPr>
        <w:pStyle w:val="NormalHanging12a"/>
      </w:pPr>
      <w:r w:rsidRPr="009C5492">
        <w:t>–</w:t>
      </w:r>
      <w:r w:rsidRPr="009C5492">
        <w:tab/>
        <w:t xml:space="preserve">având în vedere votul din 27 februarie 2026 al Comitetului permanent pentru plante, animale, produse alimentare și hrană pentru animale, menționat la articolul 35 din Regulamentul (CE) nr. 1829/2003, în urma căruia nu s-a emis niciun aviz, </w:t>
      </w:r>
      <w:bookmarkStart w:id="7" w:name="_Hlk219206484"/>
      <w:r w:rsidRPr="009C5492">
        <w:t>și votul Comitetului de apel din 31 martie 2026, în urma căruia, din nou, nu s-a emis niciun aviz,</w:t>
      </w:r>
      <w:bookmarkEnd w:id="7"/>
    </w:p>
    <w:p w14:paraId="7742ABC1" w14:textId="77777777" w:rsidR="00A81E68" w:rsidRPr="009C5492" w:rsidRDefault="00A81E68" w:rsidP="00A81E68">
      <w:pPr>
        <w:pStyle w:val="NormalHanging12a"/>
        <w:widowControl/>
      </w:pPr>
      <w:r w:rsidRPr="009C5492">
        <w:t>–</w:t>
      </w:r>
      <w:r w:rsidRPr="009C5492">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bookmarkStart w:id="8" w:name="_Hlk210662860"/>
      <w:r w:rsidRPr="009C5492">
        <w:rPr>
          <w:rStyle w:val="FootnoteReference"/>
          <w:szCs w:val="24"/>
        </w:rPr>
        <w:footnoteReference w:id="2"/>
      </w:r>
      <w:bookmarkEnd w:id="8"/>
      <w:r w:rsidRPr="009C5492">
        <w:t>,</w:t>
      </w:r>
    </w:p>
    <w:p w14:paraId="53C400E6" w14:textId="77777777" w:rsidR="00A81E68" w:rsidRPr="009C5492" w:rsidRDefault="00A81E68" w:rsidP="00A81E68">
      <w:pPr>
        <w:pStyle w:val="NormalHanging12a"/>
      </w:pPr>
      <w:r w:rsidRPr="009C5492">
        <w:t>–</w:t>
      </w:r>
      <w:r w:rsidRPr="009C5492">
        <w:tab/>
        <w:t xml:space="preserve">având în vedere avizul adoptat de Autoritatea Europeană pentru Siguranța Alimentară </w:t>
      </w:r>
      <w:r w:rsidRPr="009C5492">
        <w:lastRenderedPageBreak/>
        <w:t>(EFSA) la 1 iulie 2025 și publicat la 23 octombrie 2025</w:t>
      </w:r>
      <w:r w:rsidRPr="009C5492">
        <w:rPr>
          <w:rStyle w:val="FootnoteReference"/>
        </w:rPr>
        <w:footnoteReference w:id="3"/>
      </w:r>
      <w:r w:rsidRPr="009C5492">
        <w:t>,</w:t>
      </w:r>
    </w:p>
    <w:p w14:paraId="21636613" w14:textId="77777777" w:rsidR="00A81E68" w:rsidRPr="009C5492" w:rsidRDefault="00A81E68" w:rsidP="00A81E68">
      <w:pPr>
        <w:pStyle w:val="NormalHanging12a"/>
      </w:pPr>
      <w:r w:rsidRPr="009C5492">
        <w:t>–</w:t>
      </w:r>
      <w:r w:rsidRPr="009C5492">
        <w:tab/>
        <w:t>având în vedere rezoluțiile sale anterioare în care se opune autorizării organismelor modificate genetic („OMG”)</w:t>
      </w:r>
      <w:r w:rsidRPr="009C5492">
        <w:rPr>
          <w:rStyle w:val="FootnoteReference"/>
        </w:rPr>
        <w:footnoteReference w:id="4"/>
      </w:r>
      <w:r w:rsidRPr="009C5492">
        <w:t>,</w:t>
      </w:r>
    </w:p>
    <w:p w14:paraId="7D4FBDAA" w14:textId="77777777" w:rsidR="00A81E68" w:rsidRPr="009C5492" w:rsidRDefault="00A81E68" w:rsidP="00A81E68">
      <w:pPr>
        <w:pStyle w:val="NormalHanging12a"/>
      </w:pPr>
      <w:r w:rsidRPr="009C5492">
        <w:lastRenderedPageBreak/>
        <w:t>–</w:t>
      </w:r>
      <w:r w:rsidRPr="009C5492">
        <w:tab/>
        <w:t>având în vedere articolul 115 alineatele (2) și (3) din Regulamentul său de procedură,</w:t>
      </w:r>
    </w:p>
    <w:p w14:paraId="772C2FFF" w14:textId="77777777" w:rsidR="00A81E68" w:rsidRPr="009C5492" w:rsidRDefault="00A81E68" w:rsidP="00A81E68">
      <w:pPr>
        <w:pStyle w:val="NormalHanging12a"/>
      </w:pPr>
      <w:r w:rsidRPr="009C5492">
        <w:t>–</w:t>
      </w:r>
      <w:r w:rsidRPr="009C5492">
        <w:tab/>
        <w:t>având în vedere propunerea de rezoluție a Comisiei pentru mediu, climă și siguranță alimentară,</w:t>
      </w:r>
    </w:p>
    <w:p w14:paraId="753A329C" w14:textId="77777777" w:rsidR="00A81E68" w:rsidRPr="009C5492" w:rsidRDefault="00A81E68" w:rsidP="00A81E68">
      <w:pPr>
        <w:pStyle w:val="NormalHanging12a"/>
      </w:pPr>
      <w:r w:rsidRPr="009C5492">
        <w:t>A.</w:t>
      </w:r>
      <w:r w:rsidRPr="009C5492">
        <w:tab/>
        <w:t xml:space="preserve">întrucât soia modificată genetic MON 94637 (denumită în continuare „soia modificată genetic”) a fost dezvoltată pentru a oferi protecție împotriva anumitor specii de dăunători din ordinul lepidopterelor, prin expresia a două proteine </w:t>
      </w:r>
      <w:proofErr w:type="spellStart"/>
      <w:r w:rsidRPr="009C5492">
        <w:t>Bt</w:t>
      </w:r>
      <w:proofErr w:type="spellEnd"/>
      <w:r w:rsidRPr="009C5492">
        <w:t xml:space="preserve"> himerice nou concepute, Cry1A.2 și Cry1B.2;</w:t>
      </w:r>
    </w:p>
    <w:p w14:paraId="54B476F1" w14:textId="77777777" w:rsidR="00A81E68" w:rsidRPr="009C5492" w:rsidRDefault="00A81E68" w:rsidP="00A81E68">
      <w:pPr>
        <w:pStyle w:val="NormalHanging12a"/>
      </w:pPr>
      <w:r w:rsidRPr="009C5492">
        <w:lastRenderedPageBreak/>
        <w:t>B.</w:t>
      </w:r>
      <w:r w:rsidRPr="009C5492">
        <w:tab/>
        <w:t>întrucât, la 1 iulie 2025, EFSA a adoptat un aviz favorabil, concluzionând că soia modificată genetic este la fel de sigură ca varianta sa convențională și ca soiurile de soia nemodificate genetic testate, în ceea ce privește efectele potențiale asupra sănătății umane și animale și asupra mediului; întrucât EFSA a concluzionat că consumul de alimente și furaje derivate din soia modificată genetic nu ridică probleme nutriționale și că expunerea accidentală a mediului nu ar genera preocupări de siguranță;</w:t>
      </w:r>
    </w:p>
    <w:p w14:paraId="2A43E786" w14:textId="77777777" w:rsidR="00A81E68" w:rsidRPr="009C5492" w:rsidRDefault="00A81E68" w:rsidP="00A81E68">
      <w:pPr>
        <w:pStyle w:val="NormalHanging12a"/>
      </w:pPr>
      <w:r w:rsidRPr="009C5492">
        <w:t>C.</w:t>
      </w:r>
      <w:r w:rsidRPr="009C5492">
        <w:tab/>
        <w:t>întrucât EFSA a concluzionat, de asemenea, că caracterizarea moleculară și analizele bioinformatice nu au identificat aspecte care să necesite o evaluare suplimentară a siguranței alimentelor sau furajelor și că nu a fost considerată necesară monitorizarea ulterioară introducerii pe piață a alimentelor sau a furajelor;</w:t>
      </w:r>
    </w:p>
    <w:p w14:paraId="0A15CFB5" w14:textId="77777777" w:rsidR="00A81E68" w:rsidRPr="009C5492" w:rsidRDefault="00A81E68" w:rsidP="00A81E68">
      <w:pPr>
        <w:pStyle w:val="NormalHanging12a"/>
      </w:pPr>
      <w:r w:rsidRPr="009C5492">
        <w:t>D.</w:t>
      </w:r>
      <w:r w:rsidRPr="009C5492">
        <w:tab/>
        <w:t xml:space="preserve">întrucât, în pofida evaluării favorabile a EFSA, literatura științifică indică faptul că toxinele </w:t>
      </w:r>
      <w:proofErr w:type="spellStart"/>
      <w:r w:rsidRPr="009C5492">
        <w:t>Bt</w:t>
      </w:r>
      <w:proofErr w:type="spellEnd"/>
      <w:r w:rsidRPr="009C5492">
        <w:t xml:space="preserve"> himerice nou concepute Cry1A.2 și Cry1B.2 prezintă o activitate insecticidă substanțial amplificată în comparație cu toxinele lor parentale, ridicând probleme specifice de siguranță care nu au fost abordate suficient</w:t>
      </w:r>
      <w:r w:rsidRPr="009C5492">
        <w:rPr>
          <w:rStyle w:val="FootnoteReference"/>
        </w:rPr>
        <w:footnoteReference w:id="5"/>
      </w:r>
      <w:r w:rsidRPr="009C5492">
        <w:t>;</w:t>
      </w:r>
    </w:p>
    <w:p w14:paraId="01CE05EF" w14:textId="77777777" w:rsidR="00A81E68" w:rsidRPr="009C5492" w:rsidRDefault="00A81E68" w:rsidP="00A81E68">
      <w:pPr>
        <w:pStyle w:val="NormalHanging12a"/>
        <w:rPr>
          <w:color w:val="000000" w:themeColor="text1"/>
          <w:szCs w:val="24"/>
        </w:rPr>
      </w:pPr>
      <w:r w:rsidRPr="009C5492">
        <w:rPr>
          <w:color w:val="000000" w:themeColor="text1"/>
        </w:rPr>
        <w:t>E.</w:t>
      </w:r>
      <w:r w:rsidRPr="009C5492">
        <w:rPr>
          <w:color w:val="000000" w:themeColor="text1"/>
        </w:rPr>
        <w:tab/>
        <w:t>întrucât analiza sistematică a literaturii de specialitate prezentată de solicitant a fost criticată pentru deficiențe metodologice și pentru că nu acoperă în mod adecvat întreaga literatură științifică disponibilă;</w:t>
      </w:r>
    </w:p>
    <w:p w14:paraId="57C6579F" w14:textId="77777777" w:rsidR="00A81E68" w:rsidRPr="009C5492" w:rsidRDefault="00A81E68" w:rsidP="00A81E68">
      <w:pPr>
        <w:spacing w:after="240"/>
        <w:ind w:left="567" w:hanging="567"/>
        <w:rPr>
          <w:szCs w:val="24"/>
        </w:rPr>
      </w:pPr>
      <w:r w:rsidRPr="009C5492">
        <w:t>F.</w:t>
      </w:r>
      <w:r w:rsidRPr="009C5492">
        <w:tab/>
        <w:t xml:space="preserve">întrucât caracterizarea moleculară a </w:t>
      </w:r>
      <w:proofErr w:type="spellStart"/>
      <w:r w:rsidRPr="009C5492">
        <w:t>soiei</w:t>
      </w:r>
      <w:proofErr w:type="spellEnd"/>
      <w:r w:rsidRPr="009C5492">
        <w:t xml:space="preserve"> modificate genetic rămâne incompletă, deoarece modificările genomice neintenționate și cadrele deschise de citire nou create nu au fost investigate în detaliu utilizând cele mai avansate metode de secvențiere și abordări „</w:t>
      </w:r>
      <w:proofErr w:type="spellStart"/>
      <w:r w:rsidRPr="009C5492">
        <w:t>omice</w:t>
      </w:r>
      <w:proofErr w:type="spellEnd"/>
      <w:r w:rsidRPr="009C5492">
        <w:t>”;</w:t>
      </w:r>
    </w:p>
    <w:p w14:paraId="6F1C58A3" w14:textId="77777777" w:rsidR="00A81E68" w:rsidRPr="009C5492" w:rsidRDefault="00A81E68" w:rsidP="00A81E68">
      <w:pPr>
        <w:pStyle w:val="NormalHanging12a"/>
      </w:pPr>
      <w:r w:rsidRPr="009C5492">
        <w:t>G.</w:t>
      </w:r>
      <w:r w:rsidRPr="009C5492">
        <w:tab/>
        <w:t xml:space="preserve">întrucât expresia genetică a fost evaluată numai în condiții de teren limitate, și anume un singur an și o singură țară, fără a se lua suficient în considerare factorii de stres de mediu sau diferitele contexte </w:t>
      </w:r>
      <w:proofErr w:type="spellStart"/>
      <w:r w:rsidRPr="009C5492">
        <w:t>genotipice</w:t>
      </w:r>
      <w:proofErr w:type="spellEnd"/>
      <w:r w:rsidRPr="009C5492">
        <w:t xml:space="preserve">, în pofida variabilității cunoscute a expresiei </w:t>
      </w:r>
      <w:proofErr w:type="spellStart"/>
      <w:r w:rsidRPr="009C5492">
        <w:t>transgenelor</w:t>
      </w:r>
      <w:proofErr w:type="spellEnd"/>
      <w:r w:rsidRPr="009C5492">
        <w:t>;</w:t>
      </w:r>
    </w:p>
    <w:p w14:paraId="2D8148F2" w14:textId="77777777" w:rsidR="00A81E68" w:rsidRPr="009C5492" w:rsidRDefault="00A81E68" w:rsidP="00A81E68">
      <w:pPr>
        <w:pStyle w:val="NormalWeb"/>
        <w:widowControl w:val="0"/>
        <w:spacing w:beforeAutospacing="0" w:after="240" w:afterAutospacing="0"/>
        <w:ind w:left="567" w:hanging="567"/>
      </w:pPr>
      <w:r w:rsidRPr="009C5492">
        <w:t>H.</w:t>
      </w:r>
      <w:r w:rsidRPr="009C5492">
        <w:tab/>
        <w:t>întrucât studiile efectuate pe teren în sprijinul cererii au fost limitate în ceea ce privește sfera de acoperire geografică și de mediu și nu reflectă diversitatea condițiilor de mediu în care poate fi cultivată sau procesată soia;</w:t>
      </w:r>
    </w:p>
    <w:p w14:paraId="53D83CC3" w14:textId="77777777" w:rsidR="00A81E68" w:rsidRPr="009C5492" w:rsidRDefault="00A81E68" w:rsidP="00A81E68">
      <w:pPr>
        <w:spacing w:after="240"/>
        <w:ind w:left="567" w:hanging="567"/>
      </w:pPr>
      <w:r w:rsidRPr="009C5492">
        <w:t>I.</w:t>
      </w:r>
      <w:r w:rsidRPr="009C5492">
        <w:tab/>
        <w:t xml:space="preserve">întrucât majoritatea studiilor toxicologice s-au bazat pe proteine </w:t>
      </w:r>
      <w:proofErr w:type="spellStart"/>
      <w:r w:rsidRPr="009C5492">
        <w:t>Bt</w:t>
      </w:r>
      <w:proofErr w:type="spellEnd"/>
      <w:r w:rsidRPr="009C5492">
        <w:t xml:space="preserve"> de origine microbiană, nu pe proteine de origine vegetală, în pofida dovezilor că constituenții plantelor, cum ar fi inhibitorii de protează, pot amplifica toxicitatea </w:t>
      </w:r>
      <w:proofErr w:type="spellStart"/>
      <w:r w:rsidRPr="009C5492">
        <w:t>Bt</w:t>
      </w:r>
      <w:proofErr w:type="spellEnd"/>
      <w:r w:rsidRPr="009C5492">
        <w:t>;</w:t>
      </w:r>
    </w:p>
    <w:p w14:paraId="299FDE4E" w14:textId="77777777" w:rsidR="00A81E68" w:rsidRPr="009C5492" w:rsidRDefault="00A81E68" w:rsidP="00A81E68">
      <w:pPr>
        <w:pStyle w:val="NormalHanging12a"/>
      </w:pPr>
      <w:r w:rsidRPr="009C5492">
        <w:t xml:space="preserve">J. </w:t>
      </w:r>
      <w:r w:rsidRPr="009C5492">
        <w:tab/>
        <w:t>întrucât mai multe rezultate semnificative din punct de vedere statistic identificate în studiile toxicologice de 28 de zile și de 90 de zile nu au determinat efectuarea de investigații ulterioare;</w:t>
      </w:r>
    </w:p>
    <w:p w14:paraId="75202B87" w14:textId="77777777" w:rsidR="00A81E68" w:rsidRPr="009C5492" w:rsidRDefault="00A81E68" w:rsidP="00A81E68">
      <w:pPr>
        <w:spacing w:after="240"/>
        <w:ind w:left="567" w:hanging="567"/>
      </w:pPr>
      <w:r w:rsidRPr="009C5492">
        <w:t>K.</w:t>
      </w:r>
      <w:r w:rsidRPr="009C5492">
        <w:tab/>
        <w:t xml:space="preserve">întrucât posibilele efecte sinergice sau combinatorii dintre cele două toxine </w:t>
      </w:r>
      <w:proofErr w:type="spellStart"/>
      <w:r w:rsidRPr="009C5492">
        <w:t>Bt</w:t>
      </w:r>
      <w:proofErr w:type="spellEnd"/>
      <w:r w:rsidRPr="009C5492">
        <w:t xml:space="preserve"> și dintre acestea și compușii vegetali sau alți factori de stres nu au fost investigate în mod </w:t>
      </w:r>
      <w:r w:rsidRPr="009C5492">
        <w:lastRenderedPageBreak/>
        <w:t>adecvat;</w:t>
      </w:r>
    </w:p>
    <w:p w14:paraId="6E32C809" w14:textId="77777777" w:rsidR="00A81E68" w:rsidRPr="009C5492" w:rsidRDefault="00A81E68" w:rsidP="00A81E68">
      <w:pPr>
        <w:spacing w:after="240"/>
        <w:ind w:left="567" w:hanging="567"/>
      </w:pPr>
      <w:r w:rsidRPr="009C5492">
        <w:t>L.</w:t>
      </w:r>
      <w:r w:rsidRPr="009C5492">
        <w:tab/>
        <w:t>întrucât evaluarea riscurilor pentru mediu nu abordează în mod suficient expunerea potențială prin scurgeri accidentale, gunoi de grajd sau ape uzate și nici posibilele efecte asupra organismelor nevizate;</w:t>
      </w:r>
    </w:p>
    <w:p w14:paraId="2D30F3FC" w14:textId="77777777" w:rsidR="00A81E68" w:rsidRPr="009C5492" w:rsidRDefault="00A81E68" w:rsidP="00A81E68">
      <w:pPr>
        <w:pStyle w:val="NormalWeb"/>
        <w:widowControl w:val="0"/>
        <w:spacing w:beforeAutospacing="0" w:after="240" w:afterAutospacing="0"/>
        <w:ind w:left="567" w:hanging="567"/>
      </w:pPr>
      <w:r w:rsidRPr="009C5492">
        <w:t>M.</w:t>
      </w:r>
      <w:r w:rsidRPr="009C5492">
        <w:tab/>
        <w:t>întrucât Parlamentul a subliniat în repetate rânduri că Comisia nu ar trebui să autorizeze OMG-uri în cazurile în care statele membre nu întrunesc o majoritate calificată în cadrul Comitetului permanent pentru plante, animale, produse alimentare și hrană pentru animale sau în cadrul Comitetului de apel, pentru a remedia deficitul democratic persistent;</w:t>
      </w:r>
    </w:p>
    <w:p w14:paraId="4A0CE7FB" w14:textId="77777777" w:rsidR="00A81E68" w:rsidRPr="009C5492" w:rsidRDefault="00A81E68" w:rsidP="00A81E68">
      <w:pPr>
        <w:pStyle w:val="NormalWeb"/>
        <w:widowControl w:val="0"/>
        <w:shd w:val="clear" w:color="auto" w:fill="FFFFFF"/>
        <w:spacing w:beforeAutospacing="0" w:after="240" w:afterAutospacing="0"/>
        <w:ind w:left="567" w:hanging="567"/>
        <w:rPr>
          <w:color w:val="000000" w:themeColor="text1"/>
        </w:rPr>
      </w:pPr>
      <w:r w:rsidRPr="009C5492">
        <w:rPr>
          <w:color w:val="000000" w:themeColor="text1"/>
        </w:rPr>
        <w:t>N.</w:t>
      </w:r>
      <w:r w:rsidRPr="009C5492">
        <w:rPr>
          <w:color w:val="000000" w:themeColor="text1"/>
        </w:rPr>
        <w:tab/>
        <w:t>întrucât, în pofida faptului că ea însăși recunoaște existența unui deficit democratic, lipsa de sprijin din partea statelor membre și obiecțiile Parlamentului, Comisia continuă să autorizeze OMG-uri;</w:t>
      </w:r>
    </w:p>
    <w:p w14:paraId="6C2C756D" w14:textId="77777777" w:rsidR="00A81E68" w:rsidRPr="009C5492" w:rsidRDefault="00A81E68" w:rsidP="00A81E68">
      <w:pPr>
        <w:spacing w:after="240"/>
        <w:ind w:left="567" w:hanging="567"/>
      </w:pPr>
      <w:r w:rsidRPr="009C5492">
        <w:t>O.</w:t>
      </w:r>
      <w:r w:rsidRPr="009C5492">
        <w:tab/>
        <w:t>întrucât abordarea de tip „O singură sănătate” presupune să se țină seama de interdependența dintre sănătatea umană, animală, a plantelor și a mediului atunci când se evaluează sustenabilitatea și siguranța pe termen lung a OMG-urilor,</w:t>
      </w:r>
    </w:p>
    <w:p w14:paraId="00A1D05C" w14:textId="77777777" w:rsidR="00A81E68" w:rsidRPr="009C5492" w:rsidRDefault="00A81E68" w:rsidP="00A81E68">
      <w:pPr>
        <w:spacing w:after="240"/>
        <w:ind w:left="567" w:hanging="567"/>
      </w:pPr>
      <w:r w:rsidRPr="009C5492">
        <w:t>1.</w:t>
      </w:r>
      <w:r w:rsidRPr="009C5492">
        <w:tab/>
        <w:t>consideră că proiectul de decizie de punere în aplicare a Comisiei depășește competențele de punere în aplicare prevăzute în Regulamentul (CE) nr. 1829/2003;</w:t>
      </w:r>
    </w:p>
    <w:p w14:paraId="5AC31357" w14:textId="77777777" w:rsidR="00A81E68" w:rsidRPr="009C5492" w:rsidRDefault="00A81E68" w:rsidP="00A81E68">
      <w:pPr>
        <w:spacing w:after="240"/>
        <w:ind w:left="567" w:hanging="567"/>
      </w:pPr>
      <w:r w:rsidRPr="009C5492">
        <w:t>2.</w:t>
      </w:r>
      <w:r w:rsidRPr="009C5492">
        <w:tab/>
        <w:t>consideră că proiectul de decizie de punere în aplicare a Comisiei nu este conform cu dreptul Uniunii, întrucât este incompatibil cu obiectivul Regulamentului (CE) nr. 1829/2003, care, în conformitate cu principiile generale prevăzute de Regulamentul (CE) nr. 178/2002 al Parlamentului European și al Consiliului</w:t>
      </w:r>
      <w:r w:rsidRPr="009C5492">
        <w:rPr>
          <w:rStyle w:val="FootnoteReference"/>
        </w:rPr>
        <w:footnoteReference w:id="6"/>
      </w:r>
      <w:r w:rsidRPr="009C5492">
        <w:t>, este de a furniza baza pentru asigurarea unui nivel ridicat de protecție a vieții și sănătății umane, a sănătății și bunăstării animalelor, a mediului și a intereselor consumatorilor în raport cu produsele alimentare și furajele modificate genetic, asigurând totodată funcționarea eficace a pieței interne;</w:t>
      </w:r>
    </w:p>
    <w:p w14:paraId="08C9DA1C" w14:textId="77777777" w:rsidR="00A81E68" w:rsidRPr="009C5492" w:rsidRDefault="00A81E68" w:rsidP="00A81E68">
      <w:pPr>
        <w:spacing w:after="240"/>
        <w:ind w:left="567" w:hanging="567"/>
      </w:pPr>
      <w:bookmarkStart w:id="10" w:name="_Hlk213234159"/>
      <w:r w:rsidRPr="009C5492">
        <w:t xml:space="preserve">3. </w:t>
      </w:r>
      <w:r w:rsidRPr="009C5492">
        <w:tab/>
        <w:t>consideră că evaluarea riscurilor rămâne incompletă, în special în ceea ce privește caracterizarea moleculară, evaluarea toxicologică și evaluarea riscurilor pentru mediu;</w:t>
      </w:r>
      <w:bookmarkEnd w:id="10"/>
    </w:p>
    <w:p w14:paraId="42C11985" w14:textId="77777777" w:rsidR="00A81E68" w:rsidRPr="009C5492" w:rsidRDefault="00A81E68" w:rsidP="00A81E68">
      <w:pPr>
        <w:spacing w:after="240"/>
        <w:ind w:left="567" w:hanging="567"/>
      </w:pPr>
      <w:r w:rsidRPr="009C5492">
        <w:t>4.</w:t>
      </w:r>
      <w:r w:rsidRPr="009C5492">
        <w:tab/>
        <w:t>solicită Comisiei să își retragă proiectul de decizie de punere în aplicare;</w:t>
      </w:r>
    </w:p>
    <w:p w14:paraId="04FCE9BF" w14:textId="77777777" w:rsidR="00A81E68" w:rsidRPr="009C5492" w:rsidRDefault="00A81E68" w:rsidP="00A81E68">
      <w:pPr>
        <w:spacing w:after="240"/>
        <w:ind w:left="567" w:hanging="567"/>
      </w:pPr>
      <w:r w:rsidRPr="009C5492">
        <w:t>5.</w:t>
      </w:r>
      <w:r w:rsidRPr="009C5492">
        <w:tab/>
        <w:t>solicită Comisiei să nu autorizeze soia modificată genetic deoarece nu există date suficiente privind impactul pe termen lung asupra biodiversității, a siguranței alimentare, a mijloacelor de subzistență ale fermierilor și a sănătății animalelor, în conformitate cu abordarea de tip „O singură sănătate”;</w:t>
      </w:r>
    </w:p>
    <w:p w14:paraId="75A00379" w14:textId="77777777" w:rsidR="00A81E68" w:rsidRPr="009C5492" w:rsidRDefault="00A81E68" w:rsidP="00A81E68">
      <w:pPr>
        <w:spacing w:after="240"/>
        <w:ind w:left="567" w:hanging="567"/>
      </w:pPr>
      <w:bookmarkStart w:id="11" w:name="_Hlk210900300"/>
      <w:r w:rsidRPr="009C5492">
        <w:t>6.</w:t>
      </w:r>
      <w:r w:rsidRPr="009C5492">
        <w:tab/>
        <w:t>solicită Comisiei să prezinte, fără întârziere, o propunere legislativă de reformare a procedurii decizionale privind OMG-urile, pentru a răspunde obiecțiilor constante ale Parlamentului și lipsei sprijinului unei majorități calificate în rândul statelor membre</w:t>
      </w:r>
      <w:bookmarkEnd w:id="11"/>
      <w:r w:rsidRPr="009C5492">
        <w:t>;</w:t>
      </w:r>
    </w:p>
    <w:p w14:paraId="16B236EA" w14:textId="77777777" w:rsidR="00A81E68" w:rsidRPr="009C5492" w:rsidRDefault="00A81E68" w:rsidP="00A81E68">
      <w:pPr>
        <w:spacing w:after="240"/>
        <w:ind w:left="567" w:hanging="567"/>
      </w:pPr>
      <w:r w:rsidRPr="009C5492">
        <w:lastRenderedPageBreak/>
        <w:t>7.</w:t>
      </w:r>
      <w:r w:rsidRPr="009C5492">
        <w:tab/>
        <w:t xml:space="preserve">subliniază, în acest sens, că autorizarea importului, pentru utilizări în produse alimentare sau furaje, al oricărei plante modificate genetic care a devenit tolerantă la erbicide interzise în Uniune, cum ar fi </w:t>
      </w:r>
      <w:proofErr w:type="spellStart"/>
      <w:r w:rsidRPr="009C5492">
        <w:t>glufosinatul</w:t>
      </w:r>
      <w:proofErr w:type="spellEnd"/>
      <w:r w:rsidRPr="009C5492">
        <w:t xml:space="preserve">, este incompatibilă cu angajamentele internaționale asumate de Uniune în conformitate cu, printre altele, Convenția Organizației Națiunilor Unite (ONU) privind diversitatea biologică și obiectivele de dezvoltare durabilă ale ONU, inclusiv Cadrul de la </w:t>
      </w:r>
      <w:proofErr w:type="spellStart"/>
      <w:r w:rsidRPr="009C5492">
        <w:t>Kunming</w:t>
      </w:r>
      <w:proofErr w:type="spellEnd"/>
      <w:r w:rsidRPr="009C5492">
        <w:t>-Montreal, și creează condiții de concurență inechitabile pentru fermierii din Uniune;</w:t>
      </w:r>
    </w:p>
    <w:p w14:paraId="4DF16F85" w14:textId="6F21C8B5" w:rsidR="00FD1C78" w:rsidRPr="009C5492" w:rsidRDefault="00A81E68" w:rsidP="00FD1C78">
      <w:pPr>
        <w:spacing w:after="240"/>
        <w:ind w:left="567" w:hanging="567"/>
      </w:pPr>
      <w:bookmarkStart w:id="12" w:name="_Hlk210900241"/>
      <w:bookmarkEnd w:id="12"/>
      <w:r w:rsidRPr="009C5492">
        <w:t>8.</w:t>
      </w:r>
      <w:r w:rsidRPr="009C5492">
        <w:tab/>
        <w:t>încredințează Președintei sarcina de a transmite prezenta rezoluție Consiliului și Comisiei, precum și guvernelor și parlamentelor statelor membre.</w:t>
      </w:r>
    </w:p>
    <w:p w14:paraId="5936666E" w14:textId="2CA04286" w:rsidR="00E365E1" w:rsidRPr="009C5492" w:rsidRDefault="00E365E1" w:rsidP="005C6BF7"/>
    <w:sectPr w:rsidR="00E365E1" w:rsidRPr="009C5492" w:rsidSect="00FD1C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769FE" w14:textId="77777777" w:rsidR="005C6BF7" w:rsidRPr="00FD1C78" w:rsidRDefault="005C6BF7">
      <w:r w:rsidRPr="00FD1C78">
        <w:separator/>
      </w:r>
    </w:p>
  </w:endnote>
  <w:endnote w:type="continuationSeparator" w:id="0">
    <w:p w14:paraId="62CB1335" w14:textId="77777777" w:rsidR="005C6BF7" w:rsidRPr="00FD1C78" w:rsidRDefault="005C6BF7">
      <w:r w:rsidRPr="00FD1C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2BEC" w14:textId="77777777" w:rsidR="00064002" w:rsidRPr="00FD1C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C5B1" w14:textId="77777777" w:rsidR="00064002" w:rsidRPr="00FD1C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356DE" w14:textId="77777777" w:rsidR="00064002" w:rsidRPr="00FD1C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8D83D" w14:textId="77777777" w:rsidR="005C6BF7" w:rsidRPr="00FD1C78" w:rsidRDefault="005C6BF7">
      <w:r w:rsidRPr="00FD1C78">
        <w:separator/>
      </w:r>
    </w:p>
  </w:footnote>
  <w:footnote w:type="continuationSeparator" w:id="0">
    <w:p w14:paraId="7E3A59A0" w14:textId="77777777" w:rsidR="005C6BF7" w:rsidRPr="00FD1C78" w:rsidRDefault="005C6BF7">
      <w:r w:rsidRPr="00FD1C78">
        <w:continuationSeparator/>
      </w:r>
    </w:p>
  </w:footnote>
  <w:footnote w:id="1">
    <w:p w14:paraId="2AE78B4E" w14:textId="169D8763" w:rsidR="00A81E68" w:rsidRPr="00FD1C78" w:rsidRDefault="00A81E68" w:rsidP="00FD1C78">
      <w:pPr>
        <w:pStyle w:val="FootnoteText"/>
        <w:ind w:left="567" w:hanging="567"/>
        <w:rPr>
          <w:sz w:val="24"/>
          <w:lang w:val="ro-RO"/>
        </w:rPr>
      </w:pPr>
      <w:r w:rsidRPr="00FD1C78">
        <w:rPr>
          <w:rStyle w:val="Funotenzeichen"/>
          <w:sz w:val="24"/>
          <w:lang w:val="ro-RO"/>
        </w:rPr>
        <w:footnoteRef/>
      </w:r>
      <w:r w:rsidR="00FD1C78" w:rsidRPr="00FD1C78">
        <w:rPr>
          <w:sz w:val="24"/>
          <w:lang w:val="ro-RO"/>
        </w:rPr>
        <w:t xml:space="preserve"> </w:t>
      </w:r>
      <w:r w:rsidR="00FD1C78" w:rsidRPr="00FD1C78">
        <w:rPr>
          <w:sz w:val="24"/>
          <w:lang w:val="ro-RO"/>
        </w:rPr>
        <w:tab/>
      </w:r>
      <w:r w:rsidRPr="00FD1C78">
        <w:rPr>
          <w:sz w:val="24"/>
          <w:lang w:val="ro-RO"/>
        </w:rPr>
        <w:t xml:space="preserve">JO L 268, 18.10.2003, p. 1., ELI: </w:t>
      </w:r>
      <w:hyperlink r:id="rId1" w:tooltip="Oferă acces la acest document prin identificatorul său uniform de resurse ELI." w:history="1">
        <w:r w:rsidRPr="00FD1C78">
          <w:rPr>
            <w:rStyle w:val="Hyperlink"/>
            <w:sz w:val="24"/>
            <w:lang w:val="ro-RO"/>
          </w:rPr>
          <w:t>http://data.europa.eu/eli/reg/2003/1829/oj</w:t>
        </w:r>
      </w:hyperlink>
      <w:r w:rsidRPr="00FD1C78">
        <w:rPr>
          <w:sz w:val="24"/>
          <w:lang w:val="ro-RO"/>
        </w:rPr>
        <w:t>.</w:t>
      </w:r>
    </w:p>
  </w:footnote>
  <w:footnote w:id="2">
    <w:p w14:paraId="0FD7FC24" w14:textId="07F7A5F1" w:rsidR="00A81E68" w:rsidRPr="00FD1C78" w:rsidRDefault="00A81E68" w:rsidP="00FD1C78">
      <w:pPr>
        <w:pStyle w:val="FootnoteText"/>
        <w:ind w:left="567" w:hanging="567"/>
        <w:rPr>
          <w:sz w:val="24"/>
          <w:lang w:val="ro-RO"/>
        </w:rPr>
      </w:pPr>
      <w:r w:rsidRPr="00FD1C78">
        <w:rPr>
          <w:rStyle w:val="Funotenzeichen"/>
          <w:sz w:val="24"/>
          <w:lang w:val="ro-RO"/>
        </w:rPr>
        <w:footnoteRef/>
      </w:r>
      <w:bookmarkStart w:id="9" w:name="_Hlk210663104_Kopie_1"/>
      <w:r w:rsidR="00FD1C78" w:rsidRPr="00FD1C78">
        <w:rPr>
          <w:sz w:val="24"/>
          <w:lang w:val="ro-RO"/>
        </w:rPr>
        <w:t xml:space="preserve"> </w:t>
      </w:r>
      <w:r w:rsidR="00FD1C78" w:rsidRPr="00FD1C78">
        <w:rPr>
          <w:sz w:val="24"/>
          <w:lang w:val="ro-RO"/>
        </w:rPr>
        <w:tab/>
      </w:r>
      <w:r w:rsidRPr="00FD1C78">
        <w:rPr>
          <w:sz w:val="24"/>
          <w:lang w:val="ro-RO"/>
        </w:rPr>
        <w:t xml:space="preserve">JO L 55, 28.2.2011, p. 13, ELI: </w:t>
      </w:r>
      <w:hyperlink r:id="rId2">
        <w:r w:rsidRPr="00FD1C78">
          <w:rPr>
            <w:rStyle w:val="Hyperlink"/>
            <w:sz w:val="24"/>
            <w:lang w:val="ro-RO"/>
          </w:rPr>
          <w:t>http://data.europa.eu/eli/reg/2011/182/oj</w:t>
        </w:r>
      </w:hyperlink>
      <w:r w:rsidRPr="00FD1C78">
        <w:rPr>
          <w:sz w:val="24"/>
          <w:lang w:val="ro-RO"/>
        </w:rPr>
        <w:t>.</w:t>
      </w:r>
      <w:bookmarkEnd w:id="9"/>
    </w:p>
  </w:footnote>
  <w:footnote w:id="3">
    <w:p w14:paraId="6BF0AB85" w14:textId="474A36F6" w:rsidR="00A81E68" w:rsidRPr="00FD1C78" w:rsidRDefault="00A81E68" w:rsidP="00FD1C78">
      <w:pPr>
        <w:pStyle w:val="FootnoteText"/>
        <w:ind w:left="567" w:hanging="567"/>
        <w:rPr>
          <w:sz w:val="24"/>
          <w:lang w:val="ro-RO"/>
        </w:rPr>
      </w:pPr>
      <w:r w:rsidRPr="00FD1C78">
        <w:rPr>
          <w:rStyle w:val="Funotenzeichen"/>
          <w:sz w:val="24"/>
          <w:lang w:val="ro-RO"/>
        </w:rPr>
        <w:footnoteRef/>
      </w:r>
      <w:r w:rsidR="00FD1C78" w:rsidRPr="00FD1C78">
        <w:rPr>
          <w:sz w:val="24"/>
          <w:lang w:val="ro-RO"/>
        </w:rPr>
        <w:t xml:space="preserve"> </w:t>
      </w:r>
      <w:r w:rsidR="00FD1C78" w:rsidRPr="00FD1C78">
        <w:rPr>
          <w:sz w:val="24"/>
          <w:lang w:val="ro-RO"/>
        </w:rPr>
        <w:tab/>
      </w:r>
      <w:r w:rsidRPr="00FD1C78">
        <w:rPr>
          <w:sz w:val="24"/>
          <w:lang w:val="ro-RO"/>
        </w:rPr>
        <w:t>Avizul științific al Grupului EFSA pentru organisme modificate genetic intitulat „</w:t>
      </w:r>
      <w:proofErr w:type="spellStart"/>
      <w:r w:rsidRPr="00FD1C78">
        <w:rPr>
          <w:sz w:val="24"/>
          <w:lang w:val="ro-RO"/>
        </w:rPr>
        <w:t>Assessment</w:t>
      </w:r>
      <w:proofErr w:type="spellEnd"/>
      <w:r w:rsidRPr="00FD1C78">
        <w:rPr>
          <w:sz w:val="24"/>
          <w:lang w:val="ro-RO"/>
        </w:rPr>
        <w:t xml:space="preserve"> of </w:t>
      </w:r>
      <w:proofErr w:type="spellStart"/>
      <w:r w:rsidRPr="00FD1C78">
        <w:rPr>
          <w:sz w:val="24"/>
          <w:lang w:val="ro-RO"/>
        </w:rPr>
        <w:t>genetically</w:t>
      </w:r>
      <w:proofErr w:type="spellEnd"/>
      <w:r w:rsidRPr="00FD1C78">
        <w:rPr>
          <w:sz w:val="24"/>
          <w:lang w:val="ro-RO"/>
        </w:rPr>
        <w:t xml:space="preserve"> </w:t>
      </w:r>
      <w:proofErr w:type="spellStart"/>
      <w:r w:rsidRPr="00FD1C78">
        <w:rPr>
          <w:sz w:val="24"/>
          <w:lang w:val="ro-RO"/>
        </w:rPr>
        <w:t>modified</w:t>
      </w:r>
      <w:proofErr w:type="spellEnd"/>
      <w:r w:rsidRPr="00FD1C78">
        <w:rPr>
          <w:sz w:val="24"/>
          <w:lang w:val="ro-RO"/>
        </w:rPr>
        <w:t xml:space="preserve"> </w:t>
      </w:r>
      <w:proofErr w:type="spellStart"/>
      <w:r w:rsidRPr="00FD1C78">
        <w:rPr>
          <w:sz w:val="24"/>
          <w:lang w:val="ro-RO"/>
        </w:rPr>
        <w:t>soybean</w:t>
      </w:r>
      <w:proofErr w:type="spellEnd"/>
      <w:r w:rsidRPr="00FD1C78">
        <w:rPr>
          <w:sz w:val="24"/>
          <w:lang w:val="ro-RO"/>
        </w:rPr>
        <w:t xml:space="preserve"> MON 94637 (application GMFF-2023-21116)”, </w:t>
      </w:r>
      <w:r w:rsidRPr="00FD1C78">
        <w:rPr>
          <w:i/>
          <w:sz w:val="24"/>
          <w:lang w:val="ro-RO"/>
        </w:rPr>
        <w:t>EFSA Journal</w:t>
      </w:r>
      <w:r w:rsidRPr="00FD1C78">
        <w:rPr>
          <w:sz w:val="24"/>
          <w:lang w:val="ro-RO"/>
        </w:rPr>
        <w:t xml:space="preserve"> 2025; 23(10):e9581, </w:t>
      </w:r>
      <w:hyperlink r:id="rId3">
        <w:r w:rsidRPr="00FD1C78">
          <w:rPr>
            <w:rStyle w:val="Hyperlink"/>
            <w:sz w:val="24"/>
            <w:lang w:val="ro-RO"/>
          </w:rPr>
          <w:t>https://doi.org/10.2903/j.efsa.2025.9581</w:t>
        </w:r>
      </w:hyperlink>
      <w:r w:rsidRPr="00FD1C78">
        <w:rPr>
          <w:rStyle w:val="Hyperlink"/>
          <w:sz w:val="24"/>
          <w:lang w:val="ro-RO"/>
        </w:rPr>
        <w:t>.</w:t>
      </w:r>
    </w:p>
  </w:footnote>
  <w:footnote w:id="4">
    <w:p w14:paraId="0AF1013C" w14:textId="66FE6F4A" w:rsidR="00A81E68" w:rsidRPr="00FD1C78" w:rsidRDefault="00A81E68" w:rsidP="00FD1C78">
      <w:pPr>
        <w:pStyle w:val="FootnoteText"/>
        <w:ind w:left="567" w:hanging="567"/>
        <w:rPr>
          <w:color w:val="000000" w:themeColor="text1"/>
          <w:sz w:val="24"/>
          <w:vertAlign w:val="superscript"/>
          <w:lang w:val="ro-RO"/>
        </w:rPr>
      </w:pPr>
      <w:r w:rsidRPr="00FD1C78">
        <w:rPr>
          <w:rStyle w:val="Funotenzeichen"/>
          <w:sz w:val="24"/>
          <w:lang w:val="ro-RO"/>
        </w:rPr>
        <w:footnoteRef/>
      </w:r>
      <w:r w:rsidR="00FD1C78" w:rsidRPr="00FD1C78">
        <w:rPr>
          <w:color w:val="000000" w:themeColor="text1"/>
          <w:sz w:val="24"/>
          <w:lang w:val="ro-RO"/>
        </w:rPr>
        <w:t xml:space="preserve"> </w:t>
      </w:r>
      <w:r w:rsidR="00FD1C78" w:rsidRPr="00FD1C78">
        <w:rPr>
          <w:color w:val="000000" w:themeColor="text1"/>
          <w:sz w:val="24"/>
          <w:lang w:val="ro-RO"/>
        </w:rPr>
        <w:tab/>
      </w:r>
      <w:r w:rsidRPr="00FD1C78">
        <w:rPr>
          <w:color w:val="000000" w:themeColor="text1"/>
          <w:sz w:val="24"/>
          <w:lang w:val="ro-RO"/>
        </w:rPr>
        <w:t>În cea de a opta legislatură, Parlamentul a adoptat 36 de rezoluții, iar în cea de a noua legislatură, Parlamentul a adoptat 38 de rezoluții</w:t>
      </w:r>
      <w:r w:rsidRPr="00FD1C78">
        <w:rPr>
          <w:sz w:val="24"/>
          <w:lang w:val="ro-RO"/>
        </w:rPr>
        <w:t xml:space="preserve"> în care se opune </w:t>
      </w:r>
      <w:r w:rsidRPr="00FD1C78">
        <w:rPr>
          <w:color w:val="000000" w:themeColor="text1"/>
          <w:sz w:val="24"/>
          <w:lang w:val="ro-RO"/>
        </w:rPr>
        <w:t>autorizării OMG-urilor. În plus, în cea de a zecea legislatură, Parlamentul a adoptat următoarele rezoluții:</w:t>
      </w:r>
    </w:p>
    <w:p w14:paraId="5AC90E45" w14:textId="4A006AC2"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hyperlink r:id="rId4">
        <w:r w:rsidR="00A81E68" w:rsidRPr="00FD1C78">
          <w:rPr>
            <w:rStyle w:val="Hyperlink"/>
            <w:sz w:val="24"/>
            <w:lang w:val="ro-RO"/>
          </w:rPr>
          <w:t>http://data.europa.eu/eli/C/2025/1797/oj</w:t>
        </w:r>
      </w:hyperlink>
      <w:r w:rsidR="00A81E68" w:rsidRPr="00FD1C78">
        <w:rPr>
          <w:color w:val="000000" w:themeColor="text1"/>
          <w:sz w:val="24"/>
          <w:lang w:val="ro-RO"/>
        </w:rPr>
        <w:t>).</w:t>
      </w:r>
    </w:p>
    <w:p w14:paraId="6E356519" w14:textId="0D0C7E81"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r w:rsidR="00A81E68" w:rsidRPr="00FD1C78">
          <w:rPr>
            <w:rStyle w:val="Hyperlink"/>
            <w:sz w:val="24"/>
            <w:lang w:val="ro-RO"/>
          </w:rPr>
          <w:t>http://data.europa.eu/eli/C/2025/1798/oj</w:t>
        </w:r>
      </w:hyperlink>
      <w:r w:rsidR="00A81E68" w:rsidRPr="00FD1C78">
        <w:rPr>
          <w:color w:val="000000" w:themeColor="text1"/>
          <w:sz w:val="24"/>
          <w:lang w:val="ro-RO"/>
        </w:rPr>
        <w:t>).</w:t>
      </w:r>
    </w:p>
    <w:p w14:paraId="11746FD7" w14:textId="335DCF2A"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w:t>
      </w:r>
      <w:proofErr w:type="spellStart"/>
      <w:r w:rsidR="00A81E68" w:rsidRPr="00FD1C78">
        <w:rPr>
          <w:color w:val="000000" w:themeColor="text1"/>
          <w:sz w:val="24"/>
          <w:lang w:val="ro-RO"/>
        </w:rPr>
        <w:t>subcombinațiile</w:t>
      </w:r>
      <w:proofErr w:type="spellEnd"/>
      <w:r w:rsidR="00A81E68" w:rsidRPr="00FD1C78">
        <w:rPr>
          <w:color w:val="000000" w:themeColor="text1"/>
          <w:sz w:val="24"/>
          <w:lang w:val="ro-RO"/>
        </w:rPr>
        <w:t xml:space="preserve"> acestuia, în temeiul Regulamentului (CE) nr. 1829/2003 al Parlamentului European și al Consiliului (JO C, C/2025/1799, 4.4.2025, ELI: </w:t>
      </w:r>
      <w:hyperlink r:id="rId6">
        <w:r w:rsidR="00A81E68" w:rsidRPr="00FD1C78">
          <w:rPr>
            <w:rStyle w:val="Hyperlink"/>
            <w:sz w:val="24"/>
            <w:lang w:val="ro-RO"/>
          </w:rPr>
          <w:t>http://data.europa.eu/eli/C/2025/1799/oj</w:t>
        </w:r>
      </w:hyperlink>
      <w:r w:rsidR="00A81E68" w:rsidRPr="00FD1C78">
        <w:rPr>
          <w:color w:val="000000" w:themeColor="text1"/>
          <w:sz w:val="24"/>
          <w:lang w:val="ro-RO"/>
        </w:rPr>
        <w:t>).</w:t>
      </w:r>
    </w:p>
    <w:p w14:paraId="3AF3330B" w14:textId="30E14FDB"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r w:rsidR="00A81E68" w:rsidRPr="00FD1C78">
          <w:rPr>
            <w:rStyle w:val="Hyperlink"/>
            <w:sz w:val="24"/>
            <w:lang w:val="ro-RO"/>
          </w:rPr>
          <w:t>http://data.europa.eu/eli/C/2025/1800/oj</w:t>
        </w:r>
      </w:hyperlink>
      <w:r w:rsidR="00A81E68" w:rsidRPr="00FD1C78">
        <w:rPr>
          <w:color w:val="000000" w:themeColor="text1"/>
          <w:sz w:val="24"/>
          <w:lang w:val="ro-RO"/>
        </w:rPr>
        <w:t>).</w:t>
      </w:r>
    </w:p>
    <w:p w14:paraId="1EF9FFB8" w14:textId="4EC156FB"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r w:rsidR="00A81E68" w:rsidRPr="00FD1C78">
          <w:rPr>
            <w:rStyle w:val="Hyperlink"/>
            <w:sz w:val="24"/>
            <w:lang w:val="ro-RO"/>
          </w:rPr>
          <w:t>http://data.europa.eu/eli/C/2025/1801/oj</w:t>
        </w:r>
      </w:hyperlink>
      <w:r w:rsidR="00A81E68" w:rsidRPr="00FD1C78">
        <w:rPr>
          <w:color w:val="000000" w:themeColor="text1"/>
          <w:sz w:val="24"/>
          <w:lang w:val="ro-RO"/>
        </w:rPr>
        <w:t>).</w:t>
      </w:r>
    </w:p>
    <w:p w14:paraId="77D3FDB2" w14:textId="6A32AD87"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r w:rsidR="00A81E68" w:rsidRPr="00FD1C78">
          <w:rPr>
            <w:rStyle w:val="Hyperlink"/>
            <w:sz w:val="24"/>
            <w:lang w:val="ro-RO"/>
          </w:rPr>
          <w:t>http://data.europa.eu/eli/C/2025/1802/oj</w:t>
        </w:r>
      </w:hyperlink>
      <w:r w:rsidR="00A81E68" w:rsidRPr="00FD1C78">
        <w:rPr>
          <w:color w:val="000000" w:themeColor="text1"/>
          <w:sz w:val="24"/>
          <w:lang w:val="ro-RO"/>
        </w:rPr>
        <w:t>).</w:t>
      </w:r>
    </w:p>
    <w:p w14:paraId="1AB89D49" w14:textId="353805C9"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r w:rsidR="00A81E68" w:rsidRPr="00FD1C78">
          <w:rPr>
            <w:rStyle w:val="Hyperlink"/>
            <w:sz w:val="24"/>
            <w:lang w:val="ro-RO"/>
          </w:rPr>
          <w:t>http://data.europa.eu/eli/C/2025/1803/oj</w:t>
        </w:r>
      </w:hyperlink>
      <w:r w:rsidR="00A81E68" w:rsidRPr="00FD1C78">
        <w:rPr>
          <w:color w:val="000000" w:themeColor="text1"/>
          <w:sz w:val="24"/>
          <w:lang w:val="ro-RO"/>
        </w:rPr>
        <w:t>).</w:t>
      </w:r>
    </w:p>
    <w:p w14:paraId="3776CAAB" w14:textId="4142BF85" w:rsidR="00A81E68" w:rsidRPr="00FD1C78" w:rsidRDefault="00FD1C78" w:rsidP="00FD1C78">
      <w:pPr>
        <w:pStyle w:val="FootnoteText"/>
        <w:ind w:left="567" w:hanging="567"/>
        <w:rPr>
          <w:color w:val="000000" w:themeColor="text1"/>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r w:rsidR="00A81E68" w:rsidRPr="00FD1C78">
          <w:rPr>
            <w:rStyle w:val="Hyperlink"/>
            <w:sz w:val="24"/>
            <w:lang w:val="ro-RO"/>
          </w:rPr>
          <w:t>http://data.europa.eu/eli/C/2025/1804/oj</w:t>
        </w:r>
      </w:hyperlink>
      <w:r w:rsidR="00A81E68" w:rsidRPr="00FD1C78">
        <w:rPr>
          <w:color w:val="000000" w:themeColor="text1"/>
          <w:sz w:val="24"/>
          <w:lang w:val="ro-RO"/>
        </w:rPr>
        <w:t>).</w:t>
      </w:r>
    </w:p>
    <w:p w14:paraId="6349D118" w14:textId="38BA2071" w:rsidR="00A81E68" w:rsidRPr="00FD1C78" w:rsidRDefault="00FD1C78" w:rsidP="00FD1C78">
      <w:pPr>
        <w:pStyle w:val="FootnoteText"/>
        <w:ind w:left="567" w:hanging="567"/>
        <w:rPr>
          <w:sz w:val="24"/>
          <w:vertAlign w:val="superscript"/>
          <w:lang w:val="ro-RO"/>
        </w:rPr>
      </w:pPr>
      <w:r w:rsidRPr="00FD1C78">
        <w:rPr>
          <w:color w:val="000000" w:themeColor="text1"/>
          <w:sz w:val="24"/>
          <w:lang w:val="ro-RO"/>
        </w:rPr>
        <w:t xml:space="preserve"> </w:t>
      </w:r>
      <w:r w:rsidRPr="00FD1C78">
        <w:rPr>
          <w:color w:val="000000" w:themeColor="text1"/>
          <w:sz w:val="24"/>
          <w:lang w:val="ro-RO"/>
        </w:rPr>
        <w:tab/>
      </w:r>
      <w:r w:rsidR="00A81E68" w:rsidRPr="00FD1C78">
        <w:rPr>
          <w:color w:val="000000" w:themeColor="text1"/>
          <w:sz w:val="24"/>
          <w:lang w:val="ro-RO"/>
        </w:rPr>
        <w:t>–</w:t>
      </w:r>
      <w:r w:rsidR="00A81E68" w:rsidRPr="00FD1C78">
        <w:rPr>
          <w:color w:val="000000" w:themeColor="text1"/>
          <w:sz w:val="24"/>
          <w:lang w:val="ro-RO"/>
        </w:rPr>
        <w:tab/>
      </w:r>
      <w:r w:rsidR="00A81E68" w:rsidRPr="00FD1C78">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2" w:tooltip="Oferă acces la acest document prin identificatorul său uniform de resurse ELI.">
        <w:r w:rsidR="00A81E68" w:rsidRPr="00FD1C78">
          <w:rPr>
            <w:rStyle w:val="Hyperlink"/>
            <w:sz w:val="24"/>
            <w:lang w:val="ro-RO"/>
          </w:rPr>
          <w:t>http://data.europa.eu/eli/C/2025/2246/oj</w:t>
        </w:r>
      </w:hyperlink>
      <w:r w:rsidR="00A81E68" w:rsidRPr="00FD1C78">
        <w:rPr>
          <w:sz w:val="24"/>
          <w:lang w:val="ro-RO"/>
        </w:rPr>
        <w:t>).</w:t>
      </w:r>
    </w:p>
    <w:p w14:paraId="21E770CB" w14:textId="577B61B2"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tooltip="Oferă acces la acest document prin identificatorul său uniform de resurse ELI.">
        <w:r w:rsidR="00A81E68" w:rsidRPr="00FD1C78">
          <w:rPr>
            <w:rStyle w:val="Hyperlink"/>
            <w:sz w:val="24"/>
            <w:lang w:val="ro-RO"/>
          </w:rPr>
          <w:t>http://data.europa.eu/eli/C/2025/2247/oj</w:t>
        </w:r>
      </w:hyperlink>
      <w:r w:rsidR="00A81E68" w:rsidRPr="00FD1C78">
        <w:rPr>
          <w:sz w:val="24"/>
          <w:lang w:val="ro-RO"/>
        </w:rPr>
        <w:t>).</w:t>
      </w:r>
    </w:p>
    <w:p w14:paraId="46DEE4E0" w14:textId="335FD0EB"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(JO C, C/2026/586, 24.2.2026, ELI: </w:t>
      </w:r>
      <w:hyperlink r:id="rId14" w:tooltip="Oferă acces la acest document prin identificatorul său uniform de resurse ELI." w:history="1">
        <w:r w:rsidR="00A81E68" w:rsidRPr="00FD1C78">
          <w:rPr>
            <w:rStyle w:val="Hyperlink"/>
            <w:sz w:val="24"/>
            <w:lang w:val="ro-RO"/>
          </w:rPr>
          <w:t>http://data.europa.eu/eli/C/2026/586/oj</w:t>
        </w:r>
      </w:hyperlink>
      <w:r w:rsidR="00A81E68" w:rsidRPr="00FD1C78">
        <w:rPr>
          <w:sz w:val="24"/>
          <w:lang w:val="ro-RO"/>
        </w:rPr>
        <w:t>).</w:t>
      </w:r>
    </w:p>
    <w:p w14:paraId="6FFF4A00" w14:textId="7DDE8662"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(Texte adoptate, P10_TA(2025)0222).</w:t>
      </w:r>
    </w:p>
    <w:p w14:paraId="2FC6E008" w14:textId="5CD65496"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(Texte adoptate, P10_TA(2025)0288).</w:t>
      </w:r>
    </w:p>
    <w:p w14:paraId="7B8D5A76" w14:textId="2577E96B"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(Texte adoptate, P10_TA(2025)0289).</w:t>
      </w:r>
    </w:p>
    <w:p w14:paraId="78D44C9C" w14:textId="04426912"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(Texte adoptate, P10_TA(2025)0290).</w:t>
      </w:r>
    </w:p>
    <w:p w14:paraId="038C04AC" w14:textId="02C577B0"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(Texte adoptate, P10_TA(2025)0291).</w:t>
      </w:r>
    </w:p>
    <w:p w14:paraId="2D9BE1AC" w14:textId="6C8D4B7D"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25 noiembrie 2025 referitoare la proiectul de decizie de punere în aplicare a Comisiei privind reînnoirea autorizației pentru introducerea pe piață a produselor care conțin, sunt compuse sau fabricate din porumb modificat genetic MON 87427, în temeiul Regulamentului (CE) nr. 1829/2003 al Parlamentului European și al Consiliului (Texte adoptate, P10_TA(2025)0292).</w:t>
      </w:r>
    </w:p>
    <w:p w14:paraId="502D5D3F" w14:textId="0395EF3B"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16 decembrie 2025 referitoare la proiectul de decizie de punere în aplicare a Comisiei privind reînnoirea autorizației pentru introducerea pe piață a produselor care conțin, sunt compuse sau fabricate din porumb modificat genetic NK603, în temeiul Regulamentului (CE) nr. 1829/2003 al Parlamentului European și al Consiliului (Texte adoptate, P10_TA(2025)0327).</w:t>
      </w:r>
    </w:p>
    <w:p w14:paraId="775F2AF3" w14:textId="2A07555F"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(Texte adoptate, P10_TA(2025)0328).</w:t>
      </w:r>
    </w:p>
    <w:p w14:paraId="18FFB027" w14:textId="7662D40E"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11 februarie 2026 referitoare la proiectul de decizie de punere în aplicare a Comisiei de autorizare a introducerii pe piață a produselor care conțin, constau în sau sunt fabricate din soia modificată genetic DBN-09004-6, în temeiul Regulamentului (CE) nr. 1829/2003 al Parlamentului European și al Consiliului (Texte adoptate, P10_TA(2026)0041).</w:t>
      </w:r>
    </w:p>
    <w:p w14:paraId="24159605" w14:textId="486E2648"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porumb modificat genetic T25 (ACS-ZMØØ3-2), în temeiul Regulamentului (CE) nr. 1829/2003 al Parlamentului European și al Consiliului (Texte adoptate, P10_TA(2026)0042).</w:t>
      </w:r>
    </w:p>
    <w:p w14:paraId="6B290D17" w14:textId="44BF621C" w:rsidR="00A81E68" w:rsidRPr="00FD1C78" w:rsidRDefault="00FD1C78" w:rsidP="00FD1C78">
      <w:pPr>
        <w:pStyle w:val="FootnoteText"/>
        <w:ind w:left="567" w:hanging="567"/>
        <w:rPr>
          <w:sz w:val="24"/>
          <w:vertAlign w:val="superscript"/>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bumbac modificat genetic GHB614 × LLCotton25, în temeiul Regulamentului (CE) nr. 1829/2003 al Parlamentului European și al Consiliului (Texte adoptate, P10_TA(2026)0043).</w:t>
      </w:r>
    </w:p>
    <w:p w14:paraId="20E80BF1" w14:textId="7D23B0B9" w:rsidR="00A81E68" w:rsidRPr="00FD1C78" w:rsidRDefault="00FD1C78" w:rsidP="00FD1C78">
      <w:pPr>
        <w:pStyle w:val="FootnoteText"/>
        <w:ind w:left="567" w:hanging="567"/>
        <w:rPr>
          <w:sz w:val="24"/>
          <w:lang w:val="ro-RO"/>
        </w:rPr>
      </w:pPr>
      <w:r w:rsidRPr="00FD1C78">
        <w:rPr>
          <w:sz w:val="24"/>
          <w:lang w:val="ro-RO"/>
        </w:rPr>
        <w:t xml:space="preserve"> </w:t>
      </w:r>
      <w:r w:rsidRPr="00FD1C78">
        <w:rPr>
          <w:sz w:val="24"/>
          <w:lang w:val="ro-RO"/>
        </w:rPr>
        <w:tab/>
      </w:r>
      <w:r w:rsidR="00A81E68" w:rsidRPr="00FD1C78">
        <w:rPr>
          <w:sz w:val="24"/>
          <w:lang w:val="ro-RO"/>
        </w:rPr>
        <w:t>–</w:t>
      </w:r>
      <w:r w:rsidR="00A81E68" w:rsidRPr="00FD1C78">
        <w:rPr>
          <w:sz w:val="24"/>
          <w:lang w:val="ro-RO"/>
        </w:rPr>
        <w:tab/>
        <w:t>Rezoluția Parlamentului European din 11 februarie 2026 referitoare la proiectul de decizie de punere în aplicare a Comisiei privind reînnoirea autorizației pentru introducerea pe piață a produselor care conțin, sunt compuse sau fabricate din bumbac modificat genetic T304-40, în temeiul Regulamentului (CE) nr. 1829/2003 al Parlamentului European și al Consiliului (Texte adoptate, P10_TA(2026)0044).</w:t>
      </w:r>
    </w:p>
  </w:footnote>
  <w:footnote w:id="5">
    <w:p w14:paraId="011ED547" w14:textId="71AE7E86" w:rsidR="00A81E68" w:rsidRPr="00FD1C78" w:rsidRDefault="00A81E68" w:rsidP="00FD1C78">
      <w:pPr>
        <w:pStyle w:val="FootnoteText"/>
        <w:ind w:left="567" w:hanging="567"/>
        <w:rPr>
          <w:sz w:val="24"/>
          <w:lang w:val="ro-RO"/>
        </w:rPr>
      </w:pPr>
      <w:r w:rsidRPr="00FD1C78">
        <w:rPr>
          <w:rStyle w:val="FootnoteReference"/>
          <w:sz w:val="24"/>
          <w:lang w:val="ro-RO"/>
        </w:rPr>
        <w:footnoteRef/>
      </w:r>
      <w:r w:rsidR="00FD1C78" w:rsidRPr="00FD1C78">
        <w:rPr>
          <w:sz w:val="24"/>
          <w:lang w:val="ro-RO"/>
        </w:rPr>
        <w:t xml:space="preserve"> </w:t>
      </w:r>
      <w:r w:rsidR="00FD1C78" w:rsidRPr="00FD1C78">
        <w:rPr>
          <w:sz w:val="24"/>
          <w:lang w:val="ro-RO"/>
        </w:rPr>
        <w:tab/>
      </w:r>
      <w:r w:rsidRPr="00FD1C78">
        <w:rPr>
          <w:sz w:val="24"/>
          <w:lang w:val="ro-RO"/>
        </w:rPr>
        <w:t xml:space="preserve">Chen, D., Moar, W.J., </w:t>
      </w:r>
      <w:proofErr w:type="spellStart"/>
      <w:r w:rsidRPr="00FD1C78">
        <w:rPr>
          <w:sz w:val="24"/>
          <w:lang w:val="ro-RO"/>
        </w:rPr>
        <w:t>Jerga</w:t>
      </w:r>
      <w:proofErr w:type="spellEnd"/>
      <w:r w:rsidRPr="00FD1C78">
        <w:rPr>
          <w:sz w:val="24"/>
          <w:lang w:val="ro-RO"/>
        </w:rPr>
        <w:t xml:space="preserve">, A., </w:t>
      </w:r>
      <w:proofErr w:type="spellStart"/>
      <w:r w:rsidRPr="00FD1C78">
        <w:rPr>
          <w:sz w:val="24"/>
          <w:lang w:val="ro-RO"/>
        </w:rPr>
        <w:t>Gowda</w:t>
      </w:r>
      <w:proofErr w:type="spellEnd"/>
      <w:r w:rsidRPr="00FD1C78">
        <w:rPr>
          <w:sz w:val="24"/>
          <w:lang w:val="ro-RO"/>
        </w:rPr>
        <w:t xml:space="preserve">, A., </w:t>
      </w:r>
      <w:proofErr w:type="spellStart"/>
      <w:r w:rsidRPr="00FD1C78">
        <w:rPr>
          <w:sz w:val="24"/>
          <w:lang w:val="ro-RO"/>
        </w:rPr>
        <w:t>Milligan</w:t>
      </w:r>
      <w:proofErr w:type="spellEnd"/>
      <w:r w:rsidRPr="00FD1C78">
        <w:rPr>
          <w:sz w:val="24"/>
          <w:lang w:val="ro-RO"/>
        </w:rPr>
        <w:t xml:space="preserve">, J.S., </w:t>
      </w:r>
      <w:proofErr w:type="spellStart"/>
      <w:r w:rsidRPr="00FD1C78">
        <w:rPr>
          <w:sz w:val="24"/>
          <w:lang w:val="ro-RO"/>
        </w:rPr>
        <w:t>Bretsynder</w:t>
      </w:r>
      <w:proofErr w:type="spellEnd"/>
      <w:r w:rsidRPr="00FD1C78">
        <w:rPr>
          <w:sz w:val="24"/>
          <w:lang w:val="ro-RO"/>
        </w:rPr>
        <w:t xml:space="preserve">, E.C., </w:t>
      </w:r>
      <w:proofErr w:type="spellStart"/>
      <w:r w:rsidRPr="00FD1C78">
        <w:rPr>
          <w:sz w:val="24"/>
          <w:lang w:val="ro-RO"/>
        </w:rPr>
        <w:t>Rydel</w:t>
      </w:r>
      <w:proofErr w:type="spellEnd"/>
      <w:r w:rsidRPr="00FD1C78">
        <w:rPr>
          <w:sz w:val="24"/>
          <w:lang w:val="ro-RO"/>
        </w:rPr>
        <w:t xml:space="preserve">, T.J., </w:t>
      </w:r>
      <w:proofErr w:type="spellStart"/>
      <w:r w:rsidRPr="00FD1C78">
        <w:rPr>
          <w:sz w:val="24"/>
          <w:lang w:val="ro-RO"/>
        </w:rPr>
        <w:t>Baum</w:t>
      </w:r>
      <w:proofErr w:type="spellEnd"/>
      <w:r w:rsidRPr="00FD1C78">
        <w:rPr>
          <w:sz w:val="24"/>
          <w:lang w:val="ro-RO"/>
        </w:rPr>
        <w:t xml:space="preserve">, J.A., </w:t>
      </w:r>
      <w:proofErr w:type="spellStart"/>
      <w:r w:rsidRPr="00FD1C78">
        <w:rPr>
          <w:sz w:val="24"/>
          <w:lang w:val="ro-RO"/>
        </w:rPr>
        <w:t>Semeao</w:t>
      </w:r>
      <w:proofErr w:type="spellEnd"/>
      <w:r w:rsidRPr="00FD1C78">
        <w:rPr>
          <w:sz w:val="24"/>
          <w:lang w:val="ro-RO"/>
        </w:rPr>
        <w:t xml:space="preserve">, A., Fu, S., </w:t>
      </w:r>
      <w:proofErr w:type="spellStart"/>
      <w:r w:rsidRPr="00FD1C78">
        <w:rPr>
          <w:sz w:val="24"/>
          <w:lang w:val="ro-RO"/>
        </w:rPr>
        <w:t>Guzov</w:t>
      </w:r>
      <w:proofErr w:type="spellEnd"/>
      <w:r w:rsidRPr="00FD1C78">
        <w:rPr>
          <w:sz w:val="24"/>
          <w:lang w:val="ro-RO"/>
        </w:rPr>
        <w:t xml:space="preserve">, V., </w:t>
      </w:r>
      <w:proofErr w:type="spellStart"/>
      <w:r w:rsidRPr="00FD1C78">
        <w:rPr>
          <w:sz w:val="24"/>
          <w:lang w:val="ro-RO"/>
        </w:rPr>
        <w:t>Gabbert</w:t>
      </w:r>
      <w:proofErr w:type="spellEnd"/>
      <w:r w:rsidRPr="00FD1C78">
        <w:rPr>
          <w:sz w:val="24"/>
          <w:lang w:val="ro-RO"/>
        </w:rPr>
        <w:t xml:space="preserve">, K., </w:t>
      </w:r>
      <w:proofErr w:type="spellStart"/>
      <w:r w:rsidRPr="00FD1C78">
        <w:rPr>
          <w:sz w:val="24"/>
          <w:lang w:val="ro-RO"/>
        </w:rPr>
        <w:t>Head</w:t>
      </w:r>
      <w:proofErr w:type="spellEnd"/>
      <w:r w:rsidRPr="00FD1C78">
        <w:rPr>
          <w:sz w:val="24"/>
          <w:lang w:val="ro-RO"/>
        </w:rPr>
        <w:t xml:space="preserve">, P.H., Haas, J.A. (2021), </w:t>
      </w:r>
      <w:r w:rsidRPr="00FD1C78">
        <w:rPr>
          <w:sz w:val="24"/>
          <w:shd w:val="clear" w:color="auto" w:fill="FFFFFF"/>
          <w:lang w:val="ro-RO"/>
        </w:rPr>
        <w:t>„</w:t>
      </w:r>
      <w:proofErr w:type="spellStart"/>
      <w:r w:rsidRPr="00FD1C78">
        <w:rPr>
          <w:i/>
          <w:sz w:val="24"/>
          <w:lang w:val="ro-RO"/>
        </w:rPr>
        <w:t>Bacillus</w:t>
      </w:r>
      <w:proofErr w:type="spellEnd"/>
      <w:r w:rsidRPr="00FD1C78">
        <w:rPr>
          <w:i/>
          <w:sz w:val="24"/>
          <w:lang w:val="ro-RO"/>
        </w:rPr>
        <w:t xml:space="preserve"> </w:t>
      </w:r>
      <w:proofErr w:type="spellStart"/>
      <w:r w:rsidRPr="00FD1C78">
        <w:rPr>
          <w:i/>
          <w:sz w:val="24"/>
          <w:lang w:val="ro-RO"/>
        </w:rPr>
        <w:t>thuringiensis</w:t>
      </w:r>
      <w:proofErr w:type="spellEnd"/>
      <w:r w:rsidRPr="00FD1C78">
        <w:rPr>
          <w:sz w:val="24"/>
          <w:lang w:val="ro-RO"/>
        </w:rPr>
        <w:t xml:space="preserve"> chimeric </w:t>
      </w:r>
      <w:proofErr w:type="spellStart"/>
      <w:r w:rsidRPr="00FD1C78">
        <w:rPr>
          <w:sz w:val="24"/>
          <w:lang w:val="ro-RO"/>
        </w:rPr>
        <w:t>proteins</w:t>
      </w:r>
      <w:proofErr w:type="spellEnd"/>
      <w:r w:rsidRPr="00FD1C78">
        <w:rPr>
          <w:sz w:val="24"/>
          <w:lang w:val="ro-RO"/>
        </w:rPr>
        <w:t xml:space="preserve"> Cry1A. 2 </w:t>
      </w:r>
      <w:proofErr w:type="spellStart"/>
      <w:r w:rsidRPr="00FD1C78">
        <w:rPr>
          <w:sz w:val="24"/>
          <w:lang w:val="ro-RO"/>
        </w:rPr>
        <w:t>and</w:t>
      </w:r>
      <w:proofErr w:type="spellEnd"/>
      <w:r w:rsidRPr="00FD1C78">
        <w:rPr>
          <w:sz w:val="24"/>
          <w:lang w:val="ro-RO"/>
        </w:rPr>
        <w:t xml:space="preserve"> Cry1B. 2 </w:t>
      </w:r>
      <w:proofErr w:type="spellStart"/>
      <w:r w:rsidRPr="00FD1C78">
        <w:rPr>
          <w:sz w:val="24"/>
          <w:lang w:val="ro-RO"/>
        </w:rPr>
        <w:t>to</w:t>
      </w:r>
      <w:proofErr w:type="spellEnd"/>
      <w:r w:rsidRPr="00FD1C78">
        <w:rPr>
          <w:sz w:val="24"/>
          <w:lang w:val="ro-RO"/>
        </w:rPr>
        <w:t xml:space="preserve"> control </w:t>
      </w:r>
      <w:proofErr w:type="spellStart"/>
      <w:r w:rsidRPr="00FD1C78">
        <w:rPr>
          <w:sz w:val="24"/>
          <w:lang w:val="ro-RO"/>
        </w:rPr>
        <w:t>soybean</w:t>
      </w:r>
      <w:proofErr w:type="spellEnd"/>
      <w:r w:rsidRPr="00FD1C78">
        <w:rPr>
          <w:sz w:val="24"/>
          <w:lang w:val="ro-RO"/>
        </w:rPr>
        <w:t xml:space="preserve"> </w:t>
      </w:r>
      <w:proofErr w:type="spellStart"/>
      <w:r w:rsidRPr="00FD1C78">
        <w:rPr>
          <w:sz w:val="24"/>
          <w:lang w:val="ro-RO"/>
        </w:rPr>
        <w:t>lepidopteran</w:t>
      </w:r>
      <w:proofErr w:type="spellEnd"/>
      <w:r w:rsidRPr="00FD1C78">
        <w:rPr>
          <w:sz w:val="24"/>
          <w:lang w:val="ro-RO"/>
        </w:rPr>
        <w:t xml:space="preserve"> </w:t>
      </w:r>
      <w:proofErr w:type="spellStart"/>
      <w:r w:rsidRPr="00FD1C78">
        <w:rPr>
          <w:sz w:val="24"/>
          <w:lang w:val="ro-RO"/>
        </w:rPr>
        <w:t>pests</w:t>
      </w:r>
      <w:proofErr w:type="spellEnd"/>
      <w:r w:rsidRPr="00FD1C78">
        <w:rPr>
          <w:sz w:val="24"/>
          <w:lang w:val="ro-RO"/>
        </w:rPr>
        <w:t xml:space="preserve">: New </w:t>
      </w:r>
      <w:proofErr w:type="spellStart"/>
      <w:r w:rsidRPr="00FD1C78">
        <w:rPr>
          <w:sz w:val="24"/>
          <w:lang w:val="ro-RO"/>
        </w:rPr>
        <w:t>domain</w:t>
      </w:r>
      <w:proofErr w:type="spellEnd"/>
      <w:r w:rsidRPr="00FD1C78">
        <w:rPr>
          <w:sz w:val="24"/>
          <w:lang w:val="ro-RO"/>
        </w:rPr>
        <w:t xml:space="preserve"> </w:t>
      </w:r>
      <w:proofErr w:type="spellStart"/>
      <w:r w:rsidRPr="00FD1C78">
        <w:rPr>
          <w:sz w:val="24"/>
          <w:lang w:val="ro-RO"/>
        </w:rPr>
        <w:t>combinations</w:t>
      </w:r>
      <w:proofErr w:type="spellEnd"/>
      <w:r w:rsidRPr="00FD1C78">
        <w:rPr>
          <w:sz w:val="24"/>
          <w:lang w:val="ro-RO"/>
        </w:rPr>
        <w:t xml:space="preserve"> </w:t>
      </w:r>
      <w:proofErr w:type="spellStart"/>
      <w:r w:rsidRPr="00FD1C78">
        <w:rPr>
          <w:sz w:val="24"/>
          <w:lang w:val="ro-RO"/>
        </w:rPr>
        <w:t>enhance</w:t>
      </w:r>
      <w:proofErr w:type="spellEnd"/>
      <w:r w:rsidRPr="00FD1C78">
        <w:rPr>
          <w:sz w:val="24"/>
          <w:lang w:val="ro-RO"/>
        </w:rPr>
        <w:t xml:space="preserve"> </w:t>
      </w:r>
      <w:proofErr w:type="spellStart"/>
      <w:r w:rsidRPr="00FD1C78">
        <w:rPr>
          <w:sz w:val="24"/>
          <w:lang w:val="ro-RO"/>
        </w:rPr>
        <w:t>insecticidal</w:t>
      </w:r>
      <w:proofErr w:type="spellEnd"/>
      <w:r w:rsidRPr="00FD1C78">
        <w:rPr>
          <w:sz w:val="24"/>
          <w:lang w:val="ro-RO"/>
        </w:rPr>
        <w:t xml:space="preserve"> </w:t>
      </w:r>
      <w:proofErr w:type="spellStart"/>
      <w:r w:rsidRPr="00FD1C78">
        <w:rPr>
          <w:sz w:val="24"/>
          <w:lang w:val="ro-RO"/>
        </w:rPr>
        <w:t>spectrum</w:t>
      </w:r>
      <w:proofErr w:type="spellEnd"/>
      <w:r w:rsidRPr="00FD1C78">
        <w:rPr>
          <w:sz w:val="24"/>
          <w:lang w:val="ro-RO"/>
        </w:rPr>
        <w:t xml:space="preserve"> of </w:t>
      </w:r>
      <w:proofErr w:type="spellStart"/>
      <w:r w:rsidRPr="00FD1C78">
        <w:rPr>
          <w:sz w:val="24"/>
          <w:lang w:val="ro-RO"/>
        </w:rPr>
        <w:t>activity</w:t>
      </w:r>
      <w:proofErr w:type="spellEnd"/>
      <w:r w:rsidRPr="00FD1C78">
        <w:rPr>
          <w:sz w:val="24"/>
          <w:lang w:val="ro-RO"/>
        </w:rPr>
        <w:t xml:space="preserve"> </w:t>
      </w:r>
      <w:proofErr w:type="spellStart"/>
      <w:r w:rsidRPr="00FD1C78">
        <w:rPr>
          <w:sz w:val="24"/>
          <w:lang w:val="ro-RO"/>
        </w:rPr>
        <w:t>and</w:t>
      </w:r>
      <w:proofErr w:type="spellEnd"/>
      <w:r w:rsidRPr="00FD1C78">
        <w:rPr>
          <w:sz w:val="24"/>
          <w:lang w:val="ro-RO"/>
        </w:rPr>
        <w:t xml:space="preserve"> </w:t>
      </w:r>
      <w:proofErr w:type="spellStart"/>
      <w:r w:rsidRPr="00FD1C78">
        <w:rPr>
          <w:sz w:val="24"/>
          <w:lang w:val="ro-RO"/>
        </w:rPr>
        <w:t>novel</w:t>
      </w:r>
      <w:proofErr w:type="spellEnd"/>
      <w:r w:rsidRPr="00FD1C78">
        <w:rPr>
          <w:sz w:val="24"/>
          <w:lang w:val="ro-RO"/>
        </w:rPr>
        <w:t xml:space="preserve"> receptor </w:t>
      </w:r>
      <w:proofErr w:type="spellStart"/>
      <w:r w:rsidRPr="00FD1C78">
        <w:rPr>
          <w:sz w:val="24"/>
          <w:lang w:val="ro-RO"/>
        </w:rPr>
        <w:t>contributions</w:t>
      </w:r>
      <w:proofErr w:type="spellEnd"/>
      <w:r w:rsidRPr="00FD1C78">
        <w:rPr>
          <w:sz w:val="24"/>
          <w:shd w:val="clear" w:color="auto" w:fill="FFFFFF"/>
          <w:lang w:val="ro-RO"/>
        </w:rPr>
        <w:t>”,</w:t>
      </w:r>
      <w:r w:rsidRPr="00FD1C78">
        <w:rPr>
          <w:sz w:val="24"/>
          <w:lang w:val="ro-RO"/>
        </w:rPr>
        <w:t xml:space="preserve"> </w:t>
      </w:r>
      <w:proofErr w:type="spellStart"/>
      <w:r w:rsidRPr="00FD1C78">
        <w:rPr>
          <w:i/>
          <w:sz w:val="24"/>
          <w:lang w:val="ro-RO"/>
        </w:rPr>
        <w:t>PLoS</w:t>
      </w:r>
      <w:proofErr w:type="spellEnd"/>
      <w:r w:rsidRPr="00FD1C78">
        <w:rPr>
          <w:i/>
          <w:sz w:val="24"/>
          <w:lang w:val="ro-RO"/>
        </w:rPr>
        <w:t xml:space="preserve"> </w:t>
      </w:r>
      <w:proofErr w:type="spellStart"/>
      <w:r w:rsidRPr="00FD1C78">
        <w:rPr>
          <w:i/>
          <w:sz w:val="24"/>
          <w:lang w:val="ro-RO"/>
        </w:rPr>
        <w:t>One</w:t>
      </w:r>
      <w:proofErr w:type="spellEnd"/>
      <w:r w:rsidRPr="00FD1C78">
        <w:rPr>
          <w:sz w:val="24"/>
          <w:lang w:val="ro-RO"/>
        </w:rPr>
        <w:t xml:space="preserve">, iunie 2017, 16(6), e0249150, </w:t>
      </w:r>
      <w:hyperlink r:id="rId15" w:history="1">
        <w:r w:rsidRPr="00FD1C78">
          <w:rPr>
            <w:rStyle w:val="Hyperlink"/>
            <w:sz w:val="24"/>
            <w:lang w:val="ro-RO"/>
          </w:rPr>
          <w:t>https://doi.org/10.1371/journal.pone.0249150</w:t>
        </w:r>
      </w:hyperlink>
      <w:r w:rsidRPr="00FD1C78">
        <w:rPr>
          <w:rStyle w:val="Hyperlink"/>
          <w:sz w:val="24"/>
          <w:lang w:val="ro-RO"/>
        </w:rPr>
        <w:t>.</w:t>
      </w:r>
    </w:p>
  </w:footnote>
  <w:footnote w:id="6">
    <w:p w14:paraId="16E8A52A" w14:textId="45FABBDE" w:rsidR="00A81E68" w:rsidRPr="00FD1C78" w:rsidRDefault="00A81E68" w:rsidP="00FD1C78">
      <w:pPr>
        <w:pStyle w:val="FootnoteText"/>
        <w:ind w:left="567" w:hanging="567"/>
        <w:rPr>
          <w:sz w:val="24"/>
          <w:lang w:val="ro-RO"/>
        </w:rPr>
      </w:pPr>
      <w:r w:rsidRPr="00FD1C78">
        <w:rPr>
          <w:rStyle w:val="Funotenzeichen"/>
          <w:sz w:val="24"/>
          <w:lang w:val="ro-RO"/>
        </w:rPr>
        <w:footnoteRef/>
      </w:r>
      <w:r w:rsidR="00FD1C78" w:rsidRPr="00FD1C78">
        <w:rPr>
          <w:sz w:val="24"/>
          <w:lang w:val="ro-RO"/>
        </w:rPr>
        <w:t xml:space="preserve"> </w:t>
      </w:r>
      <w:r w:rsidR="00FD1C78" w:rsidRPr="00FD1C78">
        <w:rPr>
          <w:sz w:val="24"/>
          <w:lang w:val="ro-RO"/>
        </w:rPr>
        <w:tab/>
      </w:r>
      <w:r w:rsidRPr="00FD1C78">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hyperlink r:id="rId16" w:tgtFrame="Gives%20access%20to%20this%20document%20through%20its%20ELI%20URI.">
        <w:r w:rsidRPr="00FD1C78">
          <w:rPr>
            <w:rStyle w:val="Hyperlink"/>
            <w:sz w:val="24"/>
            <w:lang w:val="ro-RO"/>
          </w:rPr>
          <w:t>http://data.europa.eu/eli/reg/2002/178/oj</w:t>
        </w:r>
      </w:hyperlink>
      <w:r w:rsidRPr="00FD1C78">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8D854" w14:textId="77777777" w:rsidR="00064002" w:rsidRPr="00FD1C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77212" w14:textId="77777777" w:rsidR="00064002" w:rsidRPr="00FD1C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BD6F" w14:textId="77777777" w:rsidR="00064002" w:rsidRPr="00FD1C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9051031">
    <w:abstractNumId w:val="9"/>
  </w:num>
  <w:num w:numId="2" w16cid:durableId="2048017796">
    <w:abstractNumId w:val="9"/>
  </w:num>
  <w:num w:numId="3" w16cid:durableId="1473209080">
    <w:abstractNumId w:val="7"/>
  </w:num>
  <w:num w:numId="4" w16cid:durableId="214658009">
    <w:abstractNumId w:val="7"/>
  </w:num>
  <w:num w:numId="5" w16cid:durableId="478109030">
    <w:abstractNumId w:val="6"/>
  </w:num>
  <w:num w:numId="6" w16cid:durableId="260574829">
    <w:abstractNumId w:val="6"/>
  </w:num>
  <w:num w:numId="7" w16cid:durableId="928003570">
    <w:abstractNumId w:val="5"/>
  </w:num>
  <w:num w:numId="8" w16cid:durableId="321204898">
    <w:abstractNumId w:val="5"/>
  </w:num>
  <w:num w:numId="9" w16cid:durableId="296223885">
    <w:abstractNumId w:val="4"/>
  </w:num>
  <w:num w:numId="10" w16cid:durableId="836073988">
    <w:abstractNumId w:val="4"/>
  </w:num>
  <w:num w:numId="11" w16cid:durableId="1677809897">
    <w:abstractNumId w:val="8"/>
  </w:num>
  <w:num w:numId="12" w16cid:durableId="413093580">
    <w:abstractNumId w:val="8"/>
  </w:num>
  <w:num w:numId="13" w16cid:durableId="264047248">
    <w:abstractNumId w:val="3"/>
  </w:num>
  <w:num w:numId="14" w16cid:durableId="664479447">
    <w:abstractNumId w:val="3"/>
  </w:num>
  <w:num w:numId="15" w16cid:durableId="269702832">
    <w:abstractNumId w:val="2"/>
  </w:num>
  <w:num w:numId="16" w16cid:durableId="826046745">
    <w:abstractNumId w:val="2"/>
  </w:num>
  <w:num w:numId="17" w16cid:durableId="387920998">
    <w:abstractNumId w:val="1"/>
  </w:num>
  <w:num w:numId="18" w16cid:durableId="431631339">
    <w:abstractNumId w:val="1"/>
  </w:num>
  <w:num w:numId="19" w16cid:durableId="571045250">
    <w:abstractNumId w:val="0"/>
  </w:num>
  <w:num w:numId="20" w16cid:durableId="692998391">
    <w:abstractNumId w:val="0"/>
  </w:num>
  <w:num w:numId="21" w16cid:durableId="208809554">
    <w:abstractNumId w:val="9"/>
  </w:num>
  <w:num w:numId="22" w16cid:durableId="2100445967">
    <w:abstractNumId w:val="7"/>
  </w:num>
  <w:num w:numId="23" w16cid:durableId="591671779">
    <w:abstractNumId w:val="6"/>
  </w:num>
  <w:num w:numId="24" w16cid:durableId="393282832">
    <w:abstractNumId w:val="5"/>
  </w:num>
  <w:num w:numId="25" w16cid:durableId="378088862">
    <w:abstractNumId w:val="4"/>
  </w:num>
  <w:num w:numId="26" w16cid:durableId="593830786">
    <w:abstractNumId w:val="8"/>
  </w:num>
  <w:num w:numId="27" w16cid:durableId="788429246">
    <w:abstractNumId w:val="3"/>
  </w:num>
  <w:num w:numId="28" w16cid:durableId="1162349315">
    <w:abstractNumId w:val="2"/>
  </w:num>
  <w:num w:numId="29" w16cid:durableId="1525290112">
    <w:abstractNumId w:val="1"/>
  </w:num>
  <w:num w:numId="30" w16cid:durableId="1912226830">
    <w:abstractNumId w:val="0"/>
  </w:num>
  <w:num w:numId="31" w16cid:durableId="1728605381">
    <w:abstractNumId w:val="9"/>
  </w:num>
  <w:num w:numId="32" w16cid:durableId="823621753">
    <w:abstractNumId w:val="7"/>
  </w:num>
  <w:num w:numId="33" w16cid:durableId="1491292348">
    <w:abstractNumId w:val="6"/>
  </w:num>
  <w:num w:numId="34" w16cid:durableId="1361935389">
    <w:abstractNumId w:val="5"/>
  </w:num>
  <w:num w:numId="35" w16cid:durableId="386337457">
    <w:abstractNumId w:val="4"/>
  </w:num>
  <w:num w:numId="36" w16cid:durableId="444614878">
    <w:abstractNumId w:val="8"/>
  </w:num>
  <w:num w:numId="37" w16cid:durableId="1368457590">
    <w:abstractNumId w:val="3"/>
  </w:num>
  <w:num w:numId="38" w16cid:durableId="1100636393">
    <w:abstractNumId w:val="2"/>
  </w:num>
  <w:num w:numId="39" w16cid:durableId="662785288">
    <w:abstractNumId w:val="1"/>
  </w:num>
  <w:num w:numId="40" w16cid:durableId="260798910">
    <w:abstractNumId w:val="0"/>
  </w:num>
  <w:num w:numId="41" w16cid:durableId="398788114">
    <w:abstractNumId w:val="10"/>
  </w:num>
  <w:num w:numId="42" w16cid:durableId="1239048798">
    <w:abstractNumId w:val="10"/>
  </w:num>
  <w:num w:numId="43" w16cid:durableId="1136948834">
    <w:abstractNumId w:val="10"/>
  </w:num>
  <w:num w:numId="44" w16cid:durableId="19776821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86/2026"/>
    <w:docVar w:name="dvlangue" w:val="RO"/>
    <w:docVar w:name="dvnumam" w:val="0"/>
    <w:docVar w:name="dvpe" w:val="785.406"/>
    <w:docVar w:name="dvtitre" w:val="Rezoluția Parlamentului European din 29 aprilie 2026 referitoare la proiectul de decizie de punere în aplicare a Comisiei de autorizare a introducerii pe piață a produselor care conțin, sunt compuse sau fabricate din soia modificată genetic MON 94637, în temeiul Regulamentului (CE) nr. 1829/2003 al Parlamentului European și al Consiliului(D113501/03 – 2026/2651(RSP))"/>
  </w:docVars>
  <w:rsids>
    <w:rsidRoot w:val="005C6BF7"/>
    <w:rsid w:val="00002272"/>
    <w:rsid w:val="0005087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BF7"/>
    <w:rsid w:val="005F1B17"/>
    <w:rsid w:val="005F65B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492"/>
    <w:rsid w:val="00A1687D"/>
    <w:rsid w:val="00A43E52"/>
    <w:rsid w:val="00A4678D"/>
    <w:rsid w:val="00A778C7"/>
    <w:rsid w:val="00A81E6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2F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1C7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720FA"/>
  <w15:chartTrackingRefBased/>
  <w15:docId w15:val="{733028D4-DD4F-4F26-B4CE-E94DA9450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A81E68"/>
    <w:pPr>
      <w:spacing w:before="480" w:after="240"/>
    </w:pPr>
  </w:style>
  <w:style w:type="paragraph" w:customStyle="1" w:styleId="NormalHanging12a">
    <w:name w:val="NormalHanging12a"/>
    <w:basedOn w:val="Normal"/>
    <w:qFormat/>
    <w:rsid w:val="00A81E68"/>
    <w:pPr>
      <w:spacing w:after="240"/>
      <w:ind w:left="567" w:hanging="567"/>
    </w:pPr>
  </w:style>
  <w:style w:type="paragraph" w:customStyle="1" w:styleId="NormalBold">
    <w:name w:val="NormalBold"/>
    <w:basedOn w:val="Normal"/>
    <w:qFormat/>
    <w:rsid w:val="00A81E68"/>
    <w:rPr>
      <w:b/>
    </w:rPr>
  </w:style>
  <w:style w:type="character" w:styleId="Hyperlink">
    <w:name w:val="Hyperlink"/>
    <w:basedOn w:val="DefaultParagraphFont"/>
    <w:uiPriority w:val="99"/>
    <w:unhideWhenUsed/>
    <w:rsid w:val="00A81E68"/>
    <w:rPr>
      <w:color w:val="0000FF"/>
      <w:u w:val="single"/>
    </w:rPr>
  </w:style>
  <w:style w:type="character" w:customStyle="1" w:styleId="Funotenzeichen">
    <w:name w:val="Fußnotenzeichen"/>
    <w:basedOn w:val="DefaultParagraphFont"/>
    <w:uiPriority w:val="99"/>
    <w:qFormat/>
    <w:rsid w:val="00A81E68"/>
    <w:rPr>
      <w:rFonts w:cs="Times New Roman"/>
      <w:vertAlign w:val="superscript"/>
    </w:rPr>
  </w:style>
  <w:style w:type="paragraph" w:styleId="NormalWeb">
    <w:name w:val="Normal (Web)"/>
    <w:basedOn w:val="Normal"/>
    <w:uiPriority w:val="99"/>
    <w:unhideWhenUsed/>
    <w:qFormat/>
    <w:rsid w:val="00A81E68"/>
    <w:pPr>
      <w:widowControl/>
      <w:suppressAutoHyphens/>
      <w:spacing w:beforeAutospacing="1" w:afterAutospacing="1"/>
    </w:pPr>
    <w:rPr>
      <w:szCs w:val="24"/>
    </w:rPr>
  </w:style>
  <w:style w:type="paragraph" w:styleId="Revision">
    <w:name w:val="Revision"/>
    <w:hidden/>
    <w:uiPriority w:val="99"/>
    <w:semiHidden/>
    <w:rsid w:val="0005087F"/>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581"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2002/17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371/journal.pone.0249150"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C/2026/58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1233</Words>
  <Characters>7403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2026-04-29T15:43:00Z</dcterms:created>
  <dcterms:modified xsi:type="dcterms:W3CDTF">2026-04-29T15:43:00Z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B10-0186/2026</vt:lpwstr>
  </property>
  <property fmtid="{D5CDD505-2E9C-101B-9397-08002B2CF9AE}" pid="4" name="&lt;Type&gt;">
    <vt:lpwstr>RR</vt:lpwstr>
  </property>
</Properties>
</file>