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58B0" w14:paraId="0AB4FBAB" w14:textId="77777777" w:rsidTr="0010095E">
        <w:trPr>
          <w:trHeight w:hRule="exact" w:val="1418"/>
        </w:trPr>
        <w:tc>
          <w:tcPr>
            <w:tcW w:w="6804" w:type="dxa"/>
            <w:shd w:val="clear" w:color="auto" w:fill="auto"/>
            <w:vAlign w:val="center"/>
          </w:tcPr>
          <w:p w14:paraId="3B7E6A86" w14:textId="31526304" w:rsidR="00751A4A" w:rsidRPr="001258B0" w:rsidRDefault="00473799" w:rsidP="0010095E">
            <w:pPr>
              <w:pStyle w:val="EPName"/>
            </w:pPr>
            <w:r w:rsidRPr="001258B0">
              <w:t>Evropski parlament</w:t>
            </w:r>
          </w:p>
          <w:p w14:paraId="7BC9608E" w14:textId="77777777" w:rsidR="00751A4A" w:rsidRPr="001258B0" w:rsidRDefault="005F1B17" w:rsidP="005F1B17">
            <w:pPr>
              <w:pStyle w:val="EPTerm"/>
              <w:rPr>
                <w:rStyle w:val="HideTWBExt"/>
                <w:noProof w:val="0"/>
                <w:vanish w:val="0"/>
                <w:color w:val="auto"/>
              </w:rPr>
            </w:pPr>
            <w:r w:rsidRPr="001258B0">
              <w:t>2024</w:t>
            </w:r>
            <w:r w:rsidR="00817416" w:rsidRPr="001258B0">
              <w:t>-202</w:t>
            </w:r>
            <w:r w:rsidRPr="001258B0">
              <w:t>9</w:t>
            </w:r>
          </w:p>
        </w:tc>
        <w:tc>
          <w:tcPr>
            <w:tcW w:w="2268" w:type="dxa"/>
            <w:shd w:val="clear" w:color="auto" w:fill="auto"/>
          </w:tcPr>
          <w:p w14:paraId="778A2B88" w14:textId="77777777" w:rsidR="00751A4A" w:rsidRPr="001258B0" w:rsidRDefault="00187494" w:rsidP="0010095E">
            <w:pPr>
              <w:pStyle w:val="EPLogo"/>
            </w:pPr>
            <w:r w:rsidRPr="001258B0">
              <w:rPr>
                <w:noProof/>
                <w:lang w:eastAsia="ja-JP"/>
              </w:rPr>
              <w:drawing>
                <wp:inline distT="0" distB="0" distL="0" distR="0" wp14:anchorId="29157C79" wp14:editId="3854FA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277AF4" w14:textId="77777777" w:rsidR="00D058B8" w:rsidRPr="001258B0" w:rsidRDefault="00D058B8" w:rsidP="004C5D52">
      <w:pPr>
        <w:pStyle w:val="LineTop"/>
      </w:pPr>
    </w:p>
    <w:p w14:paraId="71A4C671" w14:textId="53642400" w:rsidR="00680577" w:rsidRPr="001258B0" w:rsidRDefault="00473799" w:rsidP="00680577">
      <w:pPr>
        <w:pStyle w:val="EPBodyTA1"/>
      </w:pPr>
      <w:r w:rsidRPr="001258B0">
        <w:t>SPREJETA BESEDILA</w:t>
      </w:r>
    </w:p>
    <w:p w14:paraId="595DDB27" w14:textId="77777777" w:rsidR="00D058B8" w:rsidRPr="001258B0" w:rsidRDefault="00D058B8" w:rsidP="00D058B8">
      <w:pPr>
        <w:pStyle w:val="LineBottom"/>
      </w:pPr>
    </w:p>
    <w:p w14:paraId="705FF42C" w14:textId="6307BBE5" w:rsidR="00473799" w:rsidRPr="001258B0" w:rsidRDefault="00473799" w:rsidP="00473799">
      <w:pPr>
        <w:pStyle w:val="ATHeading1"/>
      </w:pPr>
      <w:bookmarkStart w:id="0" w:name="TANumber"/>
      <w:r w:rsidRPr="001258B0">
        <w:t>P10_TA(2026)0</w:t>
      </w:r>
      <w:r w:rsidR="003A4C8D" w:rsidRPr="001258B0">
        <w:t>150</w:t>
      </w:r>
      <w:bookmarkEnd w:id="0"/>
    </w:p>
    <w:p w14:paraId="034A19CF" w14:textId="50538776" w:rsidR="00473799" w:rsidRPr="001258B0" w:rsidRDefault="00C20121" w:rsidP="00473799">
      <w:pPr>
        <w:pStyle w:val="ATHeading2"/>
      </w:pPr>
      <w:bookmarkStart w:id="1" w:name="title"/>
      <w:r w:rsidRPr="001258B0">
        <w:t>G</w:t>
      </w:r>
      <w:r w:rsidR="00473799" w:rsidRPr="001258B0">
        <w:t>ensko spremenjena soja MON 94637</w:t>
      </w:r>
      <w:bookmarkEnd w:id="1"/>
    </w:p>
    <w:p w14:paraId="74D3249F" w14:textId="77777777" w:rsidR="00473799" w:rsidRPr="001258B0" w:rsidRDefault="00473799" w:rsidP="00473799">
      <w:pPr>
        <w:rPr>
          <w:i/>
          <w:vanish/>
        </w:rPr>
      </w:pPr>
      <w:r w:rsidRPr="001258B0">
        <w:rPr>
          <w:i/>
        </w:rPr>
        <w:fldChar w:fldCharType="begin"/>
      </w:r>
      <w:r w:rsidRPr="001258B0">
        <w:rPr>
          <w:i/>
        </w:rPr>
        <w:instrText xml:space="preserve"> TC"(</w:instrText>
      </w:r>
      <w:bookmarkStart w:id="2" w:name="DocNumber"/>
      <w:r w:rsidRPr="001258B0">
        <w:rPr>
          <w:i/>
        </w:rPr>
        <w:instrText>B10-0186/2026</w:instrText>
      </w:r>
      <w:bookmarkEnd w:id="2"/>
      <w:r w:rsidRPr="001258B0">
        <w:rPr>
          <w:i/>
        </w:rPr>
        <w:instrText xml:space="preserve">)"\l3 \n&gt; \* MERGEFORMAT </w:instrText>
      </w:r>
      <w:r w:rsidRPr="001258B0">
        <w:rPr>
          <w:i/>
        </w:rPr>
        <w:fldChar w:fldCharType="end"/>
      </w:r>
    </w:p>
    <w:p w14:paraId="0807A151" w14:textId="77777777" w:rsidR="00473799" w:rsidRPr="001258B0" w:rsidRDefault="00473799" w:rsidP="00473799">
      <w:pPr>
        <w:rPr>
          <w:vanish/>
        </w:rPr>
      </w:pPr>
      <w:bookmarkStart w:id="3" w:name="PE"/>
      <w:r w:rsidRPr="001258B0">
        <w:rPr>
          <w:vanish/>
        </w:rPr>
        <w:t>PE785.406</w:t>
      </w:r>
      <w:bookmarkEnd w:id="3"/>
    </w:p>
    <w:p w14:paraId="14259D2C" w14:textId="77777777" w:rsidR="00473799" w:rsidRPr="001258B0" w:rsidRDefault="00473799" w:rsidP="00473799">
      <w:pPr>
        <w:pStyle w:val="ATHeading3"/>
      </w:pPr>
      <w:bookmarkStart w:id="4" w:name="Sujet"/>
      <w:r w:rsidRPr="001258B0">
        <w:t>Resolucija Evropskega parlamenta z dne 29. aprila 2026 o osnutku izvedbenega sklepa Komisije o odobritvi dajanja na trg proizvodov, ki vsebujejo gensko spremenjeno sojo MON 94637, so iz nje sestavljeni ali proizvedeni, v skladu z Uredbo (ES) št. 1829/2003 Evropskega parlamenta in Sveta</w:t>
      </w:r>
      <w:bookmarkEnd w:id="4"/>
      <w:r w:rsidRPr="001258B0">
        <w:t xml:space="preserve"> </w:t>
      </w:r>
      <w:bookmarkStart w:id="5" w:name="References"/>
      <w:r w:rsidRPr="001258B0">
        <w:t>(D113501/03 – 2026/2651(RSP))</w:t>
      </w:r>
      <w:bookmarkEnd w:id="5"/>
    </w:p>
    <w:p w14:paraId="0C6F1C26" w14:textId="77777777" w:rsidR="00834420" w:rsidRPr="001258B0" w:rsidRDefault="00834420" w:rsidP="00834420">
      <w:pPr>
        <w:pStyle w:val="EPComma"/>
      </w:pPr>
      <w:bookmarkStart w:id="6" w:name="TextBodyBegin"/>
      <w:bookmarkEnd w:id="6"/>
      <w:r w:rsidRPr="001258B0">
        <w:rPr>
          <w:i/>
        </w:rPr>
        <w:t>Evropski parlament</w:t>
      </w:r>
      <w:r w:rsidRPr="001258B0">
        <w:t>,</w:t>
      </w:r>
    </w:p>
    <w:p w14:paraId="1D979EC5" w14:textId="77777777" w:rsidR="00834420" w:rsidRPr="001258B0" w:rsidRDefault="00834420" w:rsidP="00834420">
      <w:pPr>
        <w:pStyle w:val="NormalHanging12a"/>
      </w:pPr>
      <w:r w:rsidRPr="001258B0">
        <w:t>–</w:t>
      </w:r>
      <w:r w:rsidRPr="001258B0">
        <w:tab/>
        <w:t>ob upoštevanju osnutka izvedbenega sklepa Komisije o odobritvi dajanja proizvodov, ki vsebujejo gensko spremenjeno sojo MON 94637, so iz nje sestavljeni ali proizvedeni, na trg v skladu z Uredbo (ES) št. 1829/2003 Evropskega parlamenta in Sveta (D113501/03),</w:t>
      </w:r>
    </w:p>
    <w:p w14:paraId="5CB2B18C" w14:textId="77777777" w:rsidR="00834420" w:rsidRPr="001258B0" w:rsidRDefault="00834420" w:rsidP="00834420">
      <w:pPr>
        <w:pStyle w:val="NormalHanging12a"/>
      </w:pPr>
      <w:r w:rsidRPr="001258B0">
        <w:t>–</w:t>
      </w:r>
      <w:r w:rsidRPr="001258B0">
        <w:tab/>
        <w:t>ob upoštevanju Uredbe (ES) št. 1829/2003 Evropskega parlamenta in Sveta z dne 22. septembra 2003 o gensko spremenjenih živilih in krmi</w:t>
      </w:r>
      <w:r w:rsidRPr="001258B0">
        <w:rPr>
          <w:rStyle w:val="FootnoteReference"/>
        </w:rPr>
        <w:footnoteReference w:id="1"/>
      </w:r>
      <w:r w:rsidRPr="001258B0">
        <w:t>, zlasti člena 7(3) in člena 19(3),</w:t>
      </w:r>
    </w:p>
    <w:p w14:paraId="4E523AB9" w14:textId="77777777" w:rsidR="00834420" w:rsidRPr="001258B0" w:rsidRDefault="00834420" w:rsidP="00834420">
      <w:pPr>
        <w:pStyle w:val="NormalHanging12a"/>
      </w:pPr>
      <w:r w:rsidRPr="001258B0">
        <w:t>–</w:t>
      </w:r>
      <w:r w:rsidRPr="001258B0">
        <w:tab/>
        <w:t xml:space="preserve">ob upoštevanju glasovanja Stalnega odbora za rastline, živali, hrano in krmo iz člena 35 Uredbe (ES) št. 1829/2003, ki je potekalo 27. februarja 2026 in na podlagi katerega ni bilo podano mnenje, </w:t>
      </w:r>
      <w:bookmarkStart w:id="7" w:name="_Hlk219206484"/>
      <w:r w:rsidRPr="001258B0">
        <w:t>ter glasovanja v odboru za pritožbe 31. marca 2026, na podlagi katerega prav tako ni bilo podano mnenje,</w:t>
      </w:r>
      <w:bookmarkEnd w:id="7"/>
    </w:p>
    <w:p w14:paraId="43A3B681" w14:textId="77777777" w:rsidR="00834420" w:rsidRPr="001258B0" w:rsidRDefault="00834420" w:rsidP="00834420">
      <w:pPr>
        <w:pStyle w:val="NormalHanging12a"/>
        <w:widowControl/>
      </w:pPr>
      <w:r w:rsidRPr="001258B0">
        <w:t>–</w:t>
      </w:r>
      <w:r w:rsidRPr="001258B0">
        <w:tab/>
        <w:t>ob upoštevanju člena 11 Uredbe (EU) št. 182/2011 Evropskega parlamenta in Sveta z dne 16. Februarja 2011 o določitvi splošnih pravil in načel, na podlagi katerih države članice nadzirajo izvajanje izvedbenih pooblastil Komisije</w:t>
      </w:r>
      <w:bookmarkStart w:id="8" w:name="_Hlk210662860"/>
      <w:r w:rsidRPr="001258B0">
        <w:rPr>
          <w:rStyle w:val="FootnoteReference"/>
          <w:szCs w:val="24"/>
        </w:rPr>
        <w:footnoteReference w:id="2"/>
      </w:r>
      <w:bookmarkEnd w:id="8"/>
      <w:r w:rsidRPr="001258B0">
        <w:t>,</w:t>
      </w:r>
    </w:p>
    <w:p w14:paraId="7A9D50E5" w14:textId="77777777" w:rsidR="00834420" w:rsidRPr="001258B0" w:rsidRDefault="00834420" w:rsidP="00834420">
      <w:pPr>
        <w:pStyle w:val="NormalHanging12a"/>
      </w:pPr>
      <w:r w:rsidRPr="001258B0">
        <w:t>–</w:t>
      </w:r>
      <w:r w:rsidRPr="001258B0">
        <w:tab/>
        <w:t>ob upoštevanju mnenja, ki ga je Evropska agencija za varnost hrane (EFSA) sprejela 1. julija 2025 in objavila 23. oktobra 2025</w:t>
      </w:r>
      <w:r w:rsidRPr="001258B0">
        <w:rPr>
          <w:rStyle w:val="FootnoteReference"/>
        </w:rPr>
        <w:footnoteReference w:id="3"/>
      </w:r>
      <w:r w:rsidRPr="001258B0">
        <w:t>,</w:t>
      </w:r>
    </w:p>
    <w:p w14:paraId="00355FD3" w14:textId="77777777" w:rsidR="00834420" w:rsidRPr="001258B0" w:rsidRDefault="00834420" w:rsidP="00834420">
      <w:pPr>
        <w:pStyle w:val="NormalHanging12a"/>
      </w:pPr>
      <w:r w:rsidRPr="001258B0">
        <w:t>–</w:t>
      </w:r>
      <w:r w:rsidRPr="001258B0">
        <w:tab/>
        <w:t xml:space="preserve">ob upoštevanju svojih preteklih resolucij, s katerimi je nasprotoval odobritvi gensko </w:t>
      </w:r>
      <w:r w:rsidRPr="001258B0">
        <w:lastRenderedPageBreak/>
        <w:t>spremenjenih organizmov</w:t>
      </w:r>
      <w:r w:rsidRPr="001258B0">
        <w:rPr>
          <w:rStyle w:val="FootnoteReference"/>
        </w:rPr>
        <w:footnoteReference w:id="4"/>
      </w:r>
      <w:r w:rsidRPr="001258B0">
        <w:t>,</w:t>
      </w:r>
    </w:p>
    <w:p w14:paraId="1AA9D43B" w14:textId="77777777" w:rsidR="00834420" w:rsidRPr="001258B0" w:rsidRDefault="00834420" w:rsidP="00834420">
      <w:pPr>
        <w:pStyle w:val="NormalHanging12a"/>
      </w:pPr>
      <w:r w:rsidRPr="001258B0">
        <w:lastRenderedPageBreak/>
        <w:t>–</w:t>
      </w:r>
      <w:r w:rsidRPr="001258B0">
        <w:tab/>
        <w:t>ob upoštevanju člena 115(2) in (3) Poslovnika,</w:t>
      </w:r>
    </w:p>
    <w:p w14:paraId="003FA638" w14:textId="77777777" w:rsidR="00834420" w:rsidRPr="001258B0" w:rsidRDefault="00834420" w:rsidP="00834420">
      <w:pPr>
        <w:pStyle w:val="NormalHanging12a"/>
      </w:pPr>
      <w:r w:rsidRPr="001258B0">
        <w:t>–</w:t>
      </w:r>
      <w:r w:rsidRPr="001258B0">
        <w:tab/>
        <w:t>ob upoštevanju predloga resolucije Odbora za okolje, podnebje in varnost hrane,</w:t>
      </w:r>
    </w:p>
    <w:p w14:paraId="24D85877" w14:textId="77777777" w:rsidR="00834420" w:rsidRPr="001258B0" w:rsidRDefault="00834420" w:rsidP="00834420">
      <w:pPr>
        <w:pStyle w:val="NormalHanging12a"/>
      </w:pPr>
      <w:r w:rsidRPr="001258B0">
        <w:t>A.</w:t>
      </w:r>
      <w:r w:rsidRPr="001258B0">
        <w:tab/>
        <w:t>ker je bila gensko spremenjena soja MON 94637 (v nadaljnjem besedilu: gensko spremenjena soja) razvita za zaščito pred nekaterimi škodljivci iz reda Lepidoptera z izražanjem dveh novozasnovanih himernih proteinov Bt, Cry1A.2 in Cry1B.2;</w:t>
      </w:r>
    </w:p>
    <w:p w14:paraId="1AC69A04" w14:textId="77777777" w:rsidR="00834420" w:rsidRPr="001258B0" w:rsidRDefault="00834420" w:rsidP="00834420">
      <w:pPr>
        <w:pStyle w:val="NormalHanging12a"/>
      </w:pPr>
      <w:r w:rsidRPr="001258B0">
        <w:t>B.</w:t>
      </w:r>
      <w:r w:rsidRPr="001258B0">
        <w:tab/>
        <w:t>ker je agencija EFSA 1. julija 2025 objavila pozitivno mnenje, v katerem je ugotovila, da je ta gensko spremenjena soja enako varna kot konvencionalna soja in testirane gensko nespremenjene sorte, kar zadeva morebitne učinke na zdravje ljudi in živali ter okolje; ker je agencija EFSA ugotovila, da uživanje hrane in krme iz gensko spremenjene soje ne pomeni prehranskega tveganja in da nenamerna okoljska izpostavljenost ne vzbuja pomislekov glede varnosti;</w:t>
      </w:r>
    </w:p>
    <w:p w14:paraId="500F5C1D" w14:textId="77777777" w:rsidR="00834420" w:rsidRPr="001258B0" w:rsidRDefault="00834420" w:rsidP="00834420">
      <w:pPr>
        <w:pStyle w:val="NormalHanging12a"/>
      </w:pPr>
      <w:r w:rsidRPr="001258B0">
        <w:t>C.</w:t>
      </w:r>
      <w:r w:rsidRPr="001258B0">
        <w:tab/>
        <w:t>ker je agencija EFSA ugotovila tudi, da pri molekularni karakterizaciji in bioinformacijskih analizah niso bile opredeljene težave, zaradi katerih bi bila potrebna dodatna ocena varnosti živil ali krme, in da spremljanje po dajanju na trg ni potrebno;</w:t>
      </w:r>
    </w:p>
    <w:p w14:paraId="784D9FC2" w14:textId="77777777" w:rsidR="00834420" w:rsidRPr="001258B0" w:rsidRDefault="00834420" w:rsidP="00834420">
      <w:pPr>
        <w:pStyle w:val="NormalHanging12a"/>
      </w:pPr>
      <w:r w:rsidRPr="001258B0">
        <w:t>D.</w:t>
      </w:r>
      <w:r w:rsidRPr="001258B0">
        <w:tab/>
        <w:t xml:space="preserve">ker znanstvena literatura kljub pozitivni oceni agencije EFSA kaže, da imata novozasnovana himerna toksina Bt Cry1A.2 in Cry1B.2 v primerjavi s svojima izvornima toksinoma znatno povečano insekticidno delovanje, kar vzbuja posebna </w:t>
      </w:r>
      <w:r w:rsidRPr="001258B0">
        <w:lastRenderedPageBreak/>
        <w:t>varnostna vprašanja, ki še niso bila zadostno obravnavana</w:t>
      </w:r>
      <w:r w:rsidRPr="001258B0">
        <w:rPr>
          <w:rStyle w:val="FootnoteReference"/>
        </w:rPr>
        <w:footnoteReference w:id="5"/>
      </w:r>
      <w:r w:rsidRPr="001258B0">
        <w:t>;</w:t>
      </w:r>
    </w:p>
    <w:p w14:paraId="54F6C81E" w14:textId="77777777" w:rsidR="00834420" w:rsidRPr="001258B0" w:rsidRDefault="00834420" w:rsidP="00834420">
      <w:pPr>
        <w:pStyle w:val="NormalHanging12a"/>
        <w:rPr>
          <w:color w:val="000000" w:themeColor="text1"/>
          <w:szCs w:val="24"/>
        </w:rPr>
      </w:pPr>
      <w:r w:rsidRPr="001258B0">
        <w:rPr>
          <w:color w:val="000000" w:themeColor="text1"/>
        </w:rPr>
        <w:t>E.</w:t>
      </w:r>
      <w:r w:rsidRPr="001258B0">
        <w:rPr>
          <w:color w:val="000000" w:themeColor="text1"/>
        </w:rPr>
        <w:tab/>
        <w:t>ker je bil sistematični pregled literature, ki ga je predložil vlagatelj, kritiziran zaradi metodoloških pomanjkljivosti in ker ni ustrezno zajel celotnega nabora razpoložljive znanstvene literature;</w:t>
      </w:r>
    </w:p>
    <w:p w14:paraId="1A67FD71" w14:textId="77777777" w:rsidR="00834420" w:rsidRPr="001258B0" w:rsidRDefault="00834420" w:rsidP="00834420">
      <w:pPr>
        <w:spacing w:after="240"/>
        <w:ind w:left="567" w:hanging="567"/>
        <w:rPr>
          <w:szCs w:val="24"/>
        </w:rPr>
      </w:pPr>
      <w:r w:rsidRPr="001258B0">
        <w:t>F.</w:t>
      </w:r>
      <w:r w:rsidRPr="001258B0">
        <w:tab/>
        <w:t>ker je molekularna karakterizacija gensko spremenjene soje še vedno nepopolna, saj nenamerne genomske spremembe in na novo ustvarjeni odprti bralni okviri niso bili temeljito raziskani z najnaprednejšim sekvenciranjem in pristopi, katerih poimenovanja se končajo na „omika“;</w:t>
      </w:r>
    </w:p>
    <w:p w14:paraId="2272AA06" w14:textId="77777777" w:rsidR="00834420" w:rsidRPr="001258B0" w:rsidRDefault="00834420" w:rsidP="00834420">
      <w:pPr>
        <w:pStyle w:val="NormalHanging12a"/>
      </w:pPr>
      <w:r w:rsidRPr="001258B0">
        <w:t>G.</w:t>
      </w:r>
      <w:r w:rsidRPr="001258B0">
        <w:tab/>
        <w:t>ker je bilo izražanje genov ocenjeno le v omejenih terenskih razmerah, in sicer v enem letu in eni državi, brez zadostnega upoštevanja dejavnikov okoljskega stresa ali različnih genskih ozadij, kljub znani variabilnosti izražanja transgenov;</w:t>
      </w:r>
    </w:p>
    <w:p w14:paraId="23F17715" w14:textId="77777777" w:rsidR="00834420" w:rsidRPr="001258B0" w:rsidRDefault="00834420" w:rsidP="00834420">
      <w:pPr>
        <w:pStyle w:val="NormalWeb"/>
        <w:widowControl w:val="0"/>
        <w:spacing w:beforeAutospacing="0" w:after="240" w:afterAutospacing="0"/>
        <w:ind w:left="567" w:hanging="567"/>
      </w:pPr>
      <w:r w:rsidRPr="001258B0">
        <w:t>H.</w:t>
      </w:r>
      <w:r w:rsidRPr="001258B0">
        <w:tab/>
        <w:t>ker so bili terenski poskusi, ki bi podprli uporabo, geografsko in okoljsko omejeni ter ne odražajo raznolikosti okoljskih razmer, v katerih se soja lahko prideluje ali predeluje;</w:t>
      </w:r>
    </w:p>
    <w:p w14:paraId="01721E60" w14:textId="77777777" w:rsidR="00834420" w:rsidRPr="001258B0" w:rsidRDefault="00834420" w:rsidP="00834420">
      <w:pPr>
        <w:spacing w:after="240"/>
        <w:ind w:left="567" w:hanging="567"/>
      </w:pPr>
      <w:r w:rsidRPr="001258B0">
        <w:t>I.</w:t>
      </w:r>
      <w:r w:rsidRPr="001258B0">
        <w:tab/>
        <w:t>ker je večina toksikoloških študij temeljila na mikrobiološko proizvedenih beljakovinah Bt, in ne na beljakovinah rastlinskega izvora, čeprav je dokazano, da lahko rastlinske sestavine, kot so zaviralci proteaze, povečajo toksičnost Bt;</w:t>
      </w:r>
    </w:p>
    <w:p w14:paraId="1203EFC4" w14:textId="77777777" w:rsidR="00834420" w:rsidRPr="001258B0" w:rsidRDefault="00834420" w:rsidP="00834420">
      <w:pPr>
        <w:pStyle w:val="NormalHanging12a"/>
      </w:pPr>
      <w:r w:rsidRPr="001258B0">
        <w:t xml:space="preserve">J. </w:t>
      </w:r>
      <w:r w:rsidRPr="001258B0">
        <w:tab/>
        <w:t>ker se niso izvedle dodatne nadaljnje preiskave na podlagi več statistično pomembnih ugotovitev iz 28- in 90-dnevnih toksikoloških študij;</w:t>
      </w:r>
    </w:p>
    <w:p w14:paraId="3C11F018" w14:textId="77777777" w:rsidR="00834420" w:rsidRPr="001258B0" w:rsidRDefault="00834420" w:rsidP="00834420">
      <w:pPr>
        <w:spacing w:after="240"/>
        <w:ind w:left="567" w:hanging="567"/>
      </w:pPr>
      <w:r w:rsidRPr="001258B0">
        <w:t>K.</w:t>
      </w:r>
      <w:r w:rsidRPr="001258B0">
        <w:tab/>
        <w:t>ker niso bili ustrezno raziskani morebitni sinergijski ali kombinirani učinki med toksini Bt, rastlinskimi spojinami ali drugimi stresorji;</w:t>
      </w:r>
    </w:p>
    <w:p w14:paraId="1734AF69" w14:textId="77777777" w:rsidR="00834420" w:rsidRPr="001258B0" w:rsidRDefault="00834420" w:rsidP="00834420">
      <w:pPr>
        <w:spacing w:after="240"/>
        <w:ind w:left="567" w:hanging="567"/>
      </w:pPr>
      <w:r w:rsidRPr="001258B0">
        <w:t>L.</w:t>
      </w:r>
      <w:r w:rsidRPr="001258B0">
        <w:tab/>
        <w:t>ker se v oceni tveganja za okolje ne obravnavajo v zadostni meri morebitna izpostavljenost zaradi razlitja, gnoja ali odpadnih voda niti morebitni učinki na neciljne organizme;</w:t>
      </w:r>
    </w:p>
    <w:p w14:paraId="5B3A137A" w14:textId="77777777" w:rsidR="00834420" w:rsidRPr="001258B0" w:rsidRDefault="00834420" w:rsidP="00834420">
      <w:pPr>
        <w:pStyle w:val="NormalWeb"/>
        <w:widowControl w:val="0"/>
        <w:spacing w:beforeAutospacing="0" w:after="240" w:afterAutospacing="0"/>
        <w:ind w:left="567" w:hanging="567"/>
      </w:pPr>
      <w:r w:rsidRPr="001258B0">
        <w:t>M.</w:t>
      </w:r>
      <w:r w:rsidRPr="001258B0">
        <w:tab/>
        <w:t>ker je Parlament večkrat poudaril, da Komisija ne bi smela odobriti gensko spremenjenih organizmov v primerih, ko države članice v Stalnem odboru za rastline, živali, hrano in krmo ali odboru za pritožbe ne dosežejo kvalificirane večine, zato da se odpravi vztrajni demokratični primanjkljaj;</w:t>
      </w:r>
    </w:p>
    <w:p w14:paraId="5E0A2255" w14:textId="77777777" w:rsidR="00834420" w:rsidRPr="001258B0" w:rsidRDefault="00834420" w:rsidP="00834420">
      <w:pPr>
        <w:pStyle w:val="NormalWeb"/>
        <w:widowControl w:val="0"/>
        <w:shd w:val="clear" w:color="auto" w:fill="FFFFFF"/>
        <w:spacing w:beforeAutospacing="0" w:after="240" w:afterAutospacing="0"/>
        <w:ind w:left="567" w:hanging="567"/>
        <w:rPr>
          <w:color w:val="000000" w:themeColor="text1"/>
        </w:rPr>
      </w:pPr>
      <w:r w:rsidRPr="001258B0">
        <w:rPr>
          <w:color w:val="000000" w:themeColor="text1"/>
        </w:rPr>
        <w:t>N.</w:t>
      </w:r>
      <w:r w:rsidRPr="001258B0">
        <w:rPr>
          <w:color w:val="000000" w:themeColor="text1"/>
        </w:rPr>
        <w:tab/>
        <w:t>ker je Komisija sama priznala demokratični primanjkljaj, odsotnost podpore držav članic in nasprotovanje Parlamenta, a vseeno še naprej sprejema odobritve za gensko spremenjene organizme;</w:t>
      </w:r>
    </w:p>
    <w:p w14:paraId="45D4101D" w14:textId="77777777" w:rsidR="00834420" w:rsidRPr="001258B0" w:rsidRDefault="00834420" w:rsidP="00834420">
      <w:pPr>
        <w:spacing w:after="240"/>
        <w:ind w:left="567" w:hanging="567"/>
      </w:pPr>
      <w:r w:rsidRPr="001258B0">
        <w:t>O.</w:t>
      </w:r>
      <w:r w:rsidRPr="001258B0">
        <w:tab/>
        <w:t xml:space="preserve">ker pristop „eno zdravje“ zahteva, da se pri ocenjevanju dolgoročne trajnosti in varnosti </w:t>
      </w:r>
      <w:r w:rsidRPr="001258B0">
        <w:lastRenderedPageBreak/>
        <w:t>gensko spremenjenih organizmov upošteva medsebojna odvisnost zdravja ljudi, živali, rastlin in okolja;</w:t>
      </w:r>
    </w:p>
    <w:p w14:paraId="737AFE53" w14:textId="77777777" w:rsidR="00834420" w:rsidRPr="001258B0" w:rsidRDefault="00834420" w:rsidP="00834420">
      <w:pPr>
        <w:spacing w:after="240"/>
        <w:ind w:left="567" w:hanging="567"/>
      </w:pPr>
      <w:r w:rsidRPr="001258B0">
        <w:t>1.</w:t>
      </w:r>
      <w:r w:rsidRPr="001258B0">
        <w:tab/>
        <w:t>meni, da osnutek izvedbenega sklepa Komisije presega izvedbena pooblastila, določena v Uredbi (ES) št. 1829/2003;</w:t>
      </w:r>
    </w:p>
    <w:p w14:paraId="507BB588" w14:textId="77777777" w:rsidR="00834420" w:rsidRPr="001258B0" w:rsidRDefault="00834420" w:rsidP="00834420">
      <w:pPr>
        <w:spacing w:after="240"/>
        <w:ind w:left="567" w:hanging="567"/>
      </w:pPr>
      <w:r w:rsidRPr="001258B0">
        <w:t>2.</w:t>
      </w:r>
      <w:r w:rsidRPr="001258B0">
        <w:tab/>
        <w:t>meni, da osnutek izvedbenega sklepa Komisije ni v skladu s pravom Unije, saj ni združljiv s ciljem Uredbe (ES) št. 1829/2003, tj. v skladu s splošnimi načeli iz Uredbe (ES) št. 178/2002 Evropskega parlamenta in Sveta</w:t>
      </w:r>
      <w:r w:rsidRPr="001258B0">
        <w:rPr>
          <w:rStyle w:val="FootnoteReference"/>
        </w:rPr>
        <w:footnoteReference w:id="6"/>
      </w:r>
      <w:r w:rsidRPr="001258B0">
        <w:t xml:space="preserve"> dati osnovo za zagotavljanje visoke ravni varstva življenja in zdravja ljudi, zdravja in zaščite živali, okolja ter interesov potrošnikov v zvezi z gensko spremenjenimi živili in krmo ob zagotavljanju učinkovitega delovanja notranjega trga;</w:t>
      </w:r>
    </w:p>
    <w:p w14:paraId="34EFF427" w14:textId="77777777" w:rsidR="00834420" w:rsidRPr="001258B0" w:rsidRDefault="00834420" w:rsidP="00834420">
      <w:pPr>
        <w:spacing w:after="240"/>
        <w:ind w:left="567" w:hanging="567"/>
      </w:pPr>
      <w:bookmarkStart w:id="10" w:name="_Hlk213234159"/>
      <w:r w:rsidRPr="001258B0">
        <w:t xml:space="preserve">3. </w:t>
      </w:r>
      <w:r w:rsidRPr="001258B0">
        <w:tab/>
        <w:t>meni, da je ta ocena tveganja še vedno nepopolna, zlasti v zvezi z molekularno karakterizacijo, toksikološko oceno in oceno tveganja za okolje;</w:t>
      </w:r>
      <w:bookmarkEnd w:id="10"/>
    </w:p>
    <w:p w14:paraId="74765C86" w14:textId="77777777" w:rsidR="00834420" w:rsidRPr="001258B0" w:rsidRDefault="00834420" w:rsidP="00834420">
      <w:pPr>
        <w:spacing w:after="240"/>
        <w:ind w:left="567" w:hanging="567"/>
      </w:pPr>
      <w:r w:rsidRPr="001258B0">
        <w:t>4.</w:t>
      </w:r>
      <w:r w:rsidRPr="001258B0">
        <w:tab/>
        <w:t>poziva Komisijo, naj umakne svoj osnutek izvedbenega sklepa;</w:t>
      </w:r>
    </w:p>
    <w:p w14:paraId="7BC87125" w14:textId="77777777" w:rsidR="00834420" w:rsidRPr="001258B0" w:rsidRDefault="00834420" w:rsidP="00834420">
      <w:pPr>
        <w:spacing w:after="240"/>
        <w:ind w:left="567" w:hanging="567"/>
      </w:pPr>
      <w:r w:rsidRPr="001258B0">
        <w:t>5.</w:t>
      </w:r>
      <w:r w:rsidRPr="001258B0">
        <w:tab/>
        <w:t>poziva Komisijo, naj v skladu s pristopom „eno zdravje“ ne odobri te gensko spremenjene soje, saj ni dovolj dokazov o dolgoročnem vplivu na biotsko raznovrstnost, varnost hrane, možnost preživljanja kmetov in zdravje živali;</w:t>
      </w:r>
    </w:p>
    <w:p w14:paraId="53A98B02" w14:textId="77777777" w:rsidR="00834420" w:rsidRPr="001258B0" w:rsidRDefault="00834420" w:rsidP="00834420">
      <w:pPr>
        <w:spacing w:after="240"/>
        <w:ind w:left="567" w:hanging="567"/>
      </w:pPr>
      <w:bookmarkStart w:id="11" w:name="_Hlk210900300"/>
      <w:r w:rsidRPr="001258B0">
        <w:t>6.</w:t>
      </w:r>
      <w:r w:rsidRPr="001258B0">
        <w:tab/>
        <w:t>poziva Komisijo, naj nemudoma predloži zakonodajni predlog za reformo postopka odločanja o gensko spremenjenih organizmih, da bi se odzvala na stalne ugovore Parlamenta in odsotnost podpore kvalificirane večine med državami članicami</w:t>
      </w:r>
      <w:bookmarkEnd w:id="11"/>
      <w:r w:rsidRPr="001258B0">
        <w:t>;</w:t>
      </w:r>
    </w:p>
    <w:p w14:paraId="2A469B3A" w14:textId="77777777" w:rsidR="00834420" w:rsidRPr="001258B0" w:rsidRDefault="00834420" w:rsidP="00834420">
      <w:pPr>
        <w:spacing w:after="240"/>
        <w:ind w:left="567" w:hanging="567"/>
      </w:pPr>
      <w:r w:rsidRPr="001258B0">
        <w:t>7.</w:t>
      </w:r>
      <w:r w:rsidRPr="001258B0">
        <w:tab/>
        <w:t>glede tega poudarja, da odobritev uvoza katere koli gensko spremenjene rastline, ki je bila spremenjena tako, da je odporna proti herbicidom, prepovedanim v Uniji, kot je glufosinat, za uporabo v živilih in krmi ni v skladu z mednarodnimi zavezami Unije, med drugim s Konvencijo OZN o biološki raznovrstnosti in cilji OZN glede trajnostnega razvoja, vključno s Kunminško-montrealskim okvirom, ter da ustvarja neenake konkurenčne pogoje za kmete Unije;</w:t>
      </w:r>
    </w:p>
    <w:p w14:paraId="2BF45CCF" w14:textId="3C236D79" w:rsidR="00E365E1" w:rsidRPr="001258B0" w:rsidRDefault="00834420" w:rsidP="00CB6E78">
      <w:pPr>
        <w:ind w:left="567" w:hanging="567"/>
      </w:pPr>
      <w:bookmarkStart w:id="12" w:name="_Hlk210900241"/>
      <w:bookmarkEnd w:id="12"/>
      <w:r w:rsidRPr="001258B0">
        <w:t>8.</w:t>
      </w:r>
      <w:r w:rsidRPr="001258B0">
        <w:tab/>
        <w:t>naroči svoji predsednici, naj to resolucijo posreduje Svetu in Komisiji ter vladam in parlamentom držav članic.</w:t>
      </w:r>
    </w:p>
    <w:sectPr w:rsidR="00E365E1" w:rsidRPr="001258B0" w:rsidSect="00C247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1709A" w14:textId="77777777" w:rsidR="00473799" w:rsidRPr="00C247BB" w:rsidRDefault="00473799">
      <w:r w:rsidRPr="00C247BB">
        <w:separator/>
      </w:r>
    </w:p>
  </w:endnote>
  <w:endnote w:type="continuationSeparator" w:id="0">
    <w:p w14:paraId="259A667F" w14:textId="77777777" w:rsidR="00473799" w:rsidRPr="00C247BB" w:rsidRDefault="00473799">
      <w:r w:rsidRPr="00C247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2660" w14:textId="77777777" w:rsidR="00064002" w:rsidRPr="00C247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F508" w14:textId="77777777" w:rsidR="00064002" w:rsidRPr="00C247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66B2" w14:textId="77777777" w:rsidR="00064002" w:rsidRPr="00C247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E22DB" w14:textId="77777777" w:rsidR="00473799" w:rsidRPr="00C247BB" w:rsidRDefault="00473799">
      <w:r w:rsidRPr="00C247BB">
        <w:separator/>
      </w:r>
    </w:p>
  </w:footnote>
  <w:footnote w:type="continuationSeparator" w:id="0">
    <w:p w14:paraId="5F520CC7" w14:textId="77777777" w:rsidR="00473799" w:rsidRPr="00C247BB" w:rsidRDefault="00473799">
      <w:r w:rsidRPr="00C247BB">
        <w:continuationSeparator/>
      </w:r>
    </w:p>
  </w:footnote>
  <w:footnote w:id="1">
    <w:p w14:paraId="19C283D0" w14:textId="4D92DC1F" w:rsidR="00834420" w:rsidRPr="00C247BB" w:rsidRDefault="00834420" w:rsidP="00C247BB">
      <w:pPr>
        <w:pStyle w:val="FootnoteText"/>
        <w:ind w:left="567" w:hanging="567"/>
        <w:rPr>
          <w:sz w:val="24"/>
          <w:lang w:val="sl-SI"/>
        </w:rPr>
      </w:pPr>
      <w:r w:rsidRPr="00C247BB">
        <w:rPr>
          <w:rStyle w:val="Funotenzeichen"/>
          <w:sz w:val="24"/>
          <w:lang w:val="sl-SI"/>
        </w:rPr>
        <w:footnoteRef/>
      </w:r>
      <w:r w:rsidR="00C247BB" w:rsidRPr="00C247BB">
        <w:rPr>
          <w:sz w:val="24"/>
          <w:lang w:val="sl-SI"/>
        </w:rPr>
        <w:t xml:space="preserve"> </w:t>
      </w:r>
      <w:r w:rsidR="00C247BB" w:rsidRPr="00C247BB">
        <w:rPr>
          <w:sz w:val="24"/>
          <w:lang w:val="sl-SI"/>
        </w:rPr>
        <w:tab/>
      </w:r>
      <w:r w:rsidRPr="00C247BB">
        <w:rPr>
          <w:sz w:val="24"/>
          <w:lang w:val="sl-SI"/>
        </w:rPr>
        <w:t xml:space="preserve">UL L 268, 18.10.2003, str. 1, ELI: </w:t>
      </w:r>
      <w:hyperlink r:id="rId1" w:tooltip="Omogoča dostop do dokumenta prek označevalnik/predloge ELI URI." w:history="1">
        <w:r w:rsidRPr="00C247BB">
          <w:rPr>
            <w:rStyle w:val="Hyperlink"/>
            <w:sz w:val="24"/>
            <w:lang w:val="sl-SI"/>
          </w:rPr>
          <w:t>http://data.europa.eu/eli/reg/2003/1829/oj</w:t>
        </w:r>
      </w:hyperlink>
      <w:r w:rsidRPr="00C247BB">
        <w:rPr>
          <w:sz w:val="24"/>
          <w:lang w:val="sl-SI"/>
        </w:rPr>
        <w:t>.</w:t>
      </w:r>
    </w:p>
  </w:footnote>
  <w:footnote w:id="2">
    <w:p w14:paraId="56478386" w14:textId="4612A8E6" w:rsidR="00834420" w:rsidRPr="00C247BB" w:rsidRDefault="00834420" w:rsidP="00C247BB">
      <w:pPr>
        <w:pStyle w:val="FootnoteText"/>
        <w:ind w:left="567" w:hanging="567"/>
        <w:rPr>
          <w:sz w:val="24"/>
          <w:lang w:val="sl-SI"/>
        </w:rPr>
      </w:pPr>
      <w:r w:rsidRPr="00C247BB">
        <w:rPr>
          <w:rStyle w:val="Funotenzeichen"/>
          <w:sz w:val="24"/>
          <w:lang w:val="sl-SI"/>
        </w:rPr>
        <w:footnoteRef/>
      </w:r>
      <w:bookmarkStart w:id="9" w:name="_Hlk210663104_Kopie_1"/>
      <w:r w:rsidR="00C247BB" w:rsidRPr="00C247BB">
        <w:rPr>
          <w:sz w:val="24"/>
          <w:lang w:val="sl-SI"/>
        </w:rPr>
        <w:t xml:space="preserve"> </w:t>
      </w:r>
      <w:r w:rsidR="00C247BB" w:rsidRPr="00C247BB">
        <w:rPr>
          <w:sz w:val="24"/>
          <w:lang w:val="sl-SI"/>
        </w:rPr>
        <w:tab/>
      </w:r>
      <w:r w:rsidRPr="00C247BB">
        <w:rPr>
          <w:sz w:val="24"/>
          <w:lang w:val="sl-SI"/>
        </w:rPr>
        <w:t xml:space="preserve">UL L 55, 28.2.2011, str. 13, ELI: </w:t>
      </w:r>
      <w:hyperlink r:id="rId2">
        <w:r w:rsidRPr="00C247BB">
          <w:rPr>
            <w:rStyle w:val="Hyperlink"/>
            <w:sz w:val="24"/>
            <w:lang w:val="sl-SI"/>
          </w:rPr>
          <w:t>http://data.europa.eu/eli/reg/2011/182/oj</w:t>
        </w:r>
      </w:hyperlink>
      <w:r w:rsidRPr="00C247BB">
        <w:rPr>
          <w:sz w:val="24"/>
          <w:lang w:val="sl-SI"/>
        </w:rPr>
        <w:t>.</w:t>
      </w:r>
      <w:bookmarkEnd w:id="9"/>
    </w:p>
  </w:footnote>
  <w:footnote w:id="3">
    <w:p w14:paraId="108D9807" w14:textId="2400605E" w:rsidR="00834420" w:rsidRPr="00C247BB" w:rsidRDefault="00834420" w:rsidP="00C247BB">
      <w:pPr>
        <w:pStyle w:val="FootnoteText"/>
        <w:ind w:left="567" w:hanging="567"/>
        <w:rPr>
          <w:sz w:val="24"/>
          <w:lang w:val="sl-SI"/>
        </w:rPr>
      </w:pPr>
      <w:r w:rsidRPr="00C247BB">
        <w:rPr>
          <w:rStyle w:val="Funotenzeichen"/>
          <w:sz w:val="24"/>
          <w:lang w:val="sl-SI"/>
        </w:rPr>
        <w:footnoteRef/>
      </w:r>
      <w:r w:rsidR="00C247BB" w:rsidRPr="00C247BB">
        <w:rPr>
          <w:sz w:val="24"/>
          <w:lang w:val="sl-SI"/>
        </w:rPr>
        <w:t xml:space="preserve"> </w:t>
      </w:r>
      <w:r w:rsidR="00C247BB" w:rsidRPr="00C247BB">
        <w:rPr>
          <w:sz w:val="24"/>
          <w:lang w:val="sl-SI"/>
        </w:rPr>
        <w:tab/>
      </w:r>
      <w:r w:rsidRPr="00C247BB">
        <w:rPr>
          <w:sz w:val="24"/>
          <w:lang w:val="sl-SI"/>
        </w:rPr>
        <w:t xml:space="preserve">Znanstveno mnenje odbora agencije EFSA za gensko spremenjene organizme o oceni gensko spremenjene soje 94637 MON; (vloga GMFF-2023-21116), </w:t>
      </w:r>
      <w:r w:rsidRPr="00C247BB">
        <w:rPr>
          <w:i/>
          <w:sz w:val="24"/>
          <w:lang w:val="sl-SI"/>
        </w:rPr>
        <w:t>EFSA Journal</w:t>
      </w:r>
      <w:r w:rsidRPr="00C247BB">
        <w:rPr>
          <w:sz w:val="24"/>
          <w:lang w:val="sl-SI"/>
        </w:rPr>
        <w:t xml:space="preserve"> 2025; 23(10):e9581, </w:t>
      </w:r>
      <w:hyperlink r:id="rId3">
        <w:r w:rsidRPr="00C247BB">
          <w:rPr>
            <w:rStyle w:val="Hyperlink"/>
            <w:sz w:val="24"/>
            <w:lang w:val="sl-SI"/>
          </w:rPr>
          <w:t>https://doi.org/10.2903/j.efsa.2025.9581</w:t>
        </w:r>
      </w:hyperlink>
      <w:r w:rsidRPr="00C247BB">
        <w:rPr>
          <w:sz w:val="24"/>
          <w:lang w:val="sl-SI"/>
        </w:rPr>
        <w:t>.</w:t>
      </w:r>
    </w:p>
  </w:footnote>
  <w:footnote w:id="4">
    <w:p w14:paraId="230E110C" w14:textId="1D33DF02" w:rsidR="00834420" w:rsidRPr="00C247BB" w:rsidRDefault="00834420" w:rsidP="00C247BB">
      <w:pPr>
        <w:pStyle w:val="FootnoteText"/>
        <w:ind w:left="567" w:hanging="567"/>
        <w:rPr>
          <w:color w:val="000000" w:themeColor="text1"/>
          <w:sz w:val="24"/>
          <w:vertAlign w:val="superscript"/>
          <w:lang w:val="sl-SI"/>
        </w:rPr>
      </w:pPr>
      <w:r w:rsidRPr="00C247BB">
        <w:rPr>
          <w:rStyle w:val="Funotenzeichen"/>
          <w:sz w:val="24"/>
          <w:lang w:val="sl-SI"/>
        </w:rPr>
        <w:footnoteRef/>
      </w:r>
      <w:r w:rsidR="00C247BB" w:rsidRPr="00C247BB">
        <w:rPr>
          <w:sz w:val="24"/>
          <w:lang w:val="sl-SI"/>
        </w:rPr>
        <w:t xml:space="preserve"> </w:t>
      </w:r>
      <w:r w:rsidR="00C247BB" w:rsidRPr="00C247BB">
        <w:rPr>
          <w:sz w:val="24"/>
          <w:lang w:val="sl-SI"/>
        </w:rPr>
        <w:tab/>
      </w:r>
      <w:r w:rsidRPr="00C247BB">
        <w:rPr>
          <w:sz w:val="24"/>
          <w:lang w:val="sl-SI"/>
        </w:rPr>
        <w:t>Parlament je v osmem zakonodajnem obdobju sprejel 36 resolucij, v katerih je nasprotoval odobritvi gensko spremenjenih organizmov, v devetem pa 38.</w:t>
      </w:r>
      <w:r w:rsidRPr="00C247BB">
        <w:rPr>
          <w:color w:val="000000" w:themeColor="text1"/>
          <w:sz w:val="24"/>
          <w:lang w:val="sl-SI"/>
        </w:rPr>
        <w:t xml:space="preserve"> Poleg tega je v desetem zakonodajnem obdobju sprejel še naslednje resolucije:</w:t>
      </w:r>
    </w:p>
    <w:p w14:paraId="6DB0BE4A" w14:textId="69FF1B67"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4">
        <w:r w:rsidR="00834420" w:rsidRPr="00C247BB">
          <w:rPr>
            <w:rStyle w:val="Hyperlink"/>
            <w:sz w:val="24"/>
            <w:lang w:val="sl-SI"/>
          </w:rPr>
          <w:t>http://data.europa.eu/eli/C/2025/1797/oj</w:t>
        </w:r>
      </w:hyperlink>
      <w:r w:rsidR="00834420" w:rsidRPr="00C247BB">
        <w:rPr>
          <w:color w:val="000000" w:themeColor="text1"/>
          <w:sz w:val="24"/>
          <w:lang w:val="sl-SI"/>
        </w:rPr>
        <w:t>);</w:t>
      </w:r>
    </w:p>
    <w:p w14:paraId="30812148" w14:textId="7ACB29C9"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r w:rsidR="00834420" w:rsidRPr="00C247BB">
          <w:rPr>
            <w:rStyle w:val="Hyperlink"/>
            <w:sz w:val="24"/>
            <w:lang w:val="sl-SI"/>
          </w:rPr>
          <w:t>http://data.europa.eu/eli/C/2025/1798/oj</w:t>
        </w:r>
      </w:hyperlink>
      <w:r w:rsidR="00834420" w:rsidRPr="00C247BB">
        <w:rPr>
          <w:color w:val="000000" w:themeColor="text1"/>
          <w:sz w:val="24"/>
          <w:lang w:val="sl-SI"/>
        </w:rPr>
        <w:t>);</w:t>
      </w:r>
    </w:p>
    <w:p w14:paraId="64E69F7F" w14:textId="5F0F0F62"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(UL C, C/2025/1799, 4.4.2025, ELI: </w:t>
      </w:r>
      <w:hyperlink r:id="rId6">
        <w:r w:rsidR="00834420" w:rsidRPr="00C247BB">
          <w:rPr>
            <w:rStyle w:val="Hyperlink"/>
            <w:sz w:val="24"/>
            <w:lang w:val="sl-SI"/>
          </w:rPr>
          <w:t>http://data.europa.eu/eli/C/2025/1799/oj</w:t>
        </w:r>
      </w:hyperlink>
      <w:r w:rsidR="00834420" w:rsidRPr="00C247BB">
        <w:rPr>
          <w:color w:val="000000" w:themeColor="text1"/>
          <w:sz w:val="24"/>
          <w:lang w:val="sl-SI"/>
        </w:rPr>
        <w:t>);</w:t>
      </w:r>
    </w:p>
    <w:p w14:paraId="7E81AAE4" w14:textId="5FCE1D1C"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r w:rsidR="00834420" w:rsidRPr="00C247BB">
          <w:rPr>
            <w:rStyle w:val="Hyperlink"/>
            <w:sz w:val="24"/>
            <w:lang w:val="sl-SI"/>
          </w:rPr>
          <w:t>http://data.europa.eu/eli/C/2025/1800/oj</w:t>
        </w:r>
      </w:hyperlink>
      <w:r w:rsidR="00834420" w:rsidRPr="00C247BB">
        <w:rPr>
          <w:color w:val="000000" w:themeColor="text1"/>
          <w:sz w:val="24"/>
          <w:lang w:val="sl-SI"/>
        </w:rPr>
        <w:t>);</w:t>
      </w:r>
    </w:p>
    <w:p w14:paraId="4F85F246" w14:textId="013F9457"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8">
        <w:r w:rsidR="00834420" w:rsidRPr="00C247BB">
          <w:rPr>
            <w:rStyle w:val="Hyperlink"/>
            <w:sz w:val="24"/>
            <w:lang w:val="sl-SI"/>
          </w:rPr>
          <w:t>http://data.europa.eu/eli/C/2025/1801/oj</w:t>
        </w:r>
      </w:hyperlink>
      <w:r w:rsidR="00834420" w:rsidRPr="00C247BB">
        <w:rPr>
          <w:color w:val="000000" w:themeColor="text1"/>
          <w:sz w:val="24"/>
          <w:lang w:val="sl-SI"/>
        </w:rPr>
        <w:t>);</w:t>
      </w:r>
    </w:p>
    <w:p w14:paraId="60AC5499" w14:textId="7F2A86EC"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r w:rsidR="00834420" w:rsidRPr="00C247BB">
          <w:rPr>
            <w:rStyle w:val="Hyperlink"/>
            <w:sz w:val="24"/>
            <w:lang w:val="sl-SI"/>
          </w:rPr>
          <w:t>http://data.europa.eu/eli/C/2025/1802/oj</w:t>
        </w:r>
      </w:hyperlink>
      <w:r w:rsidR="00834420" w:rsidRPr="00C247BB">
        <w:rPr>
          <w:color w:val="000000" w:themeColor="text1"/>
          <w:sz w:val="24"/>
          <w:lang w:val="sl-SI"/>
        </w:rPr>
        <w:t>);</w:t>
      </w:r>
    </w:p>
    <w:p w14:paraId="4E36645F" w14:textId="1D870A38"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r w:rsidR="00834420" w:rsidRPr="00C247BB">
          <w:rPr>
            <w:rStyle w:val="Hyperlink"/>
            <w:sz w:val="24"/>
            <w:lang w:val="sl-SI"/>
          </w:rPr>
          <w:t>http://data.europa.eu/eli/C/2025/1803/oj</w:t>
        </w:r>
      </w:hyperlink>
      <w:r w:rsidR="00834420" w:rsidRPr="00C247BB">
        <w:rPr>
          <w:color w:val="000000" w:themeColor="text1"/>
          <w:sz w:val="24"/>
          <w:lang w:val="sl-SI"/>
        </w:rPr>
        <w:t>);</w:t>
      </w:r>
    </w:p>
    <w:p w14:paraId="17B574D8" w14:textId="609FB65F" w:rsidR="00834420" w:rsidRPr="00C247BB" w:rsidRDefault="00C247BB" w:rsidP="00C247BB">
      <w:pPr>
        <w:pStyle w:val="FootnoteText"/>
        <w:ind w:left="567" w:hanging="567"/>
        <w:rPr>
          <w:color w:val="000000" w:themeColor="text1"/>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r w:rsidR="00834420" w:rsidRPr="00C247BB">
          <w:rPr>
            <w:rStyle w:val="Hyperlink"/>
            <w:sz w:val="24"/>
            <w:lang w:val="sl-SI"/>
          </w:rPr>
          <w:t>http://data.europa.eu/eli/C/2025/1804/oj</w:t>
        </w:r>
      </w:hyperlink>
      <w:r w:rsidR="00834420" w:rsidRPr="00C247BB">
        <w:rPr>
          <w:color w:val="000000" w:themeColor="text1"/>
          <w:sz w:val="24"/>
          <w:lang w:val="sl-SI"/>
        </w:rPr>
        <w:t>);</w:t>
      </w:r>
    </w:p>
    <w:p w14:paraId="27503E43" w14:textId="6A2444E8" w:rsidR="00834420" w:rsidRPr="00C247BB" w:rsidRDefault="00C247BB" w:rsidP="00C247BB">
      <w:pPr>
        <w:pStyle w:val="FootnoteText"/>
        <w:ind w:left="567" w:hanging="567"/>
        <w:rPr>
          <w:sz w:val="24"/>
          <w:vertAlign w:val="superscript"/>
          <w:lang w:val="sl-SI"/>
        </w:rPr>
      </w:pPr>
      <w:r w:rsidRPr="00C247BB">
        <w:rPr>
          <w:color w:val="000000" w:themeColor="text1"/>
          <w:sz w:val="24"/>
          <w:lang w:val="sl-SI"/>
        </w:rPr>
        <w:t xml:space="preserve"> </w:t>
      </w:r>
      <w:r w:rsidRPr="00C247BB">
        <w:rPr>
          <w:color w:val="000000" w:themeColor="text1"/>
          <w:sz w:val="24"/>
          <w:lang w:val="sl-SI"/>
        </w:rPr>
        <w:tab/>
      </w:r>
      <w:r w:rsidR="00834420" w:rsidRPr="00C247BB">
        <w:rPr>
          <w:color w:val="000000" w:themeColor="text1"/>
          <w:sz w:val="24"/>
          <w:lang w:val="sl-SI"/>
        </w:rPr>
        <w:t>–</w:t>
      </w:r>
      <w:r w:rsidR="00834420" w:rsidRPr="00C247BB">
        <w:rPr>
          <w:color w:val="000000" w:themeColor="text1"/>
          <w:sz w:val="24"/>
          <w:lang w:val="sl-SI"/>
        </w:rPr>
        <w:tab/>
      </w:r>
      <w:r w:rsidR="00834420" w:rsidRPr="00C247BB">
        <w:rPr>
          <w:sz w:val="24"/>
          <w:lang w:val="sl-SI"/>
        </w:rPr>
        <w:t xml:space="preserve">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(UL C, C/2025/2246, 29.4.2025, ELI: </w:t>
      </w:r>
      <w:hyperlink r:id="rId12" w:tooltip="Omogoča dostop do dokumenta prek označevalnik/predloge ELI URI.">
        <w:r w:rsidR="00834420" w:rsidRPr="00C247BB">
          <w:rPr>
            <w:rStyle w:val="Hyperlink"/>
            <w:sz w:val="24"/>
            <w:lang w:val="sl-SI"/>
          </w:rPr>
          <w:t>http://data.europa.eu/eli/C/2025/2246/oj</w:t>
        </w:r>
      </w:hyperlink>
      <w:r w:rsidR="00834420" w:rsidRPr="00C247BB">
        <w:rPr>
          <w:sz w:val="24"/>
          <w:lang w:val="sl-SI"/>
        </w:rPr>
        <w:t>);</w:t>
      </w:r>
    </w:p>
    <w:p w14:paraId="4C71683B" w14:textId="0C7475CA"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 xml:space="preserve">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(UL C, C/2025/2247, 29.4.2025, ELI: </w:t>
      </w:r>
      <w:hyperlink r:id="rId13" w:tooltip="Omogoča dostop do dokumenta prek označevalnik/predloge ELI URI.">
        <w:r w:rsidR="00834420" w:rsidRPr="00C247BB">
          <w:rPr>
            <w:rStyle w:val="Hyperlink"/>
            <w:sz w:val="24"/>
            <w:lang w:val="sl-SI"/>
          </w:rPr>
          <w:t>http://data.europa.eu/eli/C/2025/2247/oj</w:t>
        </w:r>
      </w:hyperlink>
      <w:r w:rsidR="00834420" w:rsidRPr="00C247BB">
        <w:rPr>
          <w:sz w:val="24"/>
          <w:lang w:val="sl-SI"/>
        </w:rPr>
        <w:t>);</w:t>
      </w:r>
    </w:p>
    <w:p w14:paraId="35B87BBF" w14:textId="6AD7835F"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(UL C, C/2026/586, 24.2.2026, ELI: </w:t>
      </w:r>
      <w:hyperlink r:id="rId14" w:tooltip="Omogoča dostop do dokumenta prek označevalnik/predloge ELI URI." w:history="1">
        <w:r w:rsidR="00834420" w:rsidRPr="00C247BB">
          <w:rPr>
            <w:rStyle w:val="Hyperlink"/>
            <w:sz w:val="24"/>
            <w:lang w:val="sl-SI"/>
          </w:rPr>
          <w:t>http://data.europa.eu/eli/C/2026/586/oj</w:t>
        </w:r>
      </w:hyperlink>
      <w:r w:rsidR="00834420" w:rsidRPr="00C247BB">
        <w:rPr>
          <w:sz w:val="24"/>
          <w:lang w:val="sl-SI"/>
        </w:rPr>
        <w:t>);</w:t>
      </w:r>
    </w:p>
    <w:p w14:paraId="01701FD7" w14:textId="68D7CE2B"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(Sprejeta besedila, P10_TA(2025)0222);</w:t>
      </w:r>
    </w:p>
    <w:p w14:paraId="4582193A" w14:textId="3A0D2ECC"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(Sprejeta besedila, P10_TA(2025)0288);</w:t>
      </w:r>
    </w:p>
    <w:p w14:paraId="2B0EA0A9" w14:textId="26C92685"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(Sprejeta besedila, P10_TA(2025)0289);</w:t>
      </w:r>
    </w:p>
    <w:p w14:paraId="6B36497C" w14:textId="0DD79110"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(Sprejeta besedila, P10_TA(2025)0290);</w:t>
      </w:r>
    </w:p>
    <w:p w14:paraId="1CAE0EF0" w14:textId="21E4D700"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(Sprejeta besedila, P10_TA(2025)0291);</w:t>
      </w:r>
    </w:p>
    <w:p w14:paraId="5C7FCE73" w14:textId="6318D9B7"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25. novembra 2025 o osnutku izvedbenega sklepa Komisije o obnovitvi odobritve dajanja na trg proizvodov, ki vsebujejo gensko spremenjeno koruzo MON 87427, so iz nje sestavljeni ali proizvedeni, v skladu z Uredbo (ES) št. 1829/2003 Evropskega parlamenta in Sveta (Sprejeta besedila, P10_TA(2025)0292).</w:t>
      </w:r>
    </w:p>
    <w:p w14:paraId="2E1FF3A3" w14:textId="4B651C98"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16. decembra 2025 o osnutku izvedbenega sklepa Komisije o obnovitvi odobritve dajanja na trg proizvodov, ki vsebujejo gensko spremenjeno koruzo NK603, so iz nje sestavljeni ali proizvedeni, v skladu z Uredbo (ES) št. 1829/2003 Evropskega parlamenta in Sveta (Sprejeta besedila, P10_TA(2025)0327);</w:t>
      </w:r>
    </w:p>
    <w:p w14:paraId="1AD2703C" w14:textId="0106C844"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16. decembra 2025 o osnutku izvedbenega sklepa Komisije o odobritvi dajanja na trg živil, živilskih sestavin in krme, proizvedenih iz gensko spremenjene sladkorne pese KWS20-1, v skladu z Uredbo (ES) št. 1829/2003 Evropskega parlamenta in Sveta (Sprejeta besedila, P10_TA(2025)0328);</w:t>
      </w:r>
    </w:p>
    <w:p w14:paraId="1628743B" w14:textId="7C3D9265"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11. februarja 2026 o osnutku izvedbenega sklepa Komisije o odobritvi dajanja proizvodov, ki vsebujejo gensko spremenjeno sojo DBN-09004-6, so iz nje sestavljeni ali proizvedeni, na trg v skladu z Uredbo (ES) št. 1829/2003 Evropskega parlamenta in Sveta (Sprejeta besedila, P10_TA(2026)0041);</w:t>
      </w:r>
    </w:p>
    <w:p w14:paraId="28FFCB62" w14:textId="612627A6"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11. februarja 2026 o osnutku izvedbenega sklepa Komisije o obnovitvi odobritve dajanja na trg proizvodov, ki vsebujejo gensko spremenjeno koruzo T25 (ACS-ZMØØ3-2), so iz nje sestavljeni ali proizvedeni, v skladu z Uredbo (ES) št. 1829/2003 Evropskega parlamenta in Sveta (Sprejeta besedila, P10_TA(2026)0042);</w:t>
      </w:r>
    </w:p>
    <w:p w14:paraId="782A412B" w14:textId="0FCBF389" w:rsidR="00834420" w:rsidRPr="00C247BB" w:rsidRDefault="00C247BB" w:rsidP="00C247BB">
      <w:pPr>
        <w:pStyle w:val="FootnoteText"/>
        <w:ind w:left="567" w:hanging="567"/>
        <w:rPr>
          <w:sz w:val="24"/>
          <w:vertAlign w:val="superscript"/>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11. februarja 2026 o osnutku izvedbenega sklepa Komisije o obnovitvi odobritve dajanja proizvodov, ki vsebujejo gensko spremenjeni bombaž GHB614 × LLCotton25, so iz njega sestavljeni ali proizvedeni, v promet v skladu z Uredbo (ES) št. 1829/2003 Evropskega parlamenta in Sveta (Sprejeta besedila, P10_TA(2026)0043);</w:t>
      </w:r>
    </w:p>
    <w:p w14:paraId="08131545" w14:textId="1E4A7549" w:rsidR="00834420" w:rsidRPr="00C247BB" w:rsidRDefault="00C247BB" w:rsidP="00C247BB">
      <w:pPr>
        <w:pStyle w:val="FootnoteText"/>
        <w:ind w:left="567" w:hanging="567"/>
        <w:rPr>
          <w:sz w:val="24"/>
          <w:lang w:val="sl-SI"/>
        </w:rPr>
      </w:pPr>
      <w:r w:rsidRPr="00C247BB">
        <w:rPr>
          <w:sz w:val="24"/>
          <w:lang w:val="sl-SI"/>
        </w:rPr>
        <w:t xml:space="preserve"> </w:t>
      </w:r>
      <w:r w:rsidRPr="00C247BB">
        <w:rPr>
          <w:sz w:val="24"/>
          <w:lang w:val="sl-SI"/>
        </w:rPr>
        <w:tab/>
      </w:r>
      <w:r w:rsidR="00834420" w:rsidRPr="00C247BB">
        <w:rPr>
          <w:sz w:val="24"/>
          <w:lang w:val="sl-SI"/>
        </w:rPr>
        <w:t>–</w:t>
      </w:r>
      <w:r w:rsidR="00834420" w:rsidRPr="00C247BB">
        <w:rPr>
          <w:sz w:val="24"/>
          <w:lang w:val="sl-SI"/>
        </w:rPr>
        <w:tab/>
        <w:t>resolucijo Evropskega parlamenta z dne 11. februarja 2026 o osnutku izvedbenega sklepa Komisije o obnovitvi odobritve dajanja proizvodov, ki vsebujejo gensko spremenjeni bombaž T304-40, so iz njega sestavljeni ali proizvedeni, na trg na podlagi Uredbe (ES) št. 1829/2003 Evropskega parlamenta in Sveta (Sprejeta besedila, P10_TA(2026)0044).</w:t>
      </w:r>
    </w:p>
  </w:footnote>
  <w:footnote w:id="5">
    <w:p w14:paraId="5F23BB47" w14:textId="02E8C442" w:rsidR="00834420" w:rsidRPr="00C247BB" w:rsidRDefault="00834420" w:rsidP="00C247BB">
      <w:pPr>
        <w:pStyle w:val="FootnoteText"/>
        <w:ind w:left="567" w:hanging="567"/>
        <w:rPr>
          <w:sz w:val="24"/>
          <w:lang w:val="sl-SI"/>
        </w:rPr>
      </w:pPr>
      <w:r w:rsidRPr="00C247BB">
        <w:rPr>
          <w:rStyle w:val="FootnoteReference"/>
          <w:sz w:val="24"/>
          <w:lang w:val="sl-SI"/>
        </w:rPr>
        <w:footnoteRef/>
      </w:r>
      <w:r w:rsidR="00C247BB" w:rsidRPr="00C247BB">
        <w:rPr>
          <w:sz w:val="24"/>
          <w:lang w:val="sl-SI"/>
        </w:rPr>
        <w:t xml:space="preserve"> </w:t>
      </w:r>
      <w:r w:rsidR="00C247BB" w:rsidRPr="00C247BB">
        <w:rPr>
          <w:sz w:val="24"/>
          <w:lang w:val="sl-SI"/>
        </w:rPr>
        <w:tab/>
      </w:r>
      <w:r w:rsidRPr="00C247BB">
        <w:rPr>
          <w:sz w:val="24"/>
          <w:lang w:val="sl-SI"/>
        </w:rPr>
        <w:t xml:space="preserve">Chen, D., Moar, W.J., Jerga, A., Gowda, A., Milligan, J.S., Bretsynder, E.C., Rydel, T.J., Baum, J.A., Semeao, A., Fu, S., Guzov, V., Gabbert, K., Head, P.H., Haas, J.A. (2021), </w:t>
      </w:r>
      <w:r w:rsidRPr="00C247BB">
        <w:rPr>
          <w:i/>
          <w:sz w:val="24"/>
          <w:lang w:val="sl-SI"/>
        </w:rPr>
        <w:t>Bacillus thuringiensis</w:t>
      </w:r>
      <w:r w:rsidRPr="00C247BB">
        <w:rPr>
          <w:sz w:val="24"/>
          <w:lang w:val="sl-SI"/>
        </w:rPr>
        <w:t xml:space="preserve"> </w:t>
      </w:r>
      <w:r w:rsidRPr="00C247BB">
        <w:rPr>
          <w:i/>
          <w:iCs/>
          <w:sz w:val="24"/>
          <w:lang w:val="sl-SI"/>
        </w:rPr>
        <w:t>chimeric proteins Cry1A.</w:t>
      </w:r>
      <w:r w:rsidRPr="00C247BB">
        <w:rPr>
          <w:sz w:val="24"/>
          <w:lang w:val="sl-SI"/>
        </w:rPr>
        <w:t xml:space="preserve"> </w:t>
      </w:r>
      <w:r w:rsidRPr="00C247BB">
        <w:rPr>
          <w:i/>
          <w:iCs/>
          <w:sz w:val="24"/>
          <w:lang w:val="sl-SI"/>
        </w:rPr>
        <w:t>2 and Cry1B.</w:t>
      </w:r>
      <w:r w:rsidRPr="00C247BB">
        <w:rPr>
          <w:sz w:val="24"/>
          <w:lang w:val="sl-SI"/>
        </w:rPr>
        <w:t xml:space="preserve"> </w:t>
      </w:r>
      <w:r w:rsidRPr="00C247BB">
        <w:rPr>
          <w:i/>
          <w:iCs/>
          <w:sz w:val="24"/>
          <w:lang w:val="sl-SI"/>
        </w:rPr>
        <w:t>2 to control soybean lepidopteran pests:</w:t>
      </w:r>
      <w:r w:rsidRPr="00C247BB">
        <w:rPr>
          <w:sz w:val="24"/>
          <w:lang w:val="sl-SI"/>
        </w:rPr>
        <w:t xml:space="preserve"> </w:t>
      </w:r>
      <w:r w:rsidRPr="00C247BB">
        <w:rPr>
          <w:i/>
          <w:iCs/>
          <w:sz w:val="24"/>
          <w:lang w:val="sl-SI"/>
        </w:rPr>
        <w:t>New domain combinations enhance insecticidal spectrum of activity and novel receptor contributions</w:t>
      </w:r>
      <w:r w:rsidRPr="00C247BB">
        <w:rPr>
          <w:sz w:val="24"/>
          <w:lang w:val="sl-SI"/>
        </w:rPr>
        <w:t xml:space="preserve"> (Himerni proteini </w:t>
      </w:r>
      <w:r w:rsidRPr="00C247BB">
        <w:rPr>
          <w:i/>
          <w:iCs/>
          <w:sz w:val="24"/>
          <w:lang w:val="sl-SI"/>
        </w:rPr>
        <w:t>Bacillus thuringiensis</w:t>
      </w:r>
      <w:r w:rsidRPr="00C247BB">
        <w:rPr>
          <w:sz w:val="24"/>
          <w:lang w:val="sl-SI"/>
        </w:rPr>
        <w:t xml:space="preserve"> Cry1A.2 in Cry1B.2 za zatiranje škodljivcev iz reda Lepidoptera na soji: nove kombinacije domen širijo spekter insekticidnega delovanja in prispevke novih receptorjev), PLoS One, junij 2017, 16(6), e0249150, </w:t>
      </w:r>
      <w:hyperlink r:id="rId15" w:history="1">
        <w:r w:rsidRPr="00C247BB">
          <w:rPr>
            <w:rStyle w:val="Hyperlink"/>
            <w:sz w:val="24"/>
            <w:lang w:val="sl-SI"/>
          </w:rPr>
          <w:t>https://doi.org/10.1371/journal.pone.0249150</w:t>
        </w:r>
      </w:hyperlink>
      <w:r w:rsidRPr="00C247BB">
        <w:rPr>
          <w:sz w:val="24"/>
          <w:lang w:val="sl-SI"/>
        </w:rPr>
        <w:t>.</w:t>
      </w:r>
    </w:p>
  </w:footnote>
  <w:footnote w:id="6">
    <w:p w14:paraId="78D46A02" w14:textId="2A3E724D" w:rsidR="00834420" w:rsidRPr="00C247BB" w:rsidRDefault="00834420" w:rsidP="00C247BB">
      <w:pPr>
        <w:pStyle w:val="FootnoteText"/>
        <w:ind w:left="567" w:hanging="567"/>
        <w:rPr>
          <w:sz w:val="24"/>
          <w:lang w:val="sl-SI"/>
        </w:rPr>
      </w:pPr>
      <w:r w:rsidRPr="00C247BB">
        <w:rPr>
          <w:rStyle w:val="Funotenzeichen"/>
          <w:sz w:val="24"/>
          <w:lang w:val="sl-SI"/>
        </w:rPr>
        <w:footnoteRef/>
      </w:r>
      <w:r w:rsidR="00C247BB" w:rsidRPr="00C247BB">
        <w:rPr>
          <w:sz w:val="24"/>
          <w:lang w:val="sl-SI"/>
        </w:rPr>
        <w:t xml:space="preserve"> </w:t>
      </w:r>
      <w:r w:rsidR="00C247BB" w:rsidRPr="00C247BB">
        <w:rPr>
          <w:sz w:val="24"/>
          <w:lang w:val="sl-SI"/>
        </w:rPr>
        <w:tab/>
      </w:r>
      <w:r w:rsidRPr="00C247BB">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 </w:t>
      </w:r>
      <w:hyperlink r:id="rId16" w:tgtFrame="Gives%20access%20to%20this%20document%20through%20its%20ELI%20URI.">
        <w:r w:rsidRPr="00C247BB">
          <w:rPr>
            <w:rStyle w:val="Hyperlink"/>
            <w:sz w:val="24"/>
            <w:lang w:val="sl-SI"/>
          </w:rPr>
          <w:t>http://data.europa.eu/eli/reg/2002/178/oj</w:t>
        </w:r>
      </w:hyperlink>
      <w:r w:rsidRPr="00C247B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5474" w14:textId="77777777" w:rsidR="00064002" w:rsidRPr="00C247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C459" w14:textId="77777777" w:rsidR="00064002" w:rsidRPr="00C247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76C9" w14:textId="77777777" w:rsidR="00064002" w:rsidRPr="00C247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203076">
    <w:abstractNumId w:val="9"/>
  </w:num>
  <w:num w:numId="2" w16cid:durableId="1890338560">
    <w:abstractNumId w:val="9"/>
  </w:num>
  <w:num w:numId="3" w16cid:durableId="1834372697">
    <w:abstractNumId w:val="7"/>
  </w:num>
  <w:num w:numId="4" w16cid:durableId="1505896511">
    <w:abstractNumId w:val="7"/>
  </w:num>
  <w:num w:numId="5" w16cid:durableId="143815060">
    <w:abstractNumId w:val="6"/>
  </w:num>
  <w:num w:numId="6" w16cid:durableId="486018703">
    <w:abstractNumId w:val="6"/>
  </w:num>
  <w:num w:numId="7" w16cid:durableId="413403811">
    <w:abstractNumId w:val="5"/>
  </w:num>
  <w:num w:numId="8" w16cid:durableId="908928017">
    <w:abstractNumId w:val="5"/>
  </w:num>
  <w:num w:numId="9" w16cid:durableId="2126388719">
    <w:abstractNumId w:val="4"/>
  </w:num>
  <w:num w:numId="10" w16cid:durableId="1256356083">
    <w:abstractNumId w:val="4"/>
  </w:num>
  <w:num w:numId="11" w16cid:durableId="1229655230">
    <w:abstractNumId w:val="8"/>
  </w:num>
  <w:num w:numId="12" w16cid:durableId="1166703935">
    <w:abstractNumId w:val="8"/>
  </w:num>
  <w:num w:numId="13" w16cid:durableId="524639079">
    <w:abstractNumId w:val="3"/>
  </w:num>
  <w:num w:numId="14" w16cid:durableId="1700084942">
    <w:abstractNumId w:val="3"/>
  </w:num>
  <w:num w:numId="15" w16cid:durableId="1560285631">
    <w:abstractNumId w:val="2"/>
  </w:num>
  <w:num w:numId="16" w16cid:durableId="1555042747">
    <w:abstractNumId w:val="2"/>
  </w:num>
  <w:num w:numId="17" w16cid:durableId="1728843931">
    <w:abstractNumId w:val="1"/>
  </w:num>
  <w:num w:numId="18" w16cid:durableId="1122579091">
    <w:abstractNumId w:val="1"/>
  </w:num>
  <w:num w:numId="19" w16cid:durableId="349336609">
    <w:abstractNumId w:val="0"/>
  </w:num>
  <w:num w:numId="20" w16cid:durableId="1866558277">
    <w:abstractNumId w:val="0"/>
  </w:num>
  <w:num w:numId="21" w16cid:durableId="103423944">
    <w:abstractNumId w:val="9"/>
  </w:num>
  <w:num w:numId="22" w16cid:durableId="2139061865">
    <w:abstractNumId w:val="7"/>
  </w:num>
  <w:num w:numId="23" w16cid:durableId="1110399564">
    <w:abstractNumId w:val="6"/>
  </w:num>
  <w:num w:numId="24" w16cid:durableId="537208494">
    <w:abstractNumId w:val="5"/>
  </w:num>
  <w:num w:numId="25" w16cid:durableId="1808082897">
    <w:abstractNumId w:val="4"/>
  </w:num>
  <w:num w:numId="26" w16cid:durableId="378674613">
    <w:abstractNumId w:val="8"/>
  </w:num>
  <w:num w:numId="27" w16cid:durableId="849637849">
    <w:abstractNumId w:val="3"/>
  </w:num>
  <w:num w:numId="28" w16cid:durableId="2090152625">
    <w:abstractNumId w:val="2"/>
  </w:num>
  <w:num w:numId="29" w16cid:durableId="893396079">
    <w:abstractNumId w:val="1"/>
  </w:num>
  <w:num w:numId="30" w16cid:durableId="207300752">
    <w:abstractNumId w:val="0"/>
  </w:num>
  <w:num w:numId="31" w16cid:durableId="1769616850">
    <w:abstractNumId w:val="9"/>
  </w:num>
  <w:num w:numId="32" w16cid:durableId="938953166">
    <w:abstractNumId w:val="7"/>
  </w:num>
  <w:num w:numId="33" w16cid:durableId="331615550">
    <w:abstractNumId w:val="6"/>
  </w:num>
  <w:num w:numId="34" w16cid:durableId="48849290">
    <w:abstractNumId w:val="5"/>
  </w:num>
  <w:num w:numId="35" w16cid:durableId="1473672936">
    <w:abstractNumId w:val="4"/>
  </w:num>
  <w:num w:numId="36" w16cid:durableId="1273054165">
    <w:abstractNumId w:val="8"/>
  </w:num>
  <w:num w:numId="37" w16cid:durableId="1092511940">
    <w:abstractNumId w:val="3"/>
  </w:num>
  <w:num w:numId="38" w16cid:durableId="996226307">
    <w:abstractNumId w:val="2"/>
  </w:num>
  <w:num w:numId="39" w16cid:durableId="1971862979">
    <w:abstractNumId w:val="1"/>
  </w:num>
  <w:num w:numId="40" w16cid:durableId="686253371">
    <w:abstractNumId w:val="0"/>
  </w:num>
  <w:num w:numId="41" w16cid:durableId="1622035928">
    <w:abstractNumId w:val="10"/>
  </w:num>
  <w:num w:numId="42" w16cid:durableId="2103379492">
    <w:abstractNumId w:val="10"/>
  </w:num>
  <w:num w:numId="43" w16cid:durableId="91630186">
    <w:abstractNumId w:val="10"/>
  </w:num>
  <w:num w:numId="44" w16cid:durableId="462770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SL"/>
    <w:docVar w:name="dvnumam" w:val="0"/>
    <w:docVar w:name="dvpe" w:val="785.406"/>
    <w:docVar w:name="dvtitre" w:val="Resolucija Evropskega parlamenta z dne 29. aprila 2026 o osnutku izvedbenega sklepa Komisije o odobritvi dajanja na trg proizvodov, ki vsebujejo gensko spremenjeno sojo MON 94637, so iz nje sestavljeni ali proizvedeni, v skladu z Uredbo (ES) št. 1829/2003 Evropskega parlamenta in Sveta(D113501/03 – 2026/2651(RSP))"/>
  </w:docVars>
  <w:rsids>
    <w:rsidRoot w:val="00473799"/>
    <w:rsid w:val="00002272"/>
    <w:rsid w:val="00064002"/>
    <w:rsid w:val="000677B9"/>
    <w:rsid w:val="000831BA"/>
    <w:rsid w:val="000A42CC"/>
    <w:rsid w:val="000E7DD9"/>
    <w:rsid w:val="0010095E"/>
    <w:rsid w:val="001258B0"/>
    <w:rsid w:val="00125B37"/>
    <w:rsid w:val="00187494"/>
    <w:rsid w:val="001F32AE"/>
    <w:rsid w:val="002767FF"/>
    <w:rsid w:val="002B18FE"/>
    <w:rsid w:val="002B5493"/>
    <w:rsid w:val="00343214"/>
    <w:rsid w:val="00361C00"/>
    <w:rsid w:val="00395FA1"/>
    <w:rsid w:val="003A4C8D"/>
    <w:rsid w:val="003E15D4"/>
    <w:rsid w:val="00411CCE"/>
    <w:rsid w:val="0041666E"/>
    <w:rsid w:val="00421060"/>
    <w:rsid w:val="00471C19"/>
    <w:rsid w:val="00473799"/>
    <w:rsid w:val="004867E3"/>
    <w:rsid w:val="00494A28"/>
    <w:rsid w:val="004C0004"/>
    <w:rsid w:val="004C5D52"/>
    <w:rsid w:val="0050519A"/>
    <w:rsid w:val="005072A1"/>
    <w:rsid w:val="00514517"/>
    <w:rsid w:val="00545827"/>
    <w:rsid w:val="00560270"/>
    <w:rsid w:val="005C2568"/>
    <w:rsid w:val="005F1B17"/>
    <w:rsid w:val="006037C0"/>
    <w:rsid w:val="006554AA"/>
    <w:rsid w:val="006631B6"/>
    <w:rsid w:val="00680577"/>
    <w:rsid w:val="006F74FA"/>
    <w:rsid w:val="00731ADD"/>
    <w:rsid w:val="00734777"/>
    <w:rsid w:val="00747932"/>
    <w:rsid w:val="00751A4A"/>
    <w:rsid w:val="00756632"/>
    <w:rsid w:val="00762C74"/>
    <w:rsid w:val="00786EC0"/>
    <w:rsid w:val="007D1690"/>
    <w:rsid w:val="007E22AD"/>
    <w:rsid w:val="00817416"/>
    <w:rsid w:val="0083442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3D3"/>
    <w:rsid w:val="00AE0928"/>
    <w:rsid w:val="00AF3B82"/>
    <w:rsid w:val="00B12E95"/>
    <w:rsid w:val="00B22876"/>
    <w:rsid w:val="00B558F0"/>
    <w:rsid w:val="00BD48FE"/>
    <w:rsid w:val="00BD7BD8"/>
    <w:rsid w:val="00BE6ADC"/>
    <w:rsid w:val="00C05BFE"/>
    <w:rsid w:val="00C20121"/>
    <w:rsid w:val="00C23CD4"/>
    <w:rsid w:val="00C247BB"/>
    <w:rsid w:val="00C61C0C"/>
    <w:rsid w:val="00C941CB"/>
    <w:rsid w:val="00CB6E7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A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CD73B"/>
  <w15:chartTrackingRefBased/>
  <w15:docId w15:val="{CBC01AA7-F506-4794-B5E4-74239341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834420"/>
    <w:pPr>
      <w:spacing w:before="480" w:after="240"/>
    </w:pPr>
  </w:style>
  <w:style w:type="paragraph" w:customStyle="1" w:styleId="NormalHanging12a">
    <w:name w:val="NormalHanging12a"/>
    <w:basedOn w:val="Normal"/>
    <w:qFormat/>
    <w:rsid w:val="00834420"/>
    <w:pPr>
      <w:spacing w:after="240"/>
      <w:ind w:left="567" w:hanging="567"/>
    </w:pPr>
  </w:style>
  <w:style w:type="character" w:styleId="Hyperlink">
    <w:name w:val="Hyperlink"/>
    <w:basedOn w:val="DefaultParagraphFont"/>
    <w:uiPriority w:val="99"/>
    <w:unhideWhenUsed/>
    <w:rsid w:val="00834420"/>
    <w:rPr>
      <w:color w:val="0000FF"/>
      <w:u w:val="single"/>
    </w:rPr>
  </w:style>
  <w:style w:type="character" w:customStyle="1" w:styleId="Funotenzeichen">
    <w:name w:val="Fußnotenzeichen"/>
    <w:basedOn w:val="DefaultParagraphFont"/>
    <w:uiPriority w:val="99"/>
    <w:qFormat/>
    <w:rsid w:val="00834420"/>
    <w:rPr>
      <w:rFonts w:cs="Times New Roman"/>
      <w:vertAlign w:val="superscript"/>
    </w:rPr>
  </w:style>
  <w:style w:type="paragraph" w:styleId="NormalWeb">
    <w:name w:val="Normal (Web)"/>
    <w:basedOn w:val="Normal"/>
    <w:uiPriority w:val="99"/>
    <w:unhideWhenUsed/>
    <w:qFormat/>
    <w:rsid w:val="00834420"/>
    <w:pPr>
      <w:widowControl/>
      <w:suppressAutoHyphens/>
      <w:spacing w:beforeAutospacing="1" w:afterAutospacing="1"/>
    </w:pPr>
    <w:rPr>
      <w:szCs w:val="24"/>
    </w:rPr>
  </w:style>
  <w:style w:type="paragraph" w:styleId="Revision">
    <w:name w:val="Revision"/>
    <w:hidden/>
    <w:uiPriority w:val="99"/>
    <w:semiHidden/>
    <w:rsid w:val="00C2012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1032</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2026-04-29T12:19:00Z</dcterms:created>
  <dcterms:modified xsi:type="dcterms:W3CDTF">2026-04-29T12:19:00Z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B10-0186/2026</vt:lpwstr>
  </property>
  <property fmtid="{D5CDD505-2E9C-101B-9397-08002B2CF9AE}" pid="4" name="&lt;Type&gt;">
    <vt:lpwstr>RR</vt:lpwstr>
  </property>
</Properties>
</file>