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4776" w14:paraId="37D9EB6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68A642" w14:textId="77777777" w:rsidR="00751A4A" w:rsidRPr="00DD4776" w:rsidRDefault="00613050" w:rsidP="0010095E">
            <w:pPr>
              <w:pStyle w:val="EPName"/>
            </w:pPr>
            <w:r w:rsidRPr="00DD4776">
              <w:t>Evropský parlament</w:t>
            </w:r>
          </w:p>
          <w:p w14:paraId="1EBF1D5A" w14:textId="77777777" w:rsidR="00751A4A" w:rsidRPr="00DD47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4776">
              <w:t>2024</w:t>
            </w:r>
            <w:r w:rsidR="00817416" w:rsidRPr="00DD4776">
              <w:t>-202</w:t>
            </w:r>
            <w:r w:rsidRPr="00DD4776">
              <w:t>9</w:t>
            </w:r>
          </w:p>
        </w:tc>
        <w:tc>
          <w:tcPr>
            <w:tcW w:w="2268" w:type="dxa"/>
            <w:shd w:val="clear" w:color="auto" w:fill="auto"/>
          </w:tcPr>
          <w:p w14:paraId="24D5C456" w14:textId="77777777" w:rsidR="00751A4A" w:rsidRPr="00DD4776" w:rsidRDefault="00187494" w:rsidP="0010095E">
            <w:pPr>
              <w:pStyle w:val="EPLogo"/>
            </w:pPr>
            <w:r w:rsidRPr="00DD4776">
              <w:rPr>
                <w:noProof/>
                <w:lang w:eastAsia="ja-JP"/>
              </w:rPr>
              <w:drawing>
                <wp:inline distT="0" distB="0" distL="0" distR="0" wp14:anchorId="151230B1" wp14:editId="75E2AA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280E21" w14:textId="77777777" w:rsidR="00D058B8" w:rsidRPr="00DD4776" w:rsidRDefault="00D058B8" w:rsidP="004C5D52">
      <w:pPr>
        <w:pStyle w:val="LineTop"/>
      </w:pPr>
    </w:p>
    <w:p w14:paraId="21B2E7AD" w14:textId="77777777" w:rsidR="00680577" w:rsidRPr="00DD4776" w:rsidRDefault="00613050" w:rsidP="00680577">
      <w:pPr>
        <w:pStyle w:val="EPBodyTA1"/>
      </w:pPr>
      <w:r w:rsidRPr="00DD4776">
        <w:t>PŘIJATÉ TEXTY</w:t>
      </w:r>
    </w:p>
    <w:p w14:paraId="676E8999" w14:textId="77777777" w:rsidR="00D058B8" w:rsidRPr="00DD4776" w:rsidRDefault="00D058B8" w:rsidP="00D058B8">
      <w:pPr>
        <w:pStyle w:val="LineBottom"/>
      </w:pPr>
    </w:p>
    <w:p w14:paraId="16A1A3CD" w14:textId="6562DB45" w:rsidR="00613050" w:rsidRPr="00DD4776" w:rsidRDefault="00613050" w:rsidP="00613050">
      <w:pPr>
        <w:pStyle w:val="ATHeading1"/>
      </w:pPr>
      <w:bookmarkStart w:id="0" w:name="TANumber"/>
      <w:r w:rsidRPr="00DD4776">
        <w:t>P10_</w:t>
      </w:r>
      <w:proofErr w:type="gramStart"/>
      <w:r w:rsidRPr="00DD4776">
        <w:t>TA(</w:t>
      </w:r>
      <w:proofErr w:type="gramEnd"/>
      <w:r w:rsidRPr="00DD4776">
        <w:t>2026)0</w:t>
      </w:r>
      <w:r w:rsidR="00CA5D9B">
        <w:t>151</w:t>
      </w:r>
      <w:bookmarkEnd w:id="0"/>
    </w:p>
    <w:p w14:paraId="5215B48E" w14:textId="77777777" w:rsidR="00613050" w:rsidRPr="00DD4776" w:rsidRDefault="00613050" w:rsidP="00613050">
      <w:pPr>
        <w:pStyle w:val="ATHeading2"/>
      </w:pPr>
      <w:bookmarkStart w:id="1" w:name="title"/>
      <w:r w:rsidRPr="00DD4776">
        <w:t>Zhoršující se situace v oblasti obchodování s lidmi a vykořisťování ze strany zločineckých skupin na Haiti</w:t>
      </w:r>
      <w:bookmarkEnd w:id="1"/>
    </w:p>
    <w:p w14:paraId="25BC978F" w14:textId="0DDCF1DA" w:rsidR="00613050" w:rsidRPr="00DD4776" w:rsidRDefault="00613050" w:rsidP="00613050">
      <w:pPr>
        <w:rPr>
          <w:i/>
          <w:vanish/>
        </w:rPr>
      </w:pPr>
      <w:r w:rsidRPr="00DD4776">
        <w:rPr>
          <w:i/>
        </w:rPr>
        <w:fldChar w:fldCharType="begin"/>
      </w:r>
      <w:r w:rsidRPr="00DD4776">
        <w:rPr>
          <w:i/>
        </w:rPr>
        <w:instrText xml:space="preserve"> TC"(</w:instrText>
      </w:r>
      <w:bookmarkStart w:id="2" w:name="DocNumber"/>
      <w:r w:rsidRPr="00DD4776">
        <w:rPr>
          <w:i/>
        </w:rPr>
        <w:instrText>B10-0209</w:instrText>
      </w:r>
      <w:r w:rsidR="00235C93">
        <w:rPr>
          <w:i/>
        </w:rPr>
        <w:instrText>, 0220, 0225, 0228 a 0230</w:instrText>
      </w:r>
      <w:r w:rsidRPr="00DD4776">
        <w:rPr>
          <w:i/>
        </w:rPr>
        <w:instrText>/2026</w:instrText>
      </w:r>
      <w:bookmarkEnd w:id="2"/>
      <w:r w:rsidRPr="00DD4776">
        <w:rPr>
          <w:i/>
        </w:rPr>
        <w:instrText xml:space="preserve">)"\l3 \n&gt; \* MERGEFORMAT </w:instrText>
      </w:r>
      <w:r w:rsidRPr="00DD4776">
        <w:rPr>
          <w:i/>
        </w:rPr>
        <w:fldChar w:fldCharType="end"/>
      </w:r>
    </w:p>
    <w:p w14:paraId="4F0F18F9" w14:textId="77777777" w:rsidR="00613050" w:rsidRPr="00DD4776" w:rsidRDefault="00613050" w:rsidP="00613050">
      <w:pPr>
        <w:rPr>
          <w:vanish/>
        </w:rPr>
      </w:pPr>
      <w:bookmarkStart w:id="3" w:name="PE"/>
      <w:r w:rsidRPr="00DD4776">
        <w:rPr>
          <w:vanish/>
        </w:rPr>
        <w:t>PE783.244</w:t>
      </w:r>
      <w:bookmarkEnd w:id="3"/>
    </w:p>
    <w:p w14:paraId="113DE200" w14:textId="77777777" w:rsidR="00613050" w:rsidRPr="00DD4776" w:rsidRDefault="00613050" w:rsidP="00613050">
      <w:pPr>
        <w:pStyle w:val="ATHeading3"/>
      </w:pPr>
      <w:bookmarkStart w:id="4" w:name="Sujet"/>
      <w:r w:rsidRPr="00DD4776">
        <w:t>Usnesení Evropského parlamentu ze dne 30. dubna 2026 o zhoršující se situaci v oblasti obchodování s lidmi a vykořisťování ze strany zločineckých skupin na Haiti</w:t>
      </w:r>
      <w:bookmarkEnd w:id="4"/>
      <w:r w:rsidRPr="00DD4776">
        <w:t xml:space="preserve"> </w:t>
      </w:r>
      <w:bookmarkStart w:id="5" w:name="References"/>
      <w:r w:rsidRPr="00DD4776">
        <w:t>(2026/2702(RSP))</w:t>
      </w:r>
      <w:bookmarkEnd w:id="5"/>
    </w:p>
    <w:p w14:paraId="07849CD8" w14:textId="77777777" w:rsidR="009202C0" w:rsidRPr="00DD4776" w:rsidRDefault="009202C0" w:rsidP="009202C0">
      <w:pPr>
        <w:pStyle w:val="EPComma"/>
      </w:pPr>
      <w:bookmarkStart w:id="6" w:name="TextBodyBegin"/>
      <w:bookmarkEnd w:id="6"/>
      <w:r w:rsidRPr="00DD4776">
        <w:rPr>
          <w:i/>
        </w:rPr>
        <w:t>Evropský parlament</w:t>
      </w:r>
      <w:r w:rsidRPr="00DD4776">
        <w:t>,</w:t>
      </w:r>
    </w:p>
    <w:p w14:paraId="0581CEF5" w14:textId="77777777" w:rsidR="009202C0" w:rsidRPr="00DD4776" w:rsidRDefault="009202C0" w:rsidP="00DD4776">
      <w:pPr>
        <w:pStyle w:val="NormalHanging12a"/>
      </w:pPr>
      <w:r w:rsidRPr="00DD4776">
        <w:t>–</w:t>
      </w:r>
      <w:r w:rsidRPr="00DD4776">
        <w:tab/>
        <w:t>s ohledem na čl. 150 odst. 5 a čl. 136 odst. 4 jednacího řádu,</w:t>
      </w:r>
    </w:p>
    <w:p w14:paraId="5FED413A" w14:textId="20F50B03" w:rsidR="009202C0" w:rsidRPr="00DD4776" w:rsidRDefault="009202C0" w:rsidP="00DD4776">
      <w:pPr>
        <w:pStyle w:val="NormalHanging12a"/>
      </w:pPr>
      <w:r w:rsidRPr="00DD4776">
        <w:t>A.</w:t>
      </w:r>
      <w:r w:rsidRPr="00DD4776">
        <w:tab/>
        <w:t>vzhledem k tomu, že na Haiti se hroutí státní moc a velké části jeho území ovládají gangy; vzhledem k tomu, že gangy se dopouštějí vydírání, únosů a zabíjení a jejich jednání způsobuje hlad, vysídlování a rozsáhlé násilí; vzhledem k tomu, že v období od</w:t>
      </w:r>
      <w:r w:rsidR="00CA5D9B" w:rsidRPr="00DD4776">
        <w:t> </w:t>
      </w:r>
      <w:r w:rsidRPr="00DD4776">
        <w:t>března 2025 do ledna 2026 bylo zabito nejméně 5</w:t>
      </w:r>
      <w:r w:rsidR="00CA5D9B" w:rsidRPr="00DD4776">
        <w:t> </w:t>
      </w:r>
      <w:r w:rsidRPr="00DD4776">
        <w:t>519 osob a nejméně 1</w:t>
      </w:r>
      <w:r w:rsidR="00CA5D9B" w:rsidRPr="00DD4776">
        <w:t> </w:t>
      </w:r>
      <w:r w:rsidRPr="00DD4776">
        <w:t>571 žen a dívek se stalo obětí sexuálního násilí;</w:t>
      </w:r>
    </w:p>
    <w:p w14:paraId="2BEC3F10" w14:textId="661CA347" w:rsidR="009202C0" w:rsidRPr="00DD4776" w:rsidRDefault="009202C0" w:rsidP="00DD4776">
      <w:pPr>
        <w:pStyle w:val="NormalHanging12a"/>
      </w:pPr>
      <w:r w:rsidRPr="00DD4776">
        <w:t>B.</w:t>
      </w:r>
      <w:r w:rsidRPr="00DD4776">
        <w:tab/>
        <w:t>vzhledem k tomu, že většina gangů je zapojena do obchodování s dětmi; vzhledem k</w:t>
      </w:r>
      <w:r w:rsidR="00CA5D9B" w:rsidRPr="00DD4776">
        <w:t> </w:t>
      </w:r>
      <w:r w:rsidRPr="00DD4776">
        <w:t>tomu, že nábor dětí se v roce 2025 údajně ztrojnásobil; vzhledem k tomu, že podle dostupných zpráv děti tvoří až 50 % členů gangů; vzhledem k tomu, že uzavření škol připravilo o vzdělání 1,5 milionu dětí;</w:t>
      </w:r>
    </w:p>
    <w:p w14:paraId="213C1F5B" w14:textId="77777777" w:rsidR="009202C0" w:rsidRPr="00DD4776" w:rsidRDefault="009202C0" w:rsidP="00DD4776">
      <w:pPr>
        <w:pStyle w:val="NormalHanging12a"/>
      </w:pPr>
      <w:r w:rsidRPr="00DD4776">
        <w:t>C.</w:t>
      </w:r>
      <w:r w:rsidRPr="00DD4776">
        <w:tab/>
        <w:t>vzhledem k tomu, že gangy používají k zastrašování a kontrole sexuální násilí, které neúměrně postihuje ženy a dívky;</w:t>
      </w:r>
    </w:p>
    <w:p w14:paraId="1A8BB808" w14:textId="6169CA58" w:rsidR="009202C0" w:rsidRPr="00DD4776" w:rsidRDefault="009202C0" w:rsidP="00DD4776">
      <w:pPr>
        <w:pStyle w:val="NormalHanging12a"/>
      </w:pPr>
      <w:r w:rsidRPr="00DD4776">
        <w:t>D.</w:t>
      </w:r>
      <w:r w:rsidRPr="00DD4776">
        <w:tab/>
        <w:t>vzhledem k tomu, že humanitární situace dosáhla nebývalých rozměrů, neboť 1,45</w:t>
      </w:r>
      <w:r w:rsidR="00CA5D9B" w:rsidRPr="00DD4776">
        <w:t> </w:t>
      </w:r>
      <w:r w:rsidRPr="00DD4776">
        <w:t>milionu lidí bylo vysídleno a více než polovina obyvatelstva čelí akutnímu nedostatku potravin, přičemž reakce je silně podfinancovaná;</w:t>
      </w:r>
    </w:p>
    <w:p w14:paraId="7D1FD9CD" w14:textId="77777777" w:rsidR="009202C0" w:rsidRPr="00DD4776" w:rsidRDefault="009202C0" w:rsidP="00DD4776">
      <w:pPr>
        <w:pStyle w:val="NormalHanging12a"/>
      </w:pPr>
      <w:r w:rsidRPr="00DD4776">
        <w:t>E.</w:t>
      </w:r>
      <w:r w:rsidRPr="00DD4776">
        <w:tab/>
        <w:t>vzhledem k tomu, že násilí gangů, obchodování s lidmi a vykořisťování na Haiti podněcuje nadnárodní trestná činnost, nezákonné toky zbraní, obchod s drogami a praní peněz;</w:t>
      </w:r>
    </w:p>
    <w:p w14:paraId="49F397F1" w14:textId="77777777" w:rsidR="009202C0" w:rsidRPr="00DD4776" w:rsidRDefault="009202C0" w:rsidP="00DD4776">
      <w:pPr>
        <w:pStyle w:val="NormalHanging12a"/>
      </w:pPr>
      <w:r w:rsidRPr="00DD4776">
        <w:t>F.</w:t>
      </w:r>
      <w:r w:rsidRPr="00DD4776">
        <w:tab/>
        <w:t>vzhledem k tomu, že dne 30. září 2025 přeměnila Rada bezpečnosti OSN mnohonárodní misi na podporu bezpečnosti na misi pro potírání kriminálních gangů (GSF), avšak ani tato nová mise nemá dostatek financování a personálu;</w:t>
      </w:r>
    </w:p>
    <w:p w14:paraId="2118C5CE" w14:textId="1EF4A12E" w:rsidR="009202C0" w:rsidRPr="00DD4776" w:rsidRDefault="009202C0" w:rsidP="00DD4776">
      <w:pPr>
        <w:pStyle w:val="NormalHanging12a"/>
      </w:pPr>
      <w:r w:rsidRPr="00DD4776">
        <w:lastRenderedPageBreak/>
        <w:t>1.</w:t>
      </w:r>
      <w:r w:rsidRPr="00DD4776">
        <w:tab/>
        <w:t>důrazně odsuzuje stupňující se násilí páchané zločineckými skupinami, obchodování s</w:t>
      </w:r>
      <w:r w:rsidR="00CA5D9B" w:rsidRPr="00DD4776">
        <w:t> </w:t>
      </w:r>
      <w:r w:rsidRPr="00DD4776">
        <w:t>dětmi, jejich nábor a vykořisťování, včetně sexuálního vykořisťování, i nucené vysídlování civilního obyvatelstva;</w:t>
      </w:r>
    </w:p>
    <w:p w14:paraId="4E692DBA" w14:textId="77777777" w:rsidR="009202C0" w:rsidRPr="00DD4776" w:rsidRDefault="009202C0" w:rsidP="00DD4776">
      <w:pPr>
        <w:pStyle w:val="NormalHanging12a"/>
      </w:pPr>
      <w:r w:rsidRPr="00DD4776">
        <w:t>2.</w:t>
      </w:r>
      <w:r w:rsidRPr="00DD4776">
        <w:tab/>
        <w:t>vyzývá k přijetí politiky odzbrojení a rozpuštění gangů a opětovného začlenění dotčených osob, včetně dětí; zdůrazňuje, že děti nesmí být kriminalizovány za činy, které spáchaly v přímém důsledku vykořisťování, ale musí být uznáno, že jsou obětmi, a jako takovým jim musí být poskytnuta pomoc; vyzývá k tomu, aby byl obětem sexuálního násilí a vykořisťování poskytnut přístup k lékařské péči;</w:t>
      </w:r>
    </w:p>
    <w:p w14:paraId="340C13C2" w14:textId="77777777" w:rsidR="009202C0" w:rsidRPr="00DD4776" w:rsidRDefault="009202C0" w:rsidP="00DD4776">
      <w:pPr>
        <w:pStyle w:val="NormalHanging12a"/>
      </w:pPr>
      <w:r w:rsidRPr="00DD4776">
        <w:t>3.</w:t>
      </w:r>
      <w:r w:rsidRPr="00DD4776">
        <w:tab/>
        <w:t>vyzývá haitské orgány, aby předcházely obchodování s dětmi tím, že posílí sociální ochranu, zajistí bezpečné vzdělávání, rozšíří psychosociální péči a zavedou reintegrační programy, aby se vytvořily podmínky pro ukončení násilí, které se budou zakládat na právech;</w:t>
      </w:r>
    </w:p>
    <w:p w14:paraId="4E5ED57D" w14:textId="77777777" w:rsidR="009202C0" w:rsidRPr="00DD4776" w:rsidRDefault="009202C0" w:rsidP="00DD4776">
      <w:pPr>
        <w:pStyle w:val="NormalHanging12a"/>
      </w:pPr>
      <w:r w:rsidRPr="00DD4776">
        <w:t>4.</w:t>
      </w:r>
      <w:r w:rsidRPr="00DD4776">
        <w:tab/>
        <w:t>vyzývá haitské orgány, aby na prvním místě prosazovaly spravedlnost, zajistily nápravu, bojovaly proti beztrestnosti, všechny trestné činy spáchané zločineckými skupinami vyšetřily na základě spravedlivých a důvěryhodných řízení a aby pro tyto účely uvedly do činnosti specializované soudní kapacity; vyzývá k nezávislému vyšetření údajných mimosoudních poprav;</w:t>
      </w:r>
    </w:p>
    <w:p w14:paraId="2730F859" w14:textId="77777777" w:rsidR="009202C0" w:rsidRPr="00DD4776" w:rsidRDefault="009202C0" w:rsidP="00DD4776">
      <w:pPr>
        <w:pStyle w:val="NormalHanging12a"/>
      </w:pPr>
      <w:r w:rsidRPr="00DD4776">
        <w:t>5.</w:t>
      </w:r>
      <w:r w:rsidRPr="00DD4776">
        <w:tab/>
        <w:t>vyzývá EU, její členské státy a mezinárodní partnery, aby posílili podporu ochrany dětí a jejich resocializace a opětovného začlenění, služeb pro oběti, kapacity soudů a státních zastupitelství a haitské občanské společnosti;</w:t>
      </w:r>
    </w:p>
    <w:p w14:paraId="1CB4434E" w14:textId="77777777" w:rsidR="009202C0" w:rsidRPr="00DD4776" w:rsidRDefault="009202C0" w:rsidP="00DD4776">
      <w:pPr>
        <w:pStyle w:val="NormalHanging12a"/>
      </w:pPr>
      <w:r w:rsidRPr="00DD4776">
        <w:t>6.</w:t>
      </w:r>
      <w:r w:rsidRPr="00DD4776">
        <w:tab/>
        <w:t>poukazuje na snížení financování ze strany USAID a OSN; vyzývá EU a její členské státy, aby zvýšily humanitární podporu, včetně ochrany a zdravotní péče pro oběti obchodování s lidmi a sexuálního vykořisťování; naléhavě vyzývá hostitelské země, aby zastavily deportace na Haiti;</w:t>
      </w:r>
    </w:p>
    <w:p w14:paraId="4A86BA10" w14:textId="77777777" w:rsidR="009202C0" w:rsidRPr="00DD4776" w:rsidRDefault="009202C0" w:rsidP="00DD4776">
      <w:pPr>
        <w:pStyle w:val="NormalHanging12a"/>
      </w:pPr>
      <w:r w:rsidRPr="00DD4776">
        <w:t>7.</w:t>
      </w:r>
      <w:r w:rsidRPr="00DD4776">
        <w:tab/>
        <w:t>vyzývá EU a její členské státy, aby misi GSF trvale podporovaly a zajistily spolehlivé záruky v oblasti lidských práv a odpovědnosti;</w:t>
      </w:r>
    </w:p>
    <w:p w14:paraId="2D9CD087" w14:textId="77777777" w:rsidR="009202C0" w:rsidRPr="00DD4776" w:rsidRDefault="009202C0" w:rsidP="00DD4776">
      <w:pPr>
        <w:pStyle w:val="NormalHanging12a"/>
      </w:pPr>
      <w:r w:rsidRPr="00DD4776">
        <w:t>8.</w:t>
      </w:r>
      <w:r w:rsidRPr="00DD4776">
        <w:tab/>
        <w:t>požaduje plné uplatňování zbrojního embarga OSN; naléhavě vyzývá EU a její členské státy, aby zintenzivnily úsilí o omezení nezákonných toků zbraní a finančních prostředků směřujících na Haiti, mimo jiné prostřednictvím soudní spolupráce a monitorování hranic, a aby nadále ukládaly cílené sankce;</w:t>
      </w:r>
    </w:p>
    <w:p w14:paraId="73F8A747" w14:textId="38EEA798" w:rsidR="001D1760" w:rsidRPr="00DD4776" w:rsidRDefault="009202C0" w:rsidP="00DD4776">
      <w:pPr>
        <w:pStyle w:val="NormalHanging12a"/>
      </w:pPr>
      <w:r w:rsidRPr="00DD4776">
        <w:t>9.</w:t>
      </w:r>
      <w:r w:rsidRPr="00DD4776">
        <w:tab/>
        <w:t xml:space="preserve">pověřuje svou předsedkyni, aby předala toto usnesení Radě, Komisi, místopředsedkyni Komise, vysoké představitelce, generálnímu tajemníkovi OSN, orgánům CARIFORA a haitským orgánům. </w:t>
      </w:r>
    </w:p>
    <w:p w14:paraId="0CA0C647" w14:textId="51E0EF4C" w:rsidR="00E365E1" w:rsidRPr="00DD4776" w:rsidRDefault="00E365E1" w:rsidP="00DD4776">
      <w:pPr>
        <w:spacing w:after="240"/>
        <w:ind w:left="567" w:hanging="567"/>
      </w:pPr>
    </w:p>
    <w:sectPr w:rsidR="00E365E1" w:rsidRPr="00DD4776" w:rsidSect="001D17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6CD9C" w14:textId="77777777" w:rsidR="00613050" w:rsidRPr="001D1760" w:rsidRDefault="00613050">
      <w:r w:rsidRPr="001D1760">
        <w:separator/>
      </w:r>
    </w:p>
  </w:endnote>
  <w:endnote w:type="continuationSeparator" w:id="0">
    <w:p w14:paraId="0233D55E" w14:textId="77777777" w:rsidR="00613050" w:rsidRPr="001D1760" w:rsidRDefault="00613050">
      <w:r w:rsidRPr="001D17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1374" w14:textId="77777777" w:rsidR="00064002" w:rsidRPr="001D17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0A795" w14:textId="77777777" w:rsidR="00064002" w:rsidRPr="001D17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1E9C0" w14:textId="77777777" w:rsidR="00064002" w:rsidRPr="001D17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34076" w14:textId="77777777" w:rsidR="00613050" w:rsidRPr="001D1760" w:rsidRDefault="00613050">
      <w:r w:rsidRPr="001D1760">
        <w:separator/>
      </w:r>
    </w:p>
  </w:footnote>
  <w:footnote w:type="continuationSeparator" w:id="0">
    <w:p w14:paraId="7CD50760" w14:textId="77777777" w:rsidR="00613050" w:rsidRPr="001D1760" w:rsidRDefault="00613050">
      <w:r w:rsidRPr="001D176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C85E" w14:textId="77777777" w:rsidR="00064002" w:rsidRPr="001D17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3B18A" w14:textId="77777777" w:rsidR="00064002" w:rsidRPr="001D17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1029" w14:textId="77777777" w:rsidR="00064002" w:rsidRPr="001D17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8053848">
    <w:abstractNumId w:val="9"/>
  </w:num>
  <w:num w:numId="2" w16cid:durableId="1277174566">
    <w:abstractNumId w:val="9"/>
  </w:num>
  <w:num w:numId="3" w16cid:durableId="2069721822">
    <w:abstractNumId w:val="7"/>
  </w:num>
  <w:num w:numId="4" w16cid:durableId="220601462">
    <w:abstractNumId w:val="7"/>
  </w:num>
  <w:num w:numId="5" w16cid:durableId="1165822640">
    <w:abstractNumId w:val="6"/>
  </w:num>
  <w:num w:numId="6" w16cid:durableId="438918847">
    <w:abstractNumId w:val="6"/>
  </w:num>
  <w:num w:numId="7" w16cid:durableId="223565750">
    <w:abstractNumId w:val="5"/>
  </w:num>
  <w:num w:numId="8" w16cid:durableId="999305589">
    <w:abstractNumId w:val="5"/>
  </w:num>
  <w:num w:numId="9" w16cid:durableId="863514779">
    <w:abstractNumId w:val="4"/>
  </w:num>
  <w:num w:numId="10" w16cid:durableId="483477230">
    <w:abstractNumId w:val="4"/>
  </w:num>
  <w:num w:numId="11" w16cid:durableId="1012491127">
    <w:abstractNumId w:val="8"/>
  </w:num>
  <w:num w:numId="12" w16cid:durableId="1155995684">
    <w:abstractNumId w:val="8"/>
  </w:num>
  <w:num w:numId="13" w16cid:durableId="996035723">
    <w:abstractNumId w:val="3"/>
  </w:num>
  <w:num w:numId="14" w16cid:durableId="1453935561">
    <w:abstractNumId w:val="3"/>
  </w:num>
  <w:num w:numId="15" w16cid:durableId="124475219">
    <w:abstractNumId w:val="2"/>
  </w:num>
  <w:num w:numId="16" w16cid:durableId="262542347">
    <w:abstractNumId w:val="2"/>
  </w:num>
  <w:num w:numId="17" w16cid:durableId="1938515039">
    <w:abstractNumId w:val="1"/>
  </w:num>
  <w:num w:numId="18" w16cid:durableId="484858035">
    <w:abstractNumId w:val="1"/>
  </w:num>
  <w:num w:numId="19" w16cid:durableId="1776319840">
    <w:abstractNumId w:val="0"/>
  </w:num>
  <w:num w:numId="20" w16cid:durableId="1101950718">
    <w:abstractNumId w:val="0"/>
  </w:num>
  <w:num w:numId="21" w16cid:durableId="536548233">
    <w:abstractNumId w:val="9"/>
  </w:num>
  <w:num w:numId="22" w16cid:durableId="795172834">
    <w:abstractNumId w:val="7"/>
  </w:num>
  <w:num w:numId="23" w16cid:durableId="500051950">
    <w:abstractNumId w:val="6"/>
  </w:num>
  <w:num w:numId="24" w16cid:durableId="794908340">
    <w:abstractNumId w:val="5"/>
  </w:num>
  <w:num w:numId="25" w16cid:durableId="737287676">
    <w:abstractNumId w:val="4"/>
  </w:num>
  <w:num w:numId="26" w16cid:durableId="1036388186">
    <w:abstractNumId w:val="8"/>
  </w:num>
  <w:num w:numId="27" w16cid:durableId="175652096">
    <w:abstractNumId w:val="3"/>
  </w:num>
  <w:num w:numId="28" w16cid:durableId="1160659659">
    <w:abstractNumId w:val="2"/>
  </w:num>
  <w:num w:numId="29" w16cid:durableId="1028526773">
    <w:abstractNumId w:val="1"/>
  </w:num>
  <w:num w:numId="30" w16cid:durableId="1532498816">
    <w:abstractNumId w:val="0"/>
  </w:num>
  <w:num w:numId="31" w16cid:durableId="1071083051">
    <w:abstractNumId w:val="9"/>
  </w:num>
  <w:num w:numId="32" w16cid:durableId="881212333">
    <w:abstractNumId w:val="7"/>
  </w:num>
  <w:num w:numId="33" w16cid:durableId="1909993543">
    <w:abstractNumId w:val="6"/>
  </w:num>
  <w:num w:numId="34" w16cid:durableId="2074426346">
    <w:abstractNumId w:val="5"/>
  </w:num>
  <w:num w:numId="35" w16cid:durableId="48653367">
    <w:abstractNumId w:val="4"/>
  </w:num>
  <w:num w:numId="36" w16cid:durableId="51120691">
    <w:abstractNumId w:val="8"/>
  </w:num>
  <w:num w:numId="37" w16cid:durableId="931165966">
    <w:abstractNumId w:val="3"/>
  </w:num>
  <w:num w:numId="38" w16cid:durableId="1491218954">
    <w:abstractNumId w:val="2"/>
  </w:num>
  <w:num w:numId="39" w16cid:durableId="632907896">
    <w:abstractNumId w:val="1"/>
  </w:num>
  <w:num w:numId="40" w16cid:durableId="1827748006">
    <w:abstractNumId w:val="0"/>
  </w:num>
  <w:num w:numId="41" w16cid:durableId="1575891250">
    <w:abstractNumId w:val="10"/>
  </w:num>
  <w:num w:numId="42" w16cid:durableId="376513777">
    <w:abstractNumId w:val="10"/>
  </w:num>
  <w:num w:numId="43" w16cid:durableId="1119102411">
    <w:abstractNumId w:val="10"/>
  </w:num>
  <w:num w:numId="44" w16cid:durableId="1161433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/2026"/>
    <w:docVar w:name="dvlangue" w:val="CS"/>
    <w:docVar w:name="dvnumam" w:val="0"/>
    <w:docVar w:name="dvpe" w:val="783.244"/>
    <w:docVar w:name="dvtitre" w:val="Usnesení Evropského parlamentu ze dne 30. dubna 2026 o zhoršující se situaci v oblasti obchodování s lidmi a vykořisťování ze strany zločineckých skupin na Haiti(2026/2702(RSP))"/>
  </w:docVars>
  <w:rsids>
    <w:rsidRoot w:val="006130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1760"/>
    <w:rsid w:val="001F32AE"/>
    <w:rsid w:val="00235C9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05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34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2C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D9B"/>
    <w:rsid w:val="00CC2357"/>
    <w:rsid w:val="00CF071A"/>
    <w:rsid w:val="00D058B8"/>
    <w:rsid w:val="00D56C11"/>
    <w:rsid w:val="00D834A0"/>
    <w:rsid w:val="00D872DF"/>
    <w:rsid w:val="00D91E21"/>
    <w:rsid w:val="00DA7FCD"/>
    <w:rsid w:val="00DD477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E6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8E44CF"/>
  <w15:chartTrackingRefBased/>
  <w15:docId w15:val="{F3E70749-D1DD-4245-8BE6-7DD063D7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202C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202C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202C0"/>
    <w:rPr>
      <w:sz w:val="24"/>
      <w:lang w:val="cs-CZ"/>
    </w:rPr>
  </w:style>
  <w:style w:type="character" w:customStyle="1" w:styleId="EPCommaChar">
    <w:name w:val="EPComma Char"/>
    <w:basedOn w:val="DefaultParagraphFont"/>
    <w:link w:val="EPComma"/>
    <w:rsid w:val="009202C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2026-04-30T11:05:00Z</dcterms:created>
  <dcterms:modified xsi:type="dcterms:W3CDTF">2026-04-30T11:05:00Z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B10-0209/2026</vt:lpwstr>
  </property>
  <property fmtid="{D5CDD505-2E9C-101B-9397-08002B2CF9AE}" pid="4" name="&lt;Type&gt;">
    <vt:lpwstr>RR</vt:lpwstr>
  </property>
</Properties>
</file>