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C48FE" w14:paraId="0C63FEF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C7B1B82" w14:textId="58B0EB40" w:rsidR="00751A4A" w:rsidRPr="004C48FE" w:rsidRDefault="008568CE" w:rsidP="0010095E">
            <w:pPr>
              <w:pStyle w:val="EPName"/>
            </w:pPr>
            <w:r w:rsidRPr="004C48FE">
              <w:t>Európsky parlament</w:t>
            </w:r>
          </w:p>
          <w:p w14:paraId="29DB38D3" w14:textId="77777777" w:rsidR="00751A4A" w:rsidRPr="004C48F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C48FE">
              <w:t>2024</w:t>
            </w:r>
            <w:r w:rsidR="00817416" w:rsidRPr="004C48FE">
              <w:t>-202</w:t>
            </w:r>
            <w:r w:rsidRPr="004C48FE">
              <w:t>9</w:t>
            </w:r>
          </w:p>
        </w:tc>
        <w:tc>
          <w:tcPr>
            <w:tcW w:w="2268" w:type="dxa"/>
            <w:shd w:val="clear" w:color="auto" w:fill="auto"/>
          </w:tcPr>
          <w:p w14:paraId="5A1FAE06" w14:textId="77777777" w:rsidR="00751A4A" w:rsidRPr="004C48FE" w:rsidRDefault="00187494" w:rsidP="0010095E">
            <w:pPr>
              <w:pStyle w:val="EPLogo"/>
            </w:pPr>
            <w:r w:rsidRPr="004C48FE">
              <w:rPr>
                <w:noProof/>
                <w:lang w:eastAsia="ja-JP"/>
              </w:rPr>
              <w:drawing>
                <wp:inline distT="0" distB="0" distL="0" distR="0" wp14:anchorId="0CB7EE76" wp14:editId="0743D17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380018" w14:textId="77777777" w:rsidR="00D058B8" w:rsidRPr="004C48FE" w:rsidRDefault="00D058B8" w:rsidP="004C5D52">
      <w:pPr>
        <w:pStyle w:val="LineTop"/>
      </w:pPr>
    </w:p>
    <w:p w14:paraId="4668A0CA" w14:textId="5C67B3E6" w:rsidR="00680577" w:rsidRPr="004C48FE" w:rsidRDefault="008568CE" w:rsidP="00680577">
      <w:pPr>
        <w:pStyle w:val="EPBodyTA1"/>
      </w:pPr>
      <w:r w:rsidRPr="004C48FE">
        <w:t>PRIJATÉ TEXTY</w:t>
      </w:r>
    </w:p>
    <w:p w14:paraId="36ED39D4" w14:textId="77777777" w:rsidR="00D058B8" w:rsidRPr="004C48FE" w:rsidRDefault="00D058B8" w:rsidP="00D058B8">
      <w:pPr>
        <w:pStyle w:val="LineBottom"/>
      </w:pPr>
    </w:p>
    <w:p w14:paraId="648549D8" w14:textId="02AE054E" w:rsidR="008568CE" w:rsidRPr="004C48FE" w:rsidRDefault="008568CE" w:rsidP="008568CE">
      <w:pPr>
        <w:pStyle w:val="ATHeading1"/>
      </w:pPr>
      <w:bookmarkStart w:id="0" w:name="TANumber"/>
      <w:r w:rsidRPr="004C48FE">
        <w:t>P10_TA(2026)0</w:t>
      </w:r>
      <w:r w:rsidR="004C48FE" w:rsidRPr="004C48FE">
        <w:t>151</w:t>
      </w:r>
      <w:bookmarkEnd w:id="0"/>
    </w:p>
    <w:p w14:paraId="45C90537" w14:textId="77777777" w:rsidR="008568CE" w:rsidRPr="004C48FE" w:rsidRDefault="008568CE" w:rsidP="008568CE">
      <w:pPr>
        <w:pStyle w:val="ATHeading2"/>
      </w:pPr>
      <w:bookmarkStart w:id="1" w:name="title"/>
      <w:r w:rsidRPr="004C48FE">
        <w:t>Stupňujúce sa obchodovanie s ľuďmi a vykorisťovanie zločineckými skupinami na Haiti</w:t>
      </w:r>
      <w:bookmarkEnd w:id="1"/>
    </w:p>
    <w:p w14:paraId="2B98E3CD" w14:textId="77777777" w:rsidR="008568CE" w:rsidRPr="004C48FE" w:rsidRDefault="008568CE" w:rsidP="008568CE">
      <w:pPr>
        <w:rPr>
          <w:i/>
          <w:vanish/>
        </w:rPr>
      </w:pPr>
      <w:r w:rsidRPr="004C48FE">
        <w:rPr>
          <w:i/>
        </w:rPr>
        <w:fldChar w:fldCharType="begin"/>
      </w:r>
      <w:r w:rsidRPr="004C48FE">
        <w:rPr>
          <w:i/>
        </w:rPr>
        <w:instrText xml:space="preserve"> TC"(</w:instrText>
      </w:r>
      <w:bookmarkStart w:id="2" w:name="DocNumber"/>
      <w:r w:rsidRPr="004C48FE">
        <w:rPr>
          <w:i/>
        </w:rPr>
        <w:instrText>B10-0209, 0220, 0225, 0228 a 0230/2026</w:instrText>
      </w:r>
      <w:bookmarkEnd w:id="2"/>
      <w:r w:rsidRPr="004C48FE">
        <w:rPr>
          <w:i/>
        </w:rPr>
        <w:instrText xml:space="preserve">)"\l3 \n&gt; \* MERGEFORMAT </w:instrText>
      </w:r>
      <w:r w:rsidRPr="004C48FE">
        <w:rPr>
          <w:i/>
        </w:rPr>
        <w:fldChar w:fldCharType="end"/>
      </w:r>
    </w:p>
    <w:p w14:paraId="66E2CD58" w14:textId="77777777" w:rsidR="008568CE" w:rsidRPr="004C48FE" w:rsidRDefault="008568CE" w:rsidP="008568CE">
      <w:pPr>
        <w:rPr>
          <w:vanish/>
        </w:rPr>
      </w:pPr>
      <w:bookmarkStart w:id="3" w:name="PE"/>
      <w:r w:rsidRPr="004C48FE">
        <w:rPr>
          <w:vanish/>
        </w:rPr>
        <w:t>PE783.244</w:t>
      </w:r>
      <w:bookmarkEnd w:id="3"/>
    </w:p>
    <w:p w14:paraId="3DD4CE03" w14:textId="77777777" w:rsidR="008568CE" w:rsidRPr="004C48FE" w:rsidRDefault="008568CE" w:rsidP="008568CE">
      <w:pPr>
        <w:pStyle w:val="ATHeading3"/>
      </w:pPr>
      <w:bookmarkStart w:id="4" w:name="Sujet"/>
      <w:r w:rsidRPr="004C48FE">
        <w:t xml:space="preserve">Uznesenie Európskeho parlamentu z 30. apríla 2026 o stupňujúcom sa obchodovaní s ľuďmi a vykorisťovaní zločineckými skupinami na Haiti </w:t>
      </w:r>
      <w:bookmarkStart w:id="5" w:name="References"/>
      <w:r w:rsidRPr="004C48FE">
        <w:t>(2026/2702(RSP))</w:t>
      </w:r>
      <w:bookmarkEnd w:id="5"/>
    </w:p>
    <w:p w14:paraId="3D3C3EA4" w14:textId="77777777" w:rsidR="00E02F9D" w:rsidRPr="004C48FE" w:rsidRDefault="00E02F9D" w:rsidP="00E02F9D">
      <w:pPr>
        <w:pStyle w:val="EPComma"/>
      </w:pPr>
      <w:bookmarkStart w:id="6" w:name="TextBodyBegin"/>
      <w:bookmarkEnd w:id="4"/>
      <w:bookmarkEnd w:id="6"/>
      <w:r w:rsidRPr="004C48FE">
        <w:rPr>
          <w:i/>
          <w:iCs/>
        </w:rPr>
        <w:t>Európsky parlament</w:t>
      </w:r>
      <w:r w:rsidRPr="004C48FE">
        <w:t>,</w:t>
      </w:r>
    </w:p>
    <w:p w14:paraId="4B3BF657" w14:textId="77777777" w:rsidR="00E02F9D" w:rsidRPr="004C48FE" w:rsidRDefault="00E02F9D" w:rsidP="00E02F9D">
      <w:pPr>
        <w:pStyle w:val="NormalHanging12a"/>
      </w:pPr>
      <w:r w:rsidRPr="004C48FE">
        <w:t>–</w:t>
      </w:r>
      <w:r w:rsidRPr="004C48FE">
        <w:tab/>
        <w:t>so zreteľom na článok 150 ods. 5 a článok 136 ods. 4 rokovacieho poriadku,</w:t>
      </w:r>
    </w:p>
    <w:p w14:paraId="56663C80" w14:textId="77777777" w:rsidR="00E02F9D" w:rsidRPr="004C48FE" w:rsidRDefault="00E02F9D" w:rsidP="00E02F9D">
      <w:pPr>
        <w:pStyle w:val="NormalHanging12a"/>
      </w:pPr>
      <w:r w:rsidRPr="004C48FE">
        <w:t>A.</w:t>
      </w:r>
      <w:r w:rsidRPr="004C48FE">
        <w:tab/>
        <w:t>keďže Haiti čelí kolapsu štátnej moci, pričom gangy kontrolujú veľké časti územia; keďže gangy sa dopúšťajú vydierania, únosov a zabíjania a majú na svedomí hlad, vysídľovanie a rozsiahle násilie; keďže v období od marca 2025 do januára 2026 bolo zabitých najmenej 5 519 ľudí a najmenej 1 571 žien a dievčat sa stalo obeťami sexuálneho násilia;</w:t>
      </w:r>
    </w:p>
    <w:p w14:paraId="2B2BCC9F" w14:textId="77777777" w:rsidR="00E02F9D" w:rsidRPr="004C48FE" w:rsidRDefault="00E02F9D" w:rsidP="00E02F9D">
      <w:pPr>
        <w:pStyle w:val="NormalHanging12a"/>
      </w:pPr>
      <w:r w:rsidRPr="004C48FE">
        <w:t>B.</w:t>
      </w:r>
      <w:r w:rsidRPr="004C48FE">
        <w:tab/>
        <w:t>keďže väčšina gangov je zapletená do obchodovania s deťmi; keďže nábor detí sa v roku 2025 údajne strojnásobil; keďže deti údajne tvoria až 50 % členov gangov; keďže pre zatváranie škôl nemá 1,5 milióna detí prístup k vzdelaniu;</w:t>
      </w:r>
    </w:p>
    <w:p w14:paraId="4A55CC99" w14:textId="77777777" w:rsidR="00E02F9D" w:rsidRPr="004C48FE" w:rsidRDefault="00E02F9D" w:rsidP="00E02F9D">
      <w:pPr>
        <w:pStyle w:val="NormalHanging12a"/>
      </w:pPr>
      <w:r w:rsidRPr="004C48FE">
        <w:t>C.</w:t>
      </w:r>
      <w:r w:rsidRPr="004C48FE">
        <w:tab/>
        <w:t>keďže gangy používajú sexuálne násilie na zastrašovanie a kontrolu, v dôsledku čoho neúmerne trpia ženy a dievčatá;</w:t>
      </w:r>
    </w:p>
    <w:p w14:paraId="5896E571" w14:textId="77777777" w:rsidR="00E02F9D" w:rsidRPr="004C48FE" w:rsidRDefault="00E02F9D" w:rsidP="00E02F9D">
      <w:pPr>
        <w:pStyle w:val="NormalHanging12a"/>
      </w:pPr>
      <w:r w:rsidRPr="004C48FE">
        <w:t>D.</w:t>
      </w:r>
      <w:r w:rsidRPr="004C48FE">
        <w:tab/>
        <w:t xml:space="preserve">keďže humanitárna situácia dosiahla bezprecedentnú úroveň, pričom 1,45 milióna ľudí bolo vysídlených, viac ako polovica obyvateľstva čelí akútnemu nedostatku potravín a opatrenia na riešenie tejto situácie sú výrazne </w:t>
      </w:r>
      <w:proofErr w:type="spellStart"/>
      <w:r w:rsidRPr="004C48FE">
        <w:t>podfinancované</w:t>
      </w:r>
      <w:proofErr w:type="spellEnd"/>
      <w:r w:rsidRPr="004C48FE">
        <w:t>;</w:t>
      </w:r>
    </w:p>
    <w:p w14:paraId="2FED146A" w14:textId="77777777" w:rsidR="00E02F9D" w:rsidRPr="004C48FE" w:rsidRDefault="00E02F9D" w:rsidP="00E02F9D">
      <w:pPr>
        <w:pStyle w:val="NormalHanging12a"/>
      </w:pPr>
      <w:r w:rsidRPr="004C48FE">
        <w:t>E.</w:t>
      </w:r>
      <w:r w:rsidRPr="004C48FE">
        <w:tab/>
        <w:t>keďže nadnárodná trestná činnosť, nezákonné toky zbraní, obchodovanie s drogami a pranie špinavých peňazí podnecujú na Haiti násilie gangov, obchodovanie s ľuďmi a vykorisťovanie;</w:t>
      </w:r>
    </w:p>
    <w:p w14:paraId="353503B8" w14:textId="77777777" w:rsidR="00E02F9D" w:rsidRPr="004C48FE" w:rsidRDefault="00E02F9D" w:rsidP="00E02F9D">
      <w:pPr>
        <w:pStyle w:val="NormalHanging12a"/>
      </w:pPr>
      <w:r w:rsidRPr="004C48FE">
        <w:t>F.</w:t>
      </w:r>
      <w:r w:rsidRPr="004C48FE">
        <w:tab/>
        <w:t>keďže 30. septembra 2025 Bezpečnostná rada OSN pretransformovala mnohonárodnú misiu na podporu bezpečnosti na sily na potláčanie gangov (GSF), ktoré sú stále finančne aj personálne poddimenzované;</w:t>
      </w:r>
    </w:p>
    <w:p w14:paraId="4DDC822F" w14:textId="77777777" w:rsidR="00E02F9D" w:rsidRPr="004C48FE" w:rsidRDefault="00E02F9D" w:rsidP="00E02F9D">
      <w:pPr>
        <w:pStyle w:val="NormalHanging12a"/>
      </w:pPr>
      <w:r w:rsidRPr="004C48FE">
        <w:t>1.</w:t>
      </w:r>
      <w:r w:rsidRPr="004C48FE">
        <w:tab/>
        <w:t xml:space="preserve">dôrazne odsudzuje stupňujúce sa násilie páchané zločineckými skupinami, obchodovanie s deťmi, ich nábor a vykorisťovanie vrátane sexuálneho vykorisťovania a </w:t>
      </w:r>
      <w:r w:rsidRPr="004C48FE">
        <w:lastRenderedPageBreak/>
        <w:t>nútené vysídľovanie civilistov;</w:t>
      </w:r>
    </w:p>
    <w:p w14:paraId="1F7B24D6" w14:textId="77777777" w:rsidR="00E02F9D" w:rsidRPr="004C48FE" w:rsidRDefault="00E02F9D" w:rsidP="00E02F9D">
      <w:pPr>
        <w:pStyle w:val="NormalHanging12a"/>
      </w:pPr>
      <w:r w:rsidRPr="004C48FE">
        <w:t>2.</w:t>
      </w:r>
      <w:r w:rsidRPr="004C48FE">
        <w:tab/>
        <w:t>požaduje politiku odzbrojenia gangov, ich rozloženia a reintegrácie ich členov, a to aj detí; zdôrazňuje, že deti nesmú byť kriminalizované za činy spáchané v priamom dôsledku svojho vykorisťovania, ale musia byť uznané za obete a ako takým sa im musí pomôcť; požaduje prístup k zdravotnej starostlivosti a právnej ochrane pre osoby, ktoré prežili sexuálne násilie a vykorisťovanie;</w:t>
      </w:r>
    </w:p>
    <w:p w14:paraId="5240DE76" w14:textId="77777777" w:rsidR="00E02F9D" w:rsidRPr="004C48FE" w:rsidRDefault="00E02F9D" w:rsidP="00E02F9D">
      <w:pPr>
        <w:pStyle w:val="NormalHanging12a"/>
      </w:pPr>
      <w:r w:rsidRPr="004C48FE">
        <w:t>3.</w:t>
      </w:r>
      <w:r w:rsidRPr="004C48FE">
        <w:tab/>
        <w:t xml:space="preserve">vyzýva haitské orgány, aby predchádzali obchodovaniu s deťmi posilnením sociálnej ochrany, zaistením bezpečného vzdelávania, rozšírením psychosociálnej starostlivosti a vypracovaním </w:t>
      </w:r>
      <w:proofErr w:type="spellStart"/>
      <w:r w:rsidRPr="004C48FE">
        <w:t>reintegračných</w:t>
      </w:r>
      <w:proofErr w:type="spellEnd"/>
      <w:r w:rsidRPr="004C48FE">
        <w:t xml:space="preserve"> programov a zabezpečili tak cestu von z kruhu násilia na základe práv;</w:t>
      </w:r>
    </w:p>
    <w:p w14:paraId="1DA341F7" w14:textId="77777777" w:rsidR="00E02F9D" w:rsidRPr="004C48FE" w:rsidRDefault="00E02F9D" w:rsidP="00E02F9D">
      <w:pPr>
        <w:pStyle w:val="NormalHanging12a"/>
      </w:pPr>
      <w:r w:rsidRPr="004C48FE">
        <w:t>4.</w:t>
      </w:r>
      <w:r w:rsidRPr="004C48FE">
        <w:tab/>
        <w:t>vyzýva haitské orgány, aby si ako prioritu stanovili spravodlivosť, zabezpečili nápravu, bojovali proti beztrestnosti, vyšetrili všetky trestné činy spáchané zločineckými skupinami v rámci spravodlivých a dôveryhodných konaní a zodpovedajúcim spôsobom zabezpečili fungovanie špecializovaných súdnych kapacít; požaduje nezávislé vyšetrovanie údajných mimosúdnych popráv;</w:t>
      </w:r>
    </w:p>
    <w:p w14:paraId="1B266631" w14:textId="77777777" w:rsidR="00E02F9D" w:rsidRPr="004C48FE" w:rsidRDefault="00E02F9D" w:rsidP="00E02F9D">
      <w:pPr>
        <w:pStyle w:val="NormalHanging12a"/>
      </w:pPr>
      <w:r w:rsidRPr="004C48FE">
        <w:t>5.</w:t>
      </w:r>
      <w:r w:rsidRPr="004C48FE">
        <w:tab/>
        <w:t>vyzýva EÚ, jej členské štáty a medzinárodných partnerov, aby zintenzívnili podporu ochrany, rehabilitácie a reintegrácie detí, služieb pre obete, súdnych a prokurátorských kapacít a haitskej občianskej spoločnosti;</w:t>
      </w:r>
    </w:p>
    <w:p w14:paraId="2B2B27E4" w14:textId="77777777" w:rsidR="00E02F9D" w:rsidRPr="004C48FE" w:rsidRDefault="00E02F9D" w:rsidP="00E02F9D">
      <w:pPr>
        <w:pStyle w:val="NormalHanging12a"/>
      </w:pPr>
      <w:r w:rsidRPr="004C48FE">
        <w:t>6.</w:t>
      </w:r>
      <w:r w:rsidRPr="004C48FE">
        <w:tab/>
        <w:t>berie na vedomie zníženie finančných prostriedkov USAID a OSN; žiada EÚ a jej členské štáty, aby zvýšili humanitárnu podporu vrátane ochrany a zdravotnej starostlivosti pre obete obchodovania s ľuďmi a sexuálneho vykorisťovania; naliehavo vyzýva hostiteľské krajiny, aby zastavili deportácie na Haiti;</w:t>
      </w:r>
    </w:p>
    <w:p w14:paraId="31A6113F" w14:textId="77777777" w:rsidR="00E02F9D" w:rsidRPr="004C48FE" w:rsidRDefault="00E02F9D" w:rsidP="00E02F9D">
      <w:pPr>
        <w:pStyle w:val="NormalHanging12a"/>
      </w:pPr>
      <w:r w:rsidRPr="004C48FE">
        <w:t>7.</w:t>
      </w:r>
      <w:r w:rsidRPr="004C48FE">
        <w:tab/>
        <w:t>vyzýva EÚ a jej členské štáty, aby poskytovali trvalú podporu GSF a zabezpečili pevné záruky v oblasti ľudských práv a vyvodzovania zodpovednosti;</w:t>
      </w:r>
    </w:p>
    <w:p w14:paraId="4AF0794D" w14:textId="77777777" w:rsidR="00E02F9D" w:rsidRPr="004C48FE" w:rsidRDefault="00E02F9D" w:rsidP="00E02F9D">
      <w:pPr>
        <w:pStyle w:val="NormalHanging12a"/>
      </w:pPr>
      <w:r w:rsidRPr="004C48FE">
        <w:t>8.</w:t>
      </w:r>
      <w:r w:rsidRPr="004C48FE">
        <w:tab/>
        <w:t>požaduje úplné vykonávanie zbrojného embarga OSN; naliehavo vyzýva EÚ a jej členské štáty, aby zintenzívnili úsilie o obmedzenie tokov nezákonných zbraní a financií na Haiti, a to aj prostredníctvom justičnej spolupráce a monitorovania hraníc, a aby naďalej ukladali cielené sankcie;</w:t>
      </w:r>
    </w:p>
    <w:p w14:paraId="066A4988" w14:textId="6740D50A" w:rsidR="003121AD" w:rsidRPr="004C48FE" w:rsidRDefault="00E02F9D" w:rsidP="003121AD">
      <w:pPr>
        <w:pStyle w:val="NormalHanging12a"/>
        <w:rPr>
          <w:lang w:eastAsia="fr-FR"/>
        </w:rPr>
      </w:pPr>
      <w:r w:rsidRPr="004C48FE">
        <w:t>9.</w:t>
      </w:r>
      <w:r w:rsidRPr="004C48FE">
        <w:tab/>
        <w:t>poveruje svoju predsedníčku, aby postúpila toto uznesenie Rade, Komisii, PK/VP, generálnemu tajomníkovi OSN, inštitúciám CARIFORUM-u a haitským orgánom.</w:t>
      </w:r>
    </w:p>
    <w:p w14:paraId="027DA801" w14:textId="3D93D4DB" w:rsidR="00E365E1" w:rsidRPr="004C48FE" w:rsidRDefault="00E365E1" w:rsidP="00E02F9D">
      <w:pPr>
        <w:rPr>
          <w:lang w:eastAsia="fr-FR"/>
        </w:rPr>
      </w:pPr>
    </w:p>
    <w:sectPr w:rsidR="00E365E1" w:rsidRPr="004C48FE" w:rsidSect="003121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D9AC7" w14:textId="77777777" w:rsidR="008568CE" w:rsidRPr="003121AD" w:rsidRDefault="008568CE">
      <w:r w:rsidRPr="003121AD">
        <w:separator/>
      </w:r>
    </w:p>
  </w:endnote>
  <w:endnote w:type="continuationSeparator" w:id="0">
    <w:p w14:paraId="38025226" w14:textId="77777777" w:rsidR="008568CE" w:rsidRPr="003121AD" w:rsidRDefault="008568CE">
      <w:r w:rsidRPr="003121A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1AD6E" w14:textId="77777777" w:rsidR="00064002" w:rsidRPr="003121A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63D3F" w14:textId="77777777" w:rsidR="00064002" w:rsidRPr="003121A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9572C" w14:textId="77777777" w:rsidR="00064002" w:rsidRPr="003121A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C5407" w14:textId="77777777" w:rsidR="008568CE" w:rsidRPr="003121AD" w:rsidRDefault="008568CE">
      <w:r w:rsidRPr="003121AD">
        <w:separator/>
      </w:r>
    </w:p>
  </w:footnote>
  <w:footnote w:type="continuationSeparator" w:id="0">
    <w:p w14:paraId="6FF5F097" w14:textId="77777777" w:rsidR="008568CE" w:rsidRPr="003121AD" w:rsidRDefault="008568CE">
      <w:r w:rsidRPr="003121A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0411B" w14:textId="77777777" w:rsidR="00064002" w:rsidRPr="003121A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CB1DF" w14:textId="77777777" w:rsidR="00064002" w:rsidRPr="003121A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E0857" w14:textId="77777777" w:rsidR="00064002" w:rsidRPr="003121A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43133674">
    <w:abstractNumId w:val="9"/>
  </w:num>
  <w:num w:numId="2" w16cid:durableId="1724283765">
    <w:abstractNumId w:val="9"/>
  </w:num>
  <w:num w:numId="3" w16cid:durableId="314115591">
    <w:abstractNumId w:val="7"/>
  </w:num>
  <w:num w:numId="4" w16cid:durableId="932206867">
    <w:abstractNumId w:val="7"/>
  </w:num>
  <w:num w:numId="5" w16cid:durableId="71202781">
    <w:abstractNumId w:val="6"/>
  </w:num>
  <w:num w:numId="6" w16cid:durableId="896936411">
    <w:abstractNumId w:val="6"/>
  </w:num>
  <w:num w:numId="7" w16cid:durableId="187837736">
    <w:abstractNumId w:val="5"/>
  </w:num>
  <w:num w:numId="8" w16cid:durableId="1230381454">
    <w:abstractNumId w:val="5"/>
  </w:num>
  <w:num w:numId="9" w16cid:durableId="458570702">
    <w:abstractNumId w:val="4"/>
  </w:num>
  <w:num w:numId="10" w16cid:durableId="1296106553">
    <w:abstractNumId w:val="4"/>
  </w:num>
  <w:num w:numId="11" w16cid:durableId="2137677633">
    <w:abstractNumId w:val="8"/>
  </w:num>
  <w:num w:numId="12" w16cid:durableId="661736303">
    <w:abstractNumId w:val="8"/>
  </w:num>
  <w:num w:numId="13" w16cid:durableId="1033075606">
    <w:abstractNumId w:val="3"/>
  </w:num>
  <w:num w:numId="14" w16cid:durableId="248972674">
    <w:abstractNumId w:val="3"/>
  </w:num>
  <w:num w:numId="15" w16cid:durableId="2015375925">
    <w:abstractNumId w:val="2"/>
  </w:num>
  <w:num w:numId="16" w16cid:durableId="442112876">
    <w:abstractNumId w:val="2"/>
  </w:num>
  <w:num w:numId="17" w16cid:durableId="1414358455">
    <w:abstractNumId w:val="1"/>
  </w:num>
  <w:num w:numId="18" w16cid:durableId="1132751743">
    <w:abstractNumId w:val="1"/>
  </w:num>
  <w:num w:numId="19" w16cid:durableId="1855917771">
    <w:abstractNumId w:val="0"/>
  </w:num>
  <w:num w:numId="20" w16cid:durableId="1130630208">
    <w:abstractNumId w:val="0"/>
  </w:num>
  <w:num w:numId="21" w16cid:durableId="89594143">
    <w:abstractNumId w:val="9"/>
  </w:num>
  <w:num w:numId="22" w16cid:durableId="1694922112">
    <w:abstractNumId w:val="7"/>
  </w:num>
  <w:num w:numId="23" w16cid:durableId="1886133852">
    <w:abstractNumId w:val="6"/>
  </w:num>
  <w:num w:numId="24" w16cid:durableId="1867209652">
    <w:abstractNumId w:val="5"/>
  </w:num>
  <w:num w:numId="25" w16cid:durableId="1311907537">
    <w:abstractNumId w:val="4"/>
  </w:num>
  <w:num w:numId="26" w16cid:durableId="35008168">
    <w:abstractNumId w:val="8"/>
  </w:num>
  <w:num w:numId="27" w16cid:durableId="201480555">
    <w:abstractNumId w:val="3"/>
  </w:num>
  <w:num w:numId="28" w16cid:durableId="1916236994">
    <w:abstractNumId w:val="2"/>
  </w:num>
  <w:num w:numId="29" w16cid:durableId="831414540">
    <w:abstractNumId w:val="1"/>
  </w:num>
  <w:num w:numId="30" w16cid:durableId="2032686768">
    <w:abstractNumId w:val="0"/>
  </w:num>
  <w:num w:numId="31" w16cid:durableId="2028166887">
    <w:abstractNumId w:val="9"/>
  </w:num>
  <w:num w:numId="32" w16cid:durableId="30613747">
    <w:abstractNumId w:val="7"/>
  </w:num>
  <w:num w:numId="33" w16cid:durableId="1331911308">
    <w:abstractNumId w:val="6"/>
  </w:num>
  <w:num w:numId="34" w16cid:durableId="243535929">
    <w:abstractNumId w:val="5"/>
  </w:num>
  <w:num w:numId="35" w16cid:durableId="113836686">
    <w:abstractNumId w:val="4"/>
  </w:num>
  <w:num w:numId="36" w16cid:durableId="1036588754">
    <w:abstractNumId w:val="8"/>
  </w:num>
  <w:num w:numId="37" w16cid:durableId="663894894">
    <w:abstractNumId w:val="3"/>
  </w:num>
  <w:num w:numId="38" w16cid:durableId="899636664">
    <w:abstractNumId w:val="2"/>
  </w:num>
  <w:num w:numId="39" w16cid:durableId="1100293322">
    <w:abstractNumId w:val="1"/>
  </w:num>
  <w:num w:numId="40" w16cid:durableId="514804841">
    <w:abstractNumId w:val="0"/>
  </w:num>
  <w:num w:numId="41" w16cid:durableId="687027404">
    <w:abstractNumId w:val="10"/>
  </w:num>
  <w:num w:numId="42" w16cid:durableId="1869175520">
    <w:abstractNumId w:val="10"/>
  </w:num>
  <w:num w:numId="43" w16cid:durableId="977107916">
    <w:abstractNumId w:val="10"/>
  </w:num>
  <w:num w:numId="44" w16cid:durableId="6095084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09, 0220, 0225, 0228 a 0230/2026"/>
    <w:docVar w:name="dvlangue" w:val="SK"/>
    <w:docVar w:name="dvnumam" w:val="0"/>
    <w:docVar w:name="dvpe" w:val="783.244"/>
    <w:docVar w:name="dvtitre" w:val="Uznesenie Európskeho parlamentu z 30. apríla 2026 o stupňujúcom sa obchodovaní s ľuďmi a vykorisťovaní zločineckými skupinami na Haiti_x000d__x000a_(2026/2702(RSP))"/>
  </w:docVars>
  <w:rsids>
    <w:rsidRoot w:val="008568C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21A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48FE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68CE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27B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2F9D"/>
    <w:rsid w:val="00E17D0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26E9"/>
    <w:rsid w:val="00F5134D"/>
    <w:rsid w:val="00F74202"/>
    <w:rsid w:val="00F87713"/>
    <w:rsid w:val="00FB4360"/>
    <w:rsid w:val="00FD0C70"/>
    <w:rsid w:val="00FD0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934F6D"/>
  <w15:chartTrackingRefBased/>
  <w15:docId w15:val="{46D07215-9934-42EC-8B82-F8B55DBCC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02F9D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E02F9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E02F9D"/>
    <w:rPr>
      <w:sz w:val="24"/>
      <w:lang w:val="sk-SK"/>
    </w:rPr>
  </w:style>
  <w:style w:type="character" w:customStyle="1" w:styleId="EPCommaChar">
    <w:name w:val="EPComma Char"/>
    <w:basedOn w:val="DefaultParagraphFont"/>
    <w:link w:val="EPComma"/>
    <w:rsid w:val="00E02F9D"/>
    <w:rPr>
      <w:sz w:val="24"/>
      <w:lang w:val="sk-SK"/>
    </w:rPr>
  </w:style>
  <w:style w:type="paragraph" w:styleId="Revision">
    <w:name w:val="Revision"/>
    <w:hidden/>
    <w:uiPriority w:val="99"/>
    <w:semiHidden/>
    <w:rsid w:val="00AC27B3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558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2026-04-30T08:47:00Z</dcterms:created>
  <dcterms:modified xsi:type="dcterms:W3CDTF">2026-04-30T08:47:00Z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B10-0209, 0220, 0225, 0228 a 0230/2026</vt:lpwstr>
  </property>
  <property fmtid="{D5CDD505-2E9C-101B-9397-08002B2CF9AE}" pid="4" name="&lt;Type&gt;">
    <vt:lpwstr>RR</vt:lpwstr>
  </property>
</Properties>
</file>