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5B9A" w14:paraId="2797944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49D0B5" w14:textId="77777777" w:rsidR="00751A4A" w:rsidRPr="005D5B9A" w:rsidRDefault="00A53069" w:rsidP="0010095E">
            <w:pPr>
              <w:pStyle w:val="EPName"/>
            </w:pPr>
            <w:r w:rsidRPr="005D5B9A">
              <w:t>Evropský parlament</w:t>
            </w:r>
          </w:p>
          <w:p w14:paraId="29D87032" w14:textId="77777777" w:rsidR="00751A4A" w:rsidRPr="005D5B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5B9A">
              <w:t>2024</w:t>
            </w:r>
            <w:r w:rsidR="00817416" w:rsidRPr="005D5B9A">
              <w:t>-202</w:t>
            </w:r>
            <w:r w:rsidRPr="005D5B9A">
              <w:t>9</w:t>
            </w:r>
          </w:p>
        </w:tc>
        <w:tc>
          <w:tcPr>
            <w:tcW w:w="2268" w:type="dxa"/>
            <w:shd w:val="clear" w:color="auto" w:fill="auto"/>
          </w:tcPr>
          <w:p w14:paraId="6F54E9BB" w14:textId="77777777" w:rsidR="00751A4A" w:rsidRPr="005D5B9A" w:rsidRDefault="00187494" w:rsidP="0010095E">
            <w:pPr>
              <w:pStyle w:val="EPLogo"/>
            </w:pPr>
            <w:r w:rsidRPr="005D5B9A">
              <w:rPr>
                <w:noProof/>
                <w:lang w:eastAsia="ja-JP"/>
              </w:rPr>
              <w:drawing>
                <wp:inline distT="0" distB="0" distL="0" distR="0" wp14:anchorId="55273DD4" wp14:editId="5D7BCA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2076FA" w14:textId="77777777" w:rsidR="00D058B8" w:rsidRPr="005D5B9A" w:rsidRDefault="00D058B8" w:rsidP="004C5D52">
      <w:pPr>
        <w:pStyle w:val="LineTop"/>
      </w:pPr>
    </w:p>
    <w:p w14:paraId="61815971" w14:textId="77777777" w:rsidR="00680577" w:rsidRPr="005D5B9A" w:rsidRDefault="00A53069" w:rsidP="00680577">
      <w:pPr>
        <w:pStyle w:val="EPBodyTA1"/>
      </w:pPr>
      <w:r w:rsidRPr="005D5B9A">
        <w:t>PŘIJATÉ TEXTY</w:t>
      </w:r>
    </w:p>
    <w:p w14:paraId="3A51315F" w14:textId="77777777" w:rsidR="00D058B8" w:rsidRPr="005D5B9A" w:rsidRDefault="00D058B8" w:rsidP="00D058B8">
      <w:pPr>
        <w:pStyle w:val="LineBottom"/>
      </w:pPr>
    </w:p>
    <w:p w14:paraId="57DFE3E0" w14:textId="7B5A23AF" w:rsidR="00A53069" w:rsidRPr="005D5B9A" w:rsidRDefault="00A53069" w:rsidP="00A53069">
      <w:pPr>
        <w:pStyle w:val="ATHeading1"/>
      </w:pPr>
      <w:bookmarkStart w:id="0" w:name="TANumber"/>
      <w:r w:rsidRPr="005D5B9A">
        <w:t>P10_TA(2026)0</w:t>
      </w:r>
      <w:bookmarkEnd w:id="0"/>
      <w:r w:rsidR="004E326F">
        <w:t>152</w:t>
      </w:r>
    </w:p>
    <w:p w14:paraId="4335E476" w14:textId="77777777" w:rsidR="00A53069" w:rsidRPr="005D5B9A" w:rsidRDefault="00A53069" w:rsidP="00A53069">
      <w:pPr>
        <w:pStyle w:val="ATHeading2"/>
      </w:pPr>
      <w:bookmarkStart w:id="1" w:name="title"/>
      <w:r w:rsidRPr="005D5B9A">
        <w:t>Nový čínský zákon o „etnické jednotě a pokroku“ a rostoucí potlačování etnických identit</w:t>
      </w:r>
      <w:bookmarkEnd w:id="1"/>
    </w:p>
    <w:p w14:paraId="058A65C7" w14:textId="77777777" w:rsidR="00A53069" w:rsidRPr="005D5B9A" w:rsidRDefault="00A53069" w:rsidP="00A53069">
      <w:pPr>
        <w:rPr>
          <w:i/>
          <w:vanish/>
        </w:rPr>
      </w:pPr>
      <w:r w:rsidRPr="005D5B9A">
        <w:rPr>
          <w:i/>
        </w:rPr>
        <w:fldChar w:fldCharType="begin"/>
      </w:r>
      <w:r w:rsidRPr="005D5B9A">
        <w:rPr>
          <w:i/>
        </w:rPr>
        <w:instrText xml:space="preserve"> TC"(</w:instrText>
      </w:r>
      <w:bookmarkStart w:id="2" w:name="DocNumber"/>
      <w:r w:rsidRPr="005D5B9A">
        <w:rPr>
          <w:i/>
        </w:rPr>
        <w:instrText>B10-0216, 0223, 0232, 0233 a 0234/2026</w:instrText>
      </w:r>
      <w:bookmarkEnd w:id="2"/>
      <w:r w:rsidRPr="005D5B9A">
        <w:rPr>
          <w:i/>
        </w:rPr>
        <w:instrText xml:space="preserve">)"\l3 \n&gt; \* MERGEFORMAT </w:instrText>
      </w:r>
      <w:r w:rsidRPr="005D5B9A">
        <w:rPr>
          <w:i/>
        </w:rPr>
        <w:fldChar w:fldCharType="end"/>
      </w:r>
    </w:p>
    <w:p w14:paraId="296F2DC7" w14:textId="77777777" w:rsidR="00A53069" w:rsidRPr="005D5B9A" w:rsidRDefault="00A53069" w:rsidP="00A53069">
      <w:pPr>
        <w:rPr>
          <w:vanish/>
        </w:rPr>
      </w:pPr>
      <w:bookmarkStart w:id="3" w:name="PE"/>
      <w:r w:rsidRPr="005D5B9A">
        <w:rPr>
          <w:vanish/>
        </w:rPr>
        <w:t>PE783.251</w:t>
      </w:r>
      <w:bookmarkEnd w:id="3"/>
    </w:p>
    <w:p w14:paraId="7E8F5BAB" w14:textId="72D78D13" w:rsidR="00A53069" w:rsidRPr="005D5B9A" w:rsidRDefault="00A53069" w:rsidP="00596754">
      <w:pPr>
        <w:pStyle w:val="ATHeading3"/>
      </w:pPr>
      <w:bookmarkStart w:id="4" w:name="Sujet"/>
      <w:r w:rsidRPr="005D5B9A">
        <w:t>Usnesení Evropského parlamentu ze dne</w:t>
      </w:r>
      <w:r w:rsidR="00596754">
        <w:t xml:space="preserve"> 30. dubna</w:t>
      </w:r>
      <w:r w:rsidRPr="005D5B9A">
        <w:t xml:space="preserve"> 2026 o novém čínském zákoně o „etnické jednotě a pokroku“ a rostoucím potlačování etnických identit</w:t>
      </w:r>
      <w:bookmarkEnd w:id="4"/>
      <w:r w:rsidRPr="005D5B9A">
        <w:t xml:space="preserve"> </w:t>
      </w:r>
      <w:bookmarkStart w:id="5" w:name="References"/>
      <w:r w:rsidRPr="005D5B9A">
        <w:t>(2026/2703(RSP))</w:t>
      </w:r>
      <w:bookmarkEnd w:id="5"/>
    </w:p>
    <w:p w14:paraId="33D9C41A" w14:textId="77777777" w:rsidR="00121546" w:rsidRPr="005D5B9A" w:rsidRDefault="00121546" w:rsidP="00121546">
      <w:pPr>
        <w:pStyle w:val="EPComma"/>
      </w:pPr>
      <w:bookmarkStart w:id="6" w:name="TextBodyBegin"/>
      <w:bookmarkEnd w:id="6"/>
      <w:r w:rsidRPr="005D5B9A">
        <w:rPr>
          <w:i/>
        </w:rPr>
        <w:t>Evropský parlament</w:t>
      </w:r>
      <w:r w:rsidRPr="005D5B9A">
        <w:t>,</w:t>
      </w:r>
    </w:p>
    <w:p w14:paraId="4444DDEE" w14:textId="77777777" w:rsidR="00121546" w:rsidRPr="005D5B9A" w:rsidRDefault="00121546" w:rsidP="00121546">
      <w:pPr>
        <w:pStyle w:val="NormalHanging12a"/>
      </w:pPr>
      <w:r w:rsidRPr="005D5B9A">
        <w:t>–</w:t>
      </w:r>
      <w:r w:rsidRPr="005D5B9A">
        <w:tab/>
        <w:t>s ohledem na čl. 150 odst. 5 a čl. 136 odst. 4 jednacího řádu,</w:t>
      </w:r>
    </w:p>
    <w:p w14:paraId="2102CE0D" w14:textId="77777777" w:rsidR="00121546" w:rsidRPr="005D5B9A" w:rsidRDefault="00121546" w:rsidP="00121546">
      <w:pPr>
        <w:pStyle w:val="NormalHanging12a"/>
        <w:rPr>
          <w:bCs/>
        </w:rPr>
      </w:pPr>
      <w:r w:rsidRPr="005D5B9A">
        <w:t>A.</w:t>
      </w:r>
      <w:r w:rsidRPr="005D5B9A">
        <w:tab/>
        <w:t>vzhledem k tomu, že ochrana národnostní nebo etnické, kulturní, náboženské a jazykové identity menšin je zakotvena v mezinárodním obyčejovém právu, jak se odráží v Deklaraci OSN o právech příslušníků národnostních, etnických, náboženských a jazykových menšin; vzhledem k tomu, že všechny státy jsou povinny tyto normy dodržovat;</w:t>
      </w:r>
    </w:p>
    <w:p w14:paraId="03A7935B" w14:textId="77777777" w:rsidR="00121546" w:rsidRPr="005D5B9A" w:rsidRDefault="00121546" w:rsidP="00121546">
      <w:pPr>
        <w:pStyle w:val="NormalHanging12a"/>
      </w:pPr>
      <w:r w:rsidRPr="005D5B9A">
        <w:t>B.</w:t>
      </w:r>
      <w:r w:rsidRPr="005D5B9A">
        <w:tab/>
        <w:t xml:space="preserve">vzhledem k tomu, že dne 12. března 2026 přijalo Všečínský shromáždění lidových zástupců zákon o podpoře etnické jednoty a pokroku, který dále integruje státní ideologii, ve vzdělávání, veřejném životě a sdělovacích prostředcích upřednostňuje čínštinu a zintenzivňuje institucionalizované represe vůči etnickým menšinám, jako jsou Tibeťané, </w:t>
      </w:r>
      <w:proofErr w:type="spellStart"/>
      <w:r w:rsidRPr="005D5B9A">
        <w:t>Chuejové</w:t>
      </w:r>
      <w:proofErr w:type="spellEnd"/>
      <w:r w:rsidRPr="005D5B9A">
        <w:t xml:space="preserve">, </w:t>
      </w:r>
      <w:proofErr w:type="spellStart"/>
      <w:r w:rsidRPr="005D5B9A">
        <w:t>Ujguři</w:t>
      </w:r>
      <w:proofErr w:type="spellEnd"/>
      <w:r w:rsidRPr="005D5B9A">
        <w:t>, Mandžuové a Mongolové, a jejich asimilaci; vzhledem k tomu, že tento zákon se výrazně odklání od čínského zákona o regionální etnické autonomii z roku 1984;</w:t>
      </w:r>
    </w:p>
    <w:p w14:paraId="4ECCBA3D" w14:textId="77777777" w:rsidR="00121546" w:rsidRPr="005D5B9A" w:rsidRDefault="00121546" w:rsidP="00121546">
      <w:pPr>
        <w:pStyle w:val="NormalHanging12a"/>
      </w:pPr>
      <w:r w:rsidRPr="005D5B9A">
        <w:t>C.</w:t>
      </w:r>
      <w:r w:rsidRPr="005D5B9A">
        <w:tab/>
        <w:t>vzhledem k tomu, že zákon o podpoře etnické jednoty a pokroku má exteritoriální dosah, a umožňuje tak stíhat osoby v zahraničí, pokud se má za to, že narušují „etnickou jednotu Číny“;</w:t>
      </w:r>
    </w:p>
    <w:p w14:paraId="1F118822" w14:textId="77777777" w:rsidR="00121546" w:rsidRPr="005D5B9A" w:rsidRDefault="00121546" w:rsidP="00121546">
      <w:pPr>
        <w:pStyle w:val="NormalHanging12a"/>
      </w:pPr>
      <w:r w:rsidRPr="005D5B9A">
        <w:t>D.</w:t>
      </w:r>
      <w:r w:rsidRPr="005D5B9A">
        <w:tab/>
        <w:t>vzhledem k tomu, že zhoršování situace v oblasti lidských práv v Číně zatěžuje čínské vztahy s EU; vzhledem k tomu, že pro vztahy mezi EU a Čínou by mělo hrát dodržování lidských práv, demokratických hodnot a zásad právního státu ústřední roli;</w:t>
      </w:r>
    </w:p>
    <w:p w14:paraId="7EA04F3F" w14:textId="77777777" w:rsidR="00121546" w:rsidRPr="005D5B9A" w:rsidRDefault="00121546" w:rsidP="00121546">
      <w:pPr>
        <w:pStyle w:val="NormalHanging12a"/>
      </w:pPr>
      <w:r w:rsidRPr="005D5B9A">
        <w:t>1.</w:t>
      </w:r>
      <w:r w:rsidRPr="005D5B9A">
        <w:tab/>
        <w:t>důrazně odsuzuje represivní politiku Číny v oblasti asimilace a z ní plynoucí porušování všeobecných lidských práv, mimo jiné v Tibetu, Sin-</w:t>
      </w:r>
      <w:proofErr w:type="spellStart"/>
      <w:r w:rsidRPr="005D5B9A">
        <w:t>ťiangu</w:t>
      </w:r>
      <w:proofErr w:type="spellEnd"/>
      <w:r w:rsidRPr="005D5B9A">
        <w:t xml:space="preserve"> a Vnitřním Mongolsku;</w:t>
      </w:r>
    </w:p>
    <w:p w14:paraId="670D2E5A" w14:textId="77777777" w:rsidR="00121546" w:rsidRPr="005D5B9A" w:rsidRDefault="00121546" w:rsidP="00121546">
      <w:pPr>
        <w:pStyle w:val="NormalHanging12a"/>
      </w:pPr>
      <w:r w:rsidRPr="005D5B9A">
        <w:t>2.</w:t>
      </w:r>
      <w:r w:rsidRPr="005D5B9A">
        <w:tab/>
        <w:t xml:space="preserve">vyjadřuje nad přijatým zákonem o podpoře etnické jednoty a pokroku vážné </w:t>
      </w:r>
      <w:r w:rsidRPr="005D5B9A">
        <w:lastRenderedPageBreak/>
        <w:t>znepokojení, neboť otevřeně podporuje politiku asimilace a omezuje kulturní, náboženskou a jazykovou svobodu různých skupin obyvatel v Číně i mimo ni;</w:t>
      </w:r>
    </w:p>
    <w:p w14:paraId="7FB8264E" w14:textId="77777777" w:rsidR="00121546" w:rsidRPr="005D5B9A" w:rsidRDefault="00121546" w:rsidP="00121546">
      <w:pPr>
        <w:pStyle w:val="NormalHanging12a"/>
      </w:pPr>
      <w:r w:rsidRPr="005D5B9A">
        <w:t>3.</w:t>
      </w:r>
      <w:r w:rsidRPr="005D5B9A">
        <w:tab/>
        <w:t>naléhavě vyzývá Čínu, aby tento zákon zrušila, a dostála tak svým závazkům plynoucím z mezinárodního práva, pokud jde o nediskriminaci a ochranu a podporu etnických a náboženských menšin;</w:t>
      </w:r>
    </w:p>
    <w:p w14:paraId="56A288F4" w14:textId="77777777" w:rsidR="00121546" w:rsidRPr="005D5B9A" w:rsidRDefault="00121546" w:rsidP="00121546">
      <w:pPr>
        <w:pStyle w:val="NormalHanging12a"/>
        <w:rPr>
          <w:bCs/>
        </w:rPr>
      </w:pPr>
      <w:r w:rsidRPr="005D5B9A">
        <w:t>4.</w:t>
      </w:r>
      <w:r w:rsidRPr="005D5B9A">
        <w:tab/>
        <w:t>vyzývá Radu, aby vůči představitelům a subjektům odpovědným za vypracování a provádění tohoto zákona aktivovala globální režim sankcí EU v oblasti lidských práv;</w:t>
      </w:r>
    </w:p>
    <w:p w14:paraId="346CD3FB" w14:textId="77777777" w:rsidR="00121546" w:rsidRPr="005D5B9A" w:rsidRDefault="00121546" w:rsidP="00121546">
      <w:pPr>
        <w:pStyle w:val="NormalHanging12a"/>
      </w:pPr>
      <w:r w:rsidRPr="005D5B9A">
        <w:t>5.</w:t>
      </w:r>
      <w:r w:rsidRPr="005D5B9A">
        <w:tab/>
        <w:t xml:space="preserve">vyjadřuje politování nad </w:t>
      </w:r>
      <w:proofErr w:type="spellStart"/>
      <w:r w:rsidRPr="005D5B9A">
        <w:t>extrateritoriálními</w:t>
      </w:r>
      <w:proofErr w:type="spellEnd"/>
      <w:r w:rsidRPr="005D5B9A">
        <w:t xml:space="preserve"> ustanoveními zákona, která zakládají nadnárodní represi; naléhavě vyzývá všechny členské státy EU, aby v zájmu ochrany pronásledovaných osob pobývajících v EU před riziky nadnárodní represe plynoucí z tohoto zákona pozastavily platnost smluv o vydávání uzavřených s Čínou;</w:t>
      </w:r>
    </w:p>
    <w:p w14:paraId="4E0D07C5" w14:textId="77777777" w:rsidR="00121546" w:rsidRPr="005D5B9A" w:rsidRDefault="00121546" w:rsidP="00121546">
      <w:pPr>
        <w:pStyle w:val="NormalHanging12a"/>
      </w:pPr>
      <w:r w:rsidRPr="005D5B9A">
        <w:t>6.</w:t>
      </w:r>
      <w:r w:rsidRPr="005D5B9A">
        <w:tab/>
        <w:t>důrazně odmítá snahu čínských orgánů zasahovat do uznávání a vzdělávání tibetských buddhistických duchovních vůdců; zdůrazňuje, že nástupnictví dalajlámy je čistě náboženskou záležitostí, která se musí rozhodnout výhradně v souladu s tradicemi tibetského buddhismu;</w:t>
      </w:r>
    </w:p>
    <w:p w14:paraId="64EFE442" w14:textId="77777777" w:rsidR="00121546" w:rsidRPr="005D5B9A" w:rsidRDefault="00121546" w:rsidP="00121546">
      <w:pPr>
        <w:pStyle w:val="NormalHanging12a"/>
      </w:pPr>
      <w:r w:rsidRPr="005D5B9A">
        <w:t>7.</w:t>
      </w:r>
      <w:r w:rsidRPr="005D5B9A">
        <w:tab/>
        <w:t xml:space="preserve">vyzývá k okamžitému propuštění čínských politických vězňů, k nimž patří </w:t>
      </w:r>
      <w:proofErr w:type="spellStart"/>
      <w:r w:rsidRPr="005D5B9A">
        <w:t>Čhogtrul</w:t>
      </w:r>
      <w:proofErr w:type="spellEnd"/>
      <w:r w:rsidRPr="005D5B9A">
        <w:t xml:space="preserve"> </w:t>
      </w:r>
      <w:proofErr w:type="spellStart"/>
      <w:r w:rsidRPr="005D5B9A">
        <w:t>Dordže</w:t>
      </w:r>
      <w:proofErr w:type="spellEnd"/>
      <w:r w:rsidRPr="005D5B9A">
        <w:t xml:space="preserve"> Ten </w:t>
      </w:r>
      <w:proofErr w:type="spellStart"/>
      <w:r w:rsidRPr="005D5B9A">
        <w:t>Rinpočhe</w:t>
      </w:r>
      <w:proofErr w:type="spellEnd"/>
      <w:r w:rsidRPr="005D5B9A">
        <w:t xml:space="preserve">, </w:t>
      </w:r>
      <w:proofErr w:type="spellStart"/>
      <w:r w:rsidRPr="005D5B9A">
        <w:t>Paldän</w:t>
      </w:r>
      <w:proofErr w:type="spellEnd"/>
      <w:r w:rsidRPr="005D5B9A">
        <w:t xml:space="preserve"> </w:t>
      </w:r>
      <w:proofErr w:type="spellStart"/>
      <w:r w:rsidRPr="005D5B9A">
        <w:t>Ješe</w:t>
      </w:r>
      <w:proofErr w:type="spellEnd"/>
      <w:r w:rsidRPr="005D5B9A">
        <w:t xml:space="preserve">, laureát </w:t>
      </w:r>
      <w:proofErr w:type="spellStart"/>
      <w:r w:rsidRPr="005D5B9A">
        <w:t>Sacharovovy</w:t>
      </w:r>
      <w:proofErr w:type="spellEnd"/>
      <w:r w:rsidRPr="005D5B9A">
        <w:t xml:space="preserve"> ceny </w:t>
      </w:r>
      <w:proofErr w:type="spellStart"/>
      <w:r w:rsidRPr="005D5B9A">
        <w:t>Ilham</w:t>
      </w:r>
      <w:proofErr w:type="spellEnd"/>
      <w:r w:rsidRPr="005D5B9A">
        <w:t xml:space="preserve"> </w:t>
      </w:r>
      <w:proofErr w:type="spellStart"/>
      <w:r w:rsidRPr="005D5B9A">
        <w:t>Tohti</w:t>
      </w:r>
      <w:proofErr w:type="spellEnd"/>
      <w:r w:rsidRPr="005D5B9A">
        <w:t xml:space="preserve">, 11. </w:t>
      </w:r>
      <w:proofErr w:type="spellStart"/>
      <w:r w:rsidRPr="005D5B9A">
        <w:t>pančenláma</w:t>
      </w:r>
      <w:proofErr w:type="spellEnd"/>
      <w:r w:rsidRPr="005D5B9A">
        <w:t xml:space="preserve"> </w:t>
      </w:r>
      <w:proofErr w:type="spellStart"/>
      <w:r w:rsidRPr="005D5B9A">
        <w:t>Gendün</w:t>
      </w:r>
      <w:proofErr w:type="spellEnd"/>
      <w:r w:rsidRPr="005D5B9A">
        <w:t xml:space="preserve"> </w:t>
      </w:r>
      <w:proofErr w:type="spellStart"/>
      <w:r w:rsidRPr="005D5B9A">
        <w:t>Čhökji</w:t>
      </w:r>
      <w:proofErr w:type="spellEnd"/>
      <w:r w:rsidRPr="005D5B9A">
        <w:t xml:space="preserve"> </w:t>
      </w:r>
      <w:proofErr w:type="spellStart"/>
      <w:r w:rsidRPr="005D5B9A">
        <w:t>Ňima</w:t>
      </w:r>
      <w:proofErr w:type="spellEnd"/>
      <w:r w:rsidRPr="005D5B9A">
        <w:t xml:space="preserve"> a mongolský aktivista </w:t>
      </w:r>
      <w:proofErr w:type="spellStart"/>
      <w:r w:rsidRPr="005D5B9A">
        <w:t>Chada</w:t>
      </w:r>
      <w:proofErr w:type="spellEnd"/>
      <w:r w:rsidRPr="005D5B9A">
        <w:t>; vyzývá Evropskou službu pro vnější činnost, Komisi a členské státy, aby při jednáních s Čínou na tyto případy nadále upozorňovaly;</w:t>
      </w:r>
    </w:p>
    <w:p w14:paraId="6214B40E" w14:textId="77777777" w:rsidR="00121546" w:rsidRPr="005D5B9A" w:rsidRDefault="00121546" w:rsidP="00121546">
      <w:pPr>
        <w:pStyle w:val="NormalHanging12a"/>
      </w:pPr>
      <w:r w:rsidRPr="005D5B9A">
        <w:t>8.</w:t>
      </w:r>
      <w:r w:rsidRPr="005D5B9A">
        <w:tab/>
        <w:t>vyzývá vysokého komisaře OSN pro lidská práva, aby vydal aktualizovanou zprávu o situaci v Číně, která by se zaměřila konkrétně na tento zákon z roku 2026;</w:t>
      </w:r>
    </w:p>
    <w:p w14:paraId="4F4C757F" w14:textId="77777777" w:rsidR="00121546" w:rsidRPr="005D5B9A" w:rsidRDefault="00121546" w:rsidP="00121546">
      <w:pPr>
        <w:pStyle w:val="NormalHanging12a"/>
      </w:pPr>
      <w:r w:rsidRPr="005D5B9A">
        <w:t>9.</w:t>
      </w:r>
      <w:r w:rsidRPr="005D5B9A">
        <w:tab/>
        <w:t>má za to, že zavedení a vymáhání tohoto zákona bude mít pro vztahy mezi EU a Čínou závažné důsledky;</w:t>
      </w:r>
    </w:p>
    <w:p w14:paraId="43445F01" w14:textId="6FD8FEDB" w:rsidR="005D5B9A" w:rsidRPr="005D5B9A" w:rsidRDefault="00121546" w:rsidP="005D5B9A">
      <w:pPr>
        <w:pStyle w:val="NormalHanging12a"/>
      </w:pPr>
      <w:r w:rsidRPr="005D5B9A">
        <w:t>10.</w:t>
      </w:r>
      <w:r w:rsidRPr="005D5B9A">
        <w:tab/>
        <w:t>pověřuje svou předsedkyni, aby předala toto usnesení členským státům a dalším orgánům EU, čínské vládě, OSN a Ústřední tibetské správě.</w:t>
      </w:r>
    </w:p>
    <w:p w14:paraId="4AE45440" w14:textId="197F29B8" w:rsidR="00E365E1" w:rsidRPr="005D5B9A" w:rsidRDefault="00E365E1" w:rsidP="00A53069"/>
    <w:sectPr w:rsidR="00E365E1" w:rsidRPr="005D5B9A" w:rsidSect="005D5B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4B8F" w14:textId="77777777" w:rsidR="00A53069" w:rsidRPr="005D5B9A" w:rsidRDefault="00A53069">
      <w:r w:rsidRPr="005D5B9A">
        <w:separator/>
      </w:r>
    </w:p>
  </w:endnote>
  <w:endnote w:type="continuationSeparator" w:id="0">
    <w:p w14:paraId="60277641" w14:textId="77777777" w:rsidR="00A53069" w:rsidRPr="005D5B9A" w:rsidRDefault="00A53069">
      <w:r w:rsidRPr="005D5B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18EFB" w14:textId="77777777" w:rsidR="00064002" w:rsidRPr="005D5B9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C88D2" w14:textId="77777777" w:rsidR="00064002" w:rsidRPr="005D5B9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6FE73" w14:textId="77777777" w:rsidR="00064002" w:rsidRPr="005D5B9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025A6" w14:textId="77777777" w:rsidR="00A53069" w:rsidRPr="005D5B9A" w:rsidRDefault="00A53069">
      <w:r w:rsidRPr="005D5B9A">
        <w:separator/>
      </w:r>
    </w:p>
  </w:footnote>
  <w:footnote w:type="continuationSeparator" w:id="0">
    <w:p w14:paraId="70E9BB01" w14:textId="77777777" w:rsidR="00A53069" w:rsidRPr="005D5B9A" w:rsidRDefault="00A53069">
      <w:r w:rsidRPr="005D5B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C0293" w14:textId="77777777" w:rsidR="00064002" w:rsidRPr="005D5B9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6539B" w14:textId="77777777" w:rsidR="00064002" w:rsidRPr="005D5B9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9ADA8" w14:textId="77777777" w:rsidR="00064002" w:rsidRPr="005D5B9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5377190">
    <w:abstractNumId w:val="9"/>
  </w:num>
  <w:num w:numId="2" w16cid:durableId="1342077545">
    <w:abstractNumId w:val="9"/>
  </w:num>
  <w:num w:numId="3" w16cid:durableId="1837185316">
    <w:abstractNumId w:val="7"/>
  </w:num>
  <w:num w:numId="4" w16cid:durableId="32467855">
    <w:abstractNumId w:val="7"/>
  </w:num>
  <w:num w:numId="5" w16cid:durableId="1397511164">
    <w:abstractNumId w:val="6"/>
  </w:num>
  <w:num w:numId="6" w16cid:durableId="198007480">
    <w:abstractNumId w:val="6"/>
  </w:num>
  <w:num w:numId="7" w16cid:durableId="307052523">
    <w:abstractNumId w:val="5"/>
  </w:num>
  <w:num w:numId="8" w16cid:durableId="1043751514">
    <w:abstractNumId w:val="5"/>
  </w:num>
  <w:num w:numId="9" w16cid:durableId="1194000978">
    <w:abstractNumId w:val="4"/>
  </w:num>
  <w:num w:numId="10" w16cid:durableId="1401055238">
    <w:abstractNumId w:val="4"/>
  </w:num>
  <w:num w:numId="11" w16cid:durableId="1451245776">
    <w:abstractNumId w:val="8"/>
  </w:num>
  <w:num w:numId="12" w16cid:durableId="18972268">
    <w:abstractNumId w:val="8"/>
  </w:num>
  <w:num w:numId="13" w16cid:durableId="1133333179">
    <w:abstractNumId w:val="3"/>
  </w:num>
  <w:num w:numId="14" w16cid:durableId="1197160646">
    <w:abstractNumId w:val="3"/>
  </w:num>
  <w:num w:numId="15" w16cid:durableId="9450065">
    <w:abstractNumId w:val="2"/>
  </w:num>
  <w:num w:numId="16" w16cid:durableId="1574122745">
    <w:abstractNumId w:val="2"/>
  </w:num>
  <w:num w:numId="17" w16cid:durableId="1337805436">
    <w:abstractNumId w:val="1"/>
  </w:num>
  <w:num w:numId="18" w16cid:durableId="1795754999">
    <w:abstractNumId w:val="1"/>
  </w:num>
  <w:num w:numId="19" w16cid:durableId="655645636">
    <w:abstractNumId w:val="0"/>
  </w:num>
  <w:num w:numId="20" w16cid:durableId="1269434990">
    <w:abstractNumId w:val="0"/>
  </w:num>
  <w:num w:numId="21" w16cid:durableId="874849573">
    <w:abstractNumId w:val="9"/>
  </w:num>
  <w:num w:numId="22" w16cid:durableId="1316840500">
    <w:abstractNumId w:val="7"/>
  </w:num>
  <w:num w:numId="23" w16cid:durableId="1485733551">
    <w:abstractNumId w:val="6"/>
  </w:num>
  <w:num w:numId="24" w16cid:durableId="1952545974">
    <w:abstractNumId w:val="5"/>
  </w:num>
  <w:num w:numId="25" w16cid:durableId="437021682">
    <w:abstractNumId w:val="4"/>
  </w:num>
  <w:num w:numId="26" w16cid:durableId="1126243480">
    <w:abstractNumId w:val="8"/>
  </w:num>
  <w:num w:numId="27" w16cid:durableId="947155070">
    <w:abstractNumId w:val="3"/>
  </w:num>
  <w:num w:numId="28" w16cid:durableId="1677076396">
    <w:abstractNumId w:val="2"/>
  </w:num>
  <w:num w:numId="29" w16cid:durableId="1176111631">
    <w:abstractNumId w:val="1"/>
  </w:num>
  <w:num w:numId="30" w16cid:durableId="2091543398">
    <w:abstractNumId w:val="0"/>
  </w:num>
  <w:num w:numId="31" w16cid:durableId="585698761">
    <w:abstractNumId w:val="9"/>
  </w:num>
  <w:num w:numId="32" w16cid:durableId="520245065">
    <w:abstractNumId w:val="7"/>
  </w:num>
  <w:num w:numId="33" w16cid:durableId="1829862144">
    <w:abstractNumId w:val="6"/>
  </w:num>
  <w:num w:numId="34" w16cid:durableId="82846750">
    <w:abstractNumId w:val="5"/>
  </w:num>
  <w:num w:numId="35" w16cid:durableId="1602375964">
    <w:abstractNumId w:val="4"/>
  </w:num>
  <w:num w:numId="36" w16cid:durableId="974943693">
    <w:abstractNumId w:val="8"/>
  </w:num>
  <w:num w:numId="37" w16cid:durableId="884875686">
    <w:abstractNumId w:val="3"/>
  </w:num>
  <w:num w:numId="38" w16cid:durableId="154222576">
    <w:abstractNumId w:val="2"/>
  </w:num>
  <w:num w:numId="39" w16cid:durableId="1408572743">
    <w:abstractNumId w:val="1"/>
  </w:num>
  <w:num w:numId="40" w16cid:durableId="1046638210">
    <w:abstractNumId w:val="0"/>
  </w:num>
  <w:num w:numId="41" w16cid:durableId="947271302">
    <w:abstractNumId w:val="10"/>
  </w:num>
  <w:num w:numId="42" w16cid:durableId="591275906">
    <w:abstractNumId w:val="10"/>
  </w:num>
  <w:num w:numId="43" w16cid:durableId="137310292">
    <w:abstractNumId w:val="10"/>
  </w:num>
  <w:num w:numId="44" w16cid:durableId="14633089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, 0223, 0232, 0233 a 0234/2026"/>
    <w:docVar w:name="dvlangue" w:val="CS"/>
    <w:docVar w:name="dvnumam" w:val="0"/>
    <w:docVar w:name="dvpe" w:val="783.251"/>
    <w:docVar w:name="dvtitre" w:val="Usnesení Evropského parlamentu ze dne.... 2026 o novém čínském zákoně o „etnické jednotě a pokroku“ a rostoucím potlačování etnických identit(2026/2703(RSP))"/>
  </w:docVars>
  <w:rsids>
    <w:rsidRoot w:val="00A53069"/>
    <w:rsid w:val="00002272"/>
    <w:rsid w:val="00064002"/>
    <w:rsid w:val="000677B9"/>
    <w:rsid w:val="000831BA"/>
    <w:rsid w:val="000A42CC"/>
    <w:rsid w:val="000E7DD9"/>
    <w:rsid w:val="0010095E"/>
    <w:rsid w:val="00121546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26F"/>
    <w:rsid w:val="0050519A"/>
    <w:rsid w:val="005072A1"/>
    <w:rsid w:val="00514517"/>
    <w:rsid w:val="00545827"/>
    <w:rsid w:val="00560270"/>
    <w:rsid w:val="00596754"/>
    <w:rsid w:val="005C2568"/>
    <w:rsid w:val="005D5B9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943"/>
    <w:rsid w:val="00A43E52"/>
    <w:rsid w:val="00A4678D"/>
    <w:rsid w:val="00A53069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D13B8"/>
  <w15:chartTrackingRefBased/>
  <w15:docId w15:val="{2DB9E41D-0554-49A7-B8DD-DF1B70F67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21546"/>
    <w:pPr>
      <w:spacing w:after="240"/>
      <w:ind w:left="567" w:hanging="567"/>
    </w:pPr>
  </w:style>
  <w:style w:type="paragraph" w:customStyle="1" w:styleId="EPComma">
    <w:name w:val="EPComma"/>
    <w:basedOn w:val="Normal"/>
    <w:rsid w:val="0012154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2154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2026-04-30T10:19:00Z</dcterms:created>
  <dcterms:modified xsi:type="dcterms:W3CDTF">2026-04-30T10:19:00Z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B10-0216, 0223, 0232, 0233 a 0234/2026</vt:lpwstr>
  </property>
  <property fmtid="{D5CDD505-2E9C-101B-9397-08002B2CF9AE}" pid="4" name="&lt;Type&gt;">
    <vt:lpwstr>RR</vt:lpwstr>
  </property>
</Properties>
</file>