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1D9C" w14:paraId="3BB0D0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F8632B" w14:textId="3D52EEA1" w:rsidR="00751A4A" w:rsidRPr="00391D9C" w:rsidRDefault="000356A6" w:rsidP="0010095E">
            <w:pPr>
              <w:pStyle w:val="EPName"/>
            </w:pPr>
            <w:r w:rsidRPr="00391D9C">
              <w:t>Europski parlament</w:t>
            </w:r>
          </w:p>
          <w:p w14:paraId="0D0111E9" w14:textId="77777777" w:rsidR="00751A4A" w:rsidRPr="00391D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1D9C">
              <w:t>2024</w:t>
            </w:r>
            <w:r w:rsidR="00817416" w:rsidRPr="00391D9C">
              <w:t>-202</w:t>
            </w:r>
            <w:r w:rsidRPr="00391D9C">
              <w:t>9</w:t>
            </w:r>
          </w:p>
        </w:tc>
        <w:tc>
          <w:tcPr>
            <w:tcW w:w="2268" w:type="dxa"/>
            <w:shd w:val="clear" w:color="auto" w:fill="auto"/>
          </w:tcPr>
          <w:p w14:paraId="7D18CE57" w14:textId="77777777" w:rsidR="00751A4A" w:rsidRPr="00391D9C" w:rsidRDefault="00187494" w:rsidP="0010095E">
            <w:pPr>
              <w:pStyle w:val="EPLogo"/>
            </w:pPr>
            <w:r w:rsidRPr="00391D9C">
              <w:rPr>
                <w:noProof/>
                <w:lang w:eastAsia="ja-JP"/>
              </w:rPr>
              <w:drawing>
                <wp:inline distT="0" distB="0" distL="0" distR="0" wp14:anchorId="3004CD43" wp14:editId="434345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36B497" w14:textId="77777777" w:rsidR="00D058B8" w:rsidRPr="00391D9C" w:rsidRDefault="00D058B8" w:rsidP="004C5D52">
      <w:pPr>
        <w:pStyle w:val="LineTop"/>
      </w:pPr>
    </w:p>
    <w:p w14:paraId="12BAC3CC" w14:textId="67D5C868" w:rsidR="00680577" w:rsidRPr="00391D9C" w:rsidRDefault="000356A6" w:rsidP="00680577">
      <w:pPr>
        <w:pStyle w:val="EPBodyTA1"/>
      </w:pPr>
      <w:r w:rsidRPr="00391D9C">
        <w:t>USVOJENI TEKSTOVI</w:t>
      </w:r>
    </w:p>
    <w:p w14:paraId="21F632C4" w14:textId="77777777" w:rsidR="00D058B8" w:rsidRPr="00391D9C" w:rsidRDefault="00D058B8" w:rsidP="00D058B8">
      <w:pPr>
        <w:pStyle w:val="LineBottom"/>
      </w:pPr>
    </w:p>
    <w:p w14:paraId="0D5111F4" w14:textId="126EC682" w:rsidR="000356A6" w:rsidRPr="00391D9C" w:rsidRDefault="000356A6" w:rsidP="000356A6">
      <w:pPr>
        <w:pStyle w:val="ATHeading1"/>
      </w:pPr>
      <w:bookmarkStart w:id="0" w:name="TANumber"/>
      <w:r w:rsidRPr="00391D9C">
        <w:t>P10_TA(2026)0</w:t>
      </w:r>
      <w:bookmarkEnd w:id="0"/>
      <w:r w:rsidR="00D3458A">
        <w:t>152</w:t>
      </w:r>
    </w:p>
    <w:p w14:paraId="0D840CAA" w14:textId="77777777" w:rsidR="000356A6" w:rsidRPr="00391D9C" w:rsidRDefault="000356A6" w:rsidP="000356A6">
      <w:pPr>
        <w:pStyle w:val="ATHeading2"/>
      </w:pPr>
      <w:bookmarkStart w:id="1" w:name="title"/>
      <w:r w:rsidRPr="00391D9C">
        <w:t>Novi kineski zakon o „etničkom jedinstvu i napretku” i pojačano suzbijanje etničkih identiteta</w:t>
      </w:r>
      <w:bookmarkEnd w:id="1"/>
    </w:p>
    <w:p w14:paraId="4B00AC00" w14:textId="787C34BC" w:rsidR="000356A6" w:rsidRPr="00391D9C" w:rsidRDefault="000356A6" w:rsidP="000356A6">
      <w:pPr>
        <w:rPr>
          <w:i/>
          <w:vanish/>
        </w:rPr>
      </w:pPr>
      <w:r w:rsidRPr="00391D9C">
        <w:rPr>
          <w:i/>
        </w:rPr>
        <w:fldChar w:fldCharType="begin"/>
      </w:r>
      <w:r w:rsidRPr="00391D9C">
        <w:rPr>
          <w:i/>
        </w:rPr>
        <w:instrText xml:space="preserve"> TC"(</w:instrText>
      </w:r>
      <w:bookmarkStart w:id="2" w:name="DocNumber"/>
      <w:r w:rsidRPr="00391D9C">
        <w:rPr>
          <w:i/>
        </w:rPr>
        <w:instrText>B10-0216</w:instrText>
      </w:r>
      <w:r w:rsidR="00AB1BB8" w:rsidRPr="00D3458A">
        <w:rPr>
          <w:i/>
        </w:rPr>
        <w:instrText>, 0223, 0232, 0233 i 0234</w:instrText>
      </w:r>
      <w:r w:rsidRPr="00391D9C">
        <w:rPr>
          <w:i/>
        </w:rPr>
        <w:instrText>/2026</w:instrText>
      </w:r>
      <w:bookmarkEnd w:id="2"/>
      <w:r w:rsidRPr="00391D9C">
        <w:rPr>
          <w:i/>
        </w:rPr>
        <w:instrText xml:space="preserve">)"\l3 \n&gt; \* MERGEFORMAT </w:instrText>
      </w:r>
      <w:r w:rsidRPr="00391D9C">
        <w:rPr>
          <w:i/>
        </w:rPr>
        <w:fldChar w:fldCharType="end"/>
      </w:r>
    </w:p>
    <w:p w14:paraId="1D0709A8" w14:textId="77777777" w:rsidR="000356A6" w:rsidRPr="00391D9C" w:rsidRDefault="000356A6" w:rsidP="000356A6">
      <w:pPr>
        <w:rPr>
          <w:vanish/>
        </w:rPr>
      </w:pPr>
      <w:bookmarkStart w:id="3" w:name="PE"/>
      <w:r w:rsidRPr="00391D9C">
        <w:rPr>
          <w:vanish/>
        </w:rPr>
        <w:t>PE783.251</w:t>
      </w:r>
      <w:bookmarkEnd w:id="3"/>
    </w:p>
    <w:p w14:paraId="078FF708" w14:textId="372FF7FA" w:rsidR="000356A6" w:rsidRPr="00391D9C" w:rsidRDefault="000356A6" w:rsidP="000356A6">
      <w:pPr>
        <w:pStyle w:val="ATHeading3"/>
      </w:pPr>
      <w:bookmarkStart w:id="4" w:name="Sujet"/>
      <w:r w:rsidRPr="00391D9C">
        <w:t xml:space="preserve">Rezolucija Europskog parlamenta od </w:t>
      </w:r>
      <w:r w:rsidR="00AB1BB8">
        <w:t>30. travnja</w:t>
      </w:r>
      <w:r w:rsidRPr="00391D9C">
        <w:t xml:space="preserve"> 2026. o novom kineskom zakonu o „etničkom jedinstvu i napretku” i pojačanom suzbijanju etničkih identiteta</w:t>
      </w:r>
      <w:bookmarkEnd w:id="4"/>
      <w:r w:rsidRPr="00391D9C">
        <w:t xml:space="preserve"> </w:t>
      </w:r>
      <w:bookmarkStart w:id="5" w:name="References"/>
      <w:r w:rsidRPr="00391D9C">
        <w:t>(2026/2703(RSP))</w:t>
      </w:r>
      <w:bookmarkEnd w:id="5"/>
    </w:p>
    <w:p w14:paraId="57F61C35" w14:textId="77777777" w:rsidR="007A332B" w:rsidRPr="00391D9C" w:rsidRDefault="007A332B" w:rsidP="007A332B">
      <w:pPr>
        <w:pStyle w:val="EPComma"/>
      </w:pPr>
      <w:bookmarkStart w:id="6" w:name="TextBodyBegin"/>
      <w:bookmarkEnd w:id="6"/>
      <w:r w:rsidRPr="00391D9C">
        <w:rPr>
          <w:i/>
        </w:rPr>
        <w:t>Europski parlament</w:t>
      </w:r>
      <w:r w:rsidRPr="00391D9C">
        <w:t>,</w:t>
      </w:r>
    </w:p>
    <w:p w14:paraId="17A502EF" w14:textId="77777777" w:rsidR="007A332B" w:rsidRPr="00391D9C" w:rsidRDefault="007A332B" w:rsidP="007A332B">
      <w:pPr>
        <w:pStyle w:val="NormalHanging12a"/>
      </w:pPr>
      <w:r w:rsidRPr="00391D9C">
        <w:t>–</w:t>
      </w:r>
      <w:r w:rsidRPr="00391D9C">
        <w:tab/>
        <w:t>uzimajući u obzir članak 150. stavak 5. i članak 136. stavak 4. Poslovnika,</w:t>
      </w:r>
    </w:p>
    <w:p w14:paraId="306E50F5" w14:textId="77777777" w:rsidR="007A332B" w:rsidRPr="00391D9C" w:rsidRDefault="007A332B" w:rsidP="007A332B">
      <w:pPr>
        <w:pStyle w:val="NormalHanging12a"/>
        <w:rPr>
          <w:bCs/>
        </w:rPr>
      </w:pPr>
      <w:r w:rsidRPr="00391D9C">
        <w:t>A.</w:t>
      </w:r>
      <w:r w:rsidRPr="00391D9C">
        <w:tab/>
        <w:t>budući da se zaštita nacionalnog ili etničkog, kulturnog, vjerskog i jezičnog identiteta manjina temelji na međunarodnom običajnom pravu, kako je navedeno u Deklaraciji UN-a o pravima osoba koje pripadaju nacionalnim ili etničkim, vjerskim i jezičnim manjinama; budući da se od svih država zahtijeva da poštuju te standarde;</w:t>
      </w:r>
    </w:p>
    <w:p w14:paraId="1324A172" w14:textId="77777777" w:rsidR="007A332B" w:rsidRPr="00391D9C" w:rsidRDefault="007A332B" w:rsidP="007A332B">
      <w:pPr>
        <w:pStyle w:val="NormalHanging12a"/>
      </w:pPr>
      <w:r w:rsidRPr="00391D9C">
        <w:t>B.</w:t>
      </w:r>
      <w:r w:rsidRPr="00391D9C">
        <w:tab/>
        <w:t xml:space="preserve">budući da je kineski Nacionalni narodni kongres 12. ožujka 2026. donio Zakon o promicanju etničkog jedinstva i napretka, kojim se dodatno integrira državna ideologija i daje prednost mandarinskom u obrazovanju, javnom životu i medijima te pojačava institucionalizirana represija i asimilacija identiteta etničkih manjina, među kojima su i Tibetanci, </w:t>
      </w:r>
      <w:proofErr w:type="spellStart"/>
      <w:r w:rsidRPr="00391D9C">
        <w:t>Hui</w:t>
      </w:r>
      <w:proofErr w:type="spellEnd"/>
      <w:r w:rsidRPr="00391D9C">
        <w:t xml:space="preserve">, </w:t>
      </w:r>
      <w:proofErr w:type="spellStart"/>
      <w:r w:rsidRPr="00391D9C">
        <w:t>Ujguri</w:t>
      </w:r>
      <w:proofErr w:type="spellEnd"/>
      <w:r w:rsidRPr="00391D9C">
        <w:t>, Mandžurci i Mongoli; budući da taj zakon znatno odstupa od kineskog Zakona o regionalnoj etničkoj autonomiji iz 1984.;</w:t>
      </w:r>
    </w:p>
    <w:p w14:paraId="7F524F1A" w14:textId="77777777" w:rsidR="007A332B" w:rsidRPr="00391D9C" w:rsidRDefault="007A332B" w:rsidP="007A332B">
      <w:pPr>
        <w:pStyle w:val="NormalHanging12a"/>
      </w:pPr>
      <w:r w:rsidRPr="00391D9C">
        <w:t>C.</w:t>
      </w:r>
      <w:r w:rsidRPr="00391D9C">
        <w:tab/>
        <w:t xml:space="preserve">budući da </w:t>
      </w:r>
      <w:proofErr w:type="spellStart"/>
      <w:r w:rsidRPr="00391D9C">
        <w:t>izvanteritorijalni</w:t>
      </w:r>
      <w:proofErr w:type="spellEnd"/>
      <w:r w:rsidRPr="00391D9C">
        <w:t xml:space="preserve"> doseg tog zakona omogućuje kazneni progon pojedinaca u inozemstvu za koje se smatra da ugrožavaju „etničko jedinstvo” Kine;</w:t>
      </w:r>
    </w:p>
    <w:p w14:paraId="13B19D99" w14:textId="77777777" w:rsidR="007A332B" w:rsidRPr="00391D9C" w:rsidRDefault="007A332B" w:rsidP="007A332B">
      <w:pPr>
        <w:pStyle w:val="NormalHanging12a"/>
      </w:pPr>
      <w:r w:rsidRPr="00391D9C">
        <w:t>D.</w:t>
      </w:r>
      <w:r w:rsidRPr="00391D9C">
        <w:tab/>
        <w:t xml:space="preserve">budući da pogoršanje stanja ljudskih prava u Kini stvara pritisak na njezine odnose s EU-om; budući da bi poštovanje ljudskih prava, demokracije i vladavine prava trebalo biti u središtu </w:t>
      </w:r>
      <w:proofErr w:type="spellStart"/>
      <w:r w:rsidRPr="00391D9C">
        <w:t>Unijinih</w:t>
      </w:r>
      <w:proofErr w:type="spellEnd"/>
      <w:r w:rsidRPr="00391D9C">
        <w:t xml:space="preserve"> odnosa s Kinom;</w:t>
      </w:r>
    </w:p>
    <w:p w14:paraId="1FF7A185" w14:textId="77777777" w:rsidR="007A332B" w:rsidRPr="00391D9C" w:rsidRDefault="007A332B" w:rsidP="007A332B">
      <w:pPr>
        <w:pStyle w:val="NormalHanging12a"/>
      </w:pPr>
      <w:r w:rsidRPr="00391D9C">
        <w:t>1.</w:t>
      </w:r>
      <w:r w:rsidRPr="00391D9C">
        <w:tab/>
        <w:t xml:space="preserve">oštro osuđuje kineske represivne politike asimilacije i posljedične povrede univerzalnih ljudskih prava, među ostalim u Tibetu, </w:t>
      </w:r>
      <w:proofErr w:type="spellStart"/>
      <w:r w:rsidRPr="00391D9C">
        <w:t>Xinjiangu</w:t>
      </w:r>
      <w:proofErr w:type="spellEnd"/>
      <w:r w:rsidRPr="00391D9C">
        <w:t xml:space="preserve"> i Unutrašnjoj Mongoliji;</w:t>
      </w:r>
    </w:p>
    <w:p w14:paraId="79FC21DC" w14:textId="77777777" w:rsidR="007A332B" w:rsidRPr="00391D9C" w:rsidRDefault="007A332B" w:rsidP="007A332B">
      <w:pPr>
        <w:pStyle w:val="NormalHanging12a"/>
      </w:pPr>
      <w:r w:rsidRPr="00391D9C">
        <w:t>2.</w:t>
      </w:r>
      <w:r w:rsidRPr="00391D9C">
        <w:tab/>
        <w:t>izražava ozbiljnu zabrinutost zbog donesenog Zakona o promicanju etničkog jedinstva i napretka, kojim se otvoreno promiču politike asimilacije i ograničavaju kulturne, vjerske i jezične slobode raznih skupina unutar i izvan Kine;</w:t>
      </w:r>
    </w:p>
    <w:p w14:paraId="58ABFE1D" w14:textId="77777777" w:rsidR="007A332B" w:rsidRPr="00391D9C" w:rsidRDefault="007A332B" w:rsidP="007A332B">
      <w:pPr>
        <w:pStyle w:val="NormalHanging12a"/>
      </w:pPr>
      <w:r w:rsidRPr="00391D9C">
        <w:lastRenderedPageBreak/>
        <w:t>3.</w:t>
      </w:r>
      <w:r w:rsidRPr="00391D9C">
        <w:tab/>
        <w:t>potiče Kinu da taj zakon stavi izvan snage kako bi poštovala svoje obveze na temelju međunarodnog prava u pogledu nediskriminacije te zaštite i promicanja etničkih i vjerskih manjina;</w:t>
      </w:r>
    </w:p>
    <w:p w14:paraId="59408EDA" w14:textId="77777777" w:rsidR="007A332B" w:rsidRPr="00391D9C" w:rsidRDefault="007A332B" w:rsidP="007A332B">
      <w:pPr>
        <w:pStyle w:val="NormalHanging12a"/>
        <w:rPr>
          <w:bCs/>
        </w:rPr>
      </w:pPr>
      <w:r w:rsidRPr="00391D9C">
        <w:t>4.</w:t>
      </w:r>
      <w:r w:rsidRPr="00391D9C">
        <w:tab/>
        <w:t>poziva Vijeće da aktivira globalni režim sankcija EU-a u području ljudskih prava protiv dužnosnika i subjekata odgovornih za osmišljavanje i provedbu tog zakona;</w:t>
      </w:r>
    </w:p>
    <w:p w14:paraId="1CB525C0" w14:textId="77777777" w:rsidR="007A332B" w:rsidRPr="00391D9C" w:rsidRDefault="007A332B" w:rsidP="007A332B">
      <w:pPr>
        <w:pStyle w:val="NormalHanging12a"/>
      </w:pPr>
      <w:r w:rsidRPr="00391D9C">
        <w:t>5.</w:t>
      </w:r>
      <w:r w:rsidRPr="00391D9C">
        <w:tab/>
        <w:t xml:space="preserve">žali zbog </w:t>
      </w:r>
      <w:proofErr w:type="spellStart"/>
      <w:r w:rsidRPr="00391D9C">
        <w:t>izvanteritorijalnih</w:t>
      </w:r>
      <w:proofErr w:type="spellEnd"/>
      <w:r w:rsidRPr="00391D9C">
        <w:t xml:space="preserve"> odredbi zakona, koje predstavljaju transnacionalnu represiju; potiče sve države članice EU-a da obustave sporazume o izručenju s Kinom kako bi se progonjeni pojedinci koji borave u Uniji zaštitili od rizika transnacionalne represije na temelju tog zakona;</w:t>
      </w:r>
    </w:p>
    <w:p w14:paraId="6C760772" w14:textId="77777777" w:rsidR="007A332B" w:rsidRPr="00391D9C" w:rsidRDefault="007A332B" w:rsidP="007A332B">
      <w:pPr>
        <w:pStyle w:val="NormalHanging12a"/>
      </w:pPr>
      <w:r w:rsidRPr="00391D9C">
        <w:t>6.</w:t>
      </w:r>
      <w:r w:rsidRPr="00391D9C">
        <w:tab/>
        <w:t>snažno odbacuje pokušaje kineskih vlasti da se upliću u priznavanje i obrazovanje tibetanskih budističkih duhovnih vođa; naglašava da je nasljednik Dalaj Lame isključivo vjersko pitanje koje se mora utvrditi isključivo u skladu s tibetanskim budističkim tradicijama;</w:t>
      </w:r>
    </w:p>
    <w:p w14:paraId="0708924F" w14:textId="77777777" w:rsidR="007A332B" w:rsidRPr="00391D9C" w:rsidRDefault="007A332B" w:rsidP="007A332B">
      <w:pPr>
        <w:pStyle w:val="NormalHanging12a"/>
      </w:pPr>
      <w:r w:rsidRPr="00391D9C">
        <w:t>7.</w:t>
      </w:r>
      <w:r w:rsidRPr="00391D9C">
        <w:tab/>
        <w:t xml:space="preserve">poziva na trenutačno puštanje na slobodu kineskih političkih zatvorenika, među kojima su i </w:t>
      </w:r>
      <w:proofErr w:type="spellStart"/>
      <w:r w:rsidRPr="00391D9C">
        <w:t>Choktrul</w:t>
      </w:r>
      <w:proofErr w:type="spellEnd"/>
      <w:r w:rsidRPr="00391D9C">
        <w:t xml:space="preserve"> </w:t>
      </w:r>
      <w:proofErr w:type="spellStart"/>
      <w:r w:rsidRPr="00391D9C">
        <w:t>Dorje</w:t>
      </w:r>
      <w:proofErr w:type="spellEnd"/>
      <w:r w:rsidRPr="00391D9C">
        <w:t xml:space="preserve"> Ten </w:t>
      </w:r>
      <w:proofErr w:type="spellStart"/>
      <w:r w:rsidRPr="00391D9C">
        <w:t>Rinpoche</w:t>
      </w:r>
      <w:proofErr w:type="spellEnd"/>
      <w:r w:rsidRPr="00391D9C">
        <w:t xml:space="preserve">, </w:t>
      </w:r>
      <w:proofErr w:type="spellStart"/>
      <w:r w:rsidRPr="00391D9C">
        <w:t>Palden</w:t>
      </w:r>
      <w:proofErr w:type="spellEnd"/>
      <w:r w:rsidRPr="00391D9C">
        <w:t xml:space="preserve"> </w:t>
      </w:r>
      <w:proofErr w:type="spellStart"/>
      <w:r w:rsidRPr="00391D9C">
        <w:t>Yeshi</w:t>
      </w:r>
      <w:proofErr w:type="spellEnd"/>
      <w:r w:rsidRPr="00391D9C">
        <w:t xml:space="preserve">, dobitnik Nagrade Saharov </w:t>
      </w:r>
      <w:proofErr w:type="spellStart"/>
      <w:r w:rsidRPr="00391D9C">
        <w:t>Ilham</w:t>
      </w:r>
      <w:proofErr w:type="spellEnd"/>
      <w:r w:rsidRPr="00391D9C">
        <w:t xml:space="preserve"> </w:t>
      </w:r>
      <w:proofErr w:type="spellStart"/>
      <w:r w:rsidRPr="00391D9C">
        <w:t>Tohti</w:t>
      </w:r>
      <w:proofErr w:type="spellEnd"/>
      <w:r w:rsidRPr="00391D9C">
        <w:t xml:space="preserve">, 11. </w:t>
      </w:r>
      <w:proofErr w:type="spellStart"/>
      <w:r w:rsidRPr="00391D9C">
        <w:t>pančen</w:t>
      </w:r>
      <w:proofErr w:type="spellEnd"/>
      <w:r w:rsidRPr="00391D9C">
        <w:t xml:space="preserve"> lama </w:t>
      </w:r>
      <w:proofErr w:type="spellStart"/>
      <w:r w:rsidRPr="00391D9C">
        <w:t>Gedhun</w:t>
      </w:r>
      <w:proofErr w:type="spellEnd"/>
      <w:r w:rsidRPr="00391D9C">
        <w:t xml:space="preserve"> </w:t>
      </w:r>
      <w:proofErr w:type="spellStart"/>
      <w:r w:rsidRPr="00391D9C">
        <w:t>Choekyi</w:t>
      </w:r>
      <w:proofErr w:type="spellEnd"/>
      <w:r w:rsidRPr="00391D9C">
        <w:t xml:space="preserve"> </w:t>
      </w:r>
      <w:proofErr w:type="spellStart"/>
      <w:r w:rsidRPr="00391D9C">
        <w:t>Nyima</w:t>
      </w:r>
      <w:proofErr w:type="spellEnd"/>
      <w:r w:rsidRPr="00391D9C">
        <w:t xml:space="preserve"> i mongolski aktivist Hada; poziva Europsku službu za vanjsko djelovanje, Komisiju i države članice da nastave raspravljati o tim slučajevima s Kinom;</w:t>
      </w:r>
    </w:p>
    <w:p w14:paraId="6EE197C5" w14:textId="77777777" w:rsidR="007A332B" w:rsidRPr="00391D9C" w:rsidRDefault="007A332B" w:rsidP="007A332B">
      <w:pPr>
        <w:pStyle w:val="NormalHanging12a"/>
      </w:pPr>
      <w:r w:rsidRPr="00391D9C">
        <w:t>8.</w:t>
      </w:r>
      <w:r w:rsidRPr="00391D9C">
        <w:tab/>
        <w:t>poziva visokog povjerenika UN-a za ljudska prava da objavi ažurirano izvješće o stanju u Kini, posebno u pogledu zakona iz 2026.;</w:t>
      </w:r>
    </w:p>
    <w:p w14:paraId="5F884DCF" w14:textId="77777777" w:rsidR="007A332B" w:rsidRPr="00391D9C" w:rsidRDefault="007A332B" w:rsidP="007A332B">
      <w:pPr>
        <w:pStyle w:val="NormalHanging12a"/>
      </w:pPr>
      <w:r w:rsidRPr="00391D9C">
        <w:t>9.</w:t>
      </w:r>
      <w:r w:rsidRPr="00391D9C">
        <w:tab/>
        <w:t>smatra da će uvođenje i provedba tog zakona dovesti do ozbiljnih posljedica za odnose EU-a i Kine;</w:t>
      </w:r>
    </w:p>
    <w:p w14:paraId="0B1DF81C" w14:textId="2D498FCC" w:rsidR="00391D9C" w:rsidRPr="00391D9C" w:rsidRDefault="007A332B" w:rsidP="00391D9C">
      <w:pPr>
        <w:pStyle w:val="NormalHanging12a"/>
      </w:pPr>
      <w:r w:rsidRPr="00391D9C">
        <w:t>10.</w:t>
      </w:r>
      <w:r w:rsidRPr="00391D9C">
        <w:tab/>
        <w:t>nalaže svojoj predsjednici da ovu Rezoluciju proslijedi državama članicama i ostalim institucijama EU-a, vladi Kine, UN-u i Središnjoj tibetanskoj upravi.</w:t>
      </w:r>
    </w:p>
    <w:p w14:paraId="0007C6D5" w14:textId="113FE09D" w:rsidR="00E365E1" w:rsidRPr="00391D9C" w:rsidRDefault="00E365E1" w:rsidP="000356A6"/>
    <w:sectPr w:rsidR="00E365E1" w:rsidRPr="00391D9C" w:rsidSect="00391D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8D001" w14:textId="77777777" w:rsidR="000356A6" w:rsidRPr="00391D9C" w:rsidRDefault="000356A6">
      <w:r w:rsidRPr="00391D9C">
        <w:separator/>
      </w:r>
    </w:p>
  </w:endnote>
  <w:endnote w:type="continuationSeparator" w:id="0">
    <w:p w14:paraId="642C2374" w14:textId="77777777" w:rsidR="000356A6" w:rsidRPr="00391D9C" w:rsidRDefault="000356A6">
      <w:r w:rsidRPr="00391D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57E48" w14:textId="77777777" w:rsidR="00064002" w:rsidRPr="00391D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73DEB" w14:textId="77777777" w:rsidR="00064002" w:rsidRPr="00391D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73F3" w14:textId="77777777" w:rsidR="00064002" w:rsidRPr="00391D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47B33" w14:textId="77777777" w:rsidR="000356A6" w:rsidRPr="00391D9C" w:rsidRDefault="000356A6">
      <w:r w:rsidRPr="00391D9C">
        <w:separator/>
      </w:r>
    </w:p>
  </w:footnote>
  <w:footnote w:type="continuationSeparator" w:id="0">
    <w:p w14:paraId="5B41FE6F" w14:textId="77777777" w:rsidR="000356A6" w:rsidRPr="00391D9C" w:rsidRDefault="000356A6">
      <w:r w:rsidRPr="00391D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38BA" w14:textId="77777777" w:rsidR="00064002" w:rsidRPr="00391D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B62B5" w14:textId="77777777" w:rsidR="00064002" w:rsidRPr="00391D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6CDB6" w14:textId="77777777" w:rsidR="00064002" w:rsidRPr="00391D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5993877">
    <w:abstractNumId w:val="9"/>
  </w:num>
  <w:num w:numId="2" w16cid:durableId="403989420">
    <w:abstractNumId w:val="9"/>
  </w:num>
  <w:num w:numId="3" w16cid:durableId="1043597795">
    <w:abstractNumId w:val="7"/>
  </w:num>
  <w:num w:numId="4" w16cid:durableId="1575166334">
    <w:abstractNumId w:val="7"/>
  </w:num>
  <w:num w:numId="5" w16cid:durableId="116486049">
    <w:abstractNumId w:val="6"/>
  </w:num>
  <w:num w:numId="6" w16cid:durableId="1868829110">
    <w:abstractNumId w:val="6"/>
  </w:num>
  <w:num w:numId="7" w16cid:durableId="701394277">
    <w:abstractNumId w:val="5"/>
  </w:num>
  <w:num w:numId="8" w16cid:durableId="860318273">
    <w:abstractNumId w:val="5"/>
  </w:num>
  <w:num w:numId="9" w16cid:durableId="1223712565">
    <w:abstractNumId w:val="4"/>
  </w:num>
  <w:num w:numId="10" w16cid:durableId="1726685569">
    <w:abstractNumId w:val="4"/>
  </w:num>
  <w:num w:numId="11" w16cid:durableId="1289119501">
    <w:abstractNumId w:val="8"/>
  </w:num>
  <w:num w:numId="12" w16cid:durableId="796992568">
    <w:abstractNumId w:val="8"/>
  </w:num>
  <w:num w:numId="13" w16cid:durableId="1767462194">
    <w:abstractNumId w:val="3"/>
  </w:num>
  <w:num w:numId="14" w16cid:durableId="1260791009">
    <w:abstractNumId w:val="3"/>
  </w:num>
  <w:num w:numId="15" w16cid:durableId="380130309">
    <w:abstractNumId w:val="2"/>
  </w:num>
  <w:num w:numId="16" w16cid:durableId="1078481286">
    <w:abstractNumId w:val="2"/>
  </w:num>
  <w:num w:numId="17" w16cid:durableId="888221746">
    <w:abstractNumId w:val="1"/>
  </w:num>
  <w:num w:numId="18" w16cid:durableId="409541300">
    <w:abstractNumId w:val="1"/>
  </w:num>
  <w:num w:numId="19" w16cid:durableId="1324502868">
    <w:abstractNumId w:val="0"/>
  </w:num>
  <w:num w:numId="20" w16cid:durableId="704334817">
    <w:abstractNumId w:val="0"/>
  </w:num>
  <w:num w:numId="21" w16cid:durableId="1113787219">
    <w:abstractNumId w:val="9"/>
  </w:num>
  <w:num w:numId="22" w16cid:durableId="1807317173">
    <w:abstractNumId w:val="7"/>
  </w:num>
  <w:num w:numId="23" w16cid:durableId="433987520">
    <w:abstractNumId w:val="6"/>
  </w:num>
  <w:num w:numId="24" w16cid:durableId="2123568838">
    <w:abstractNumId w:val="5"/>
  </w:num>
  <w:num w:numId="25" w16cid:durableId="1821069809">
    <w:abstractNumId w:val="4"/>
  </w:num>
  <w:num w:numId="26" w16cid:durableId="1633899880">
    <w:abstractNumId w:val="8"/>
  </w:num>
  <w:num w:numId="27" w16cid:durableId="235672385">
    <w:abstractNumId w:val="3"/>
  </w:num>
  <w:num w:numId="28" w16cid:durableId="288895601">
    <w:abstractNumId w:val="2"/>
  </w:num>
  <w:num w:numId="29" w16cid:durableId="1249970689">
    <w:abstractNumId w:val="1"/>
  </w:num>
  <w:num w:numId="30" w16cid:durableId="992412793">
    <w:abstractNumId w:val="0"/>
  </w:num>
  <w:num w:numId="31" w16cid:durableId="26489521">
    <w:abstractNumId w:val="9"/>
  </w:num>
  <w:num w:numId="32" w16cid:durableId="765923659">
    <w:abstractNumId w:val="7"/>
  </w:num>
  <w:num w:numId="33" w16cid:durableId="233471253">
    <w:abstractNumId w:val="6"/>
  </w:num>
  <w:num w:numId="34" w16cid:durableId="870999237">
    <w:abstractNumId w:val="5"/>
  </w:num>
  <w:num w:numId="35" w16cid:durableId="1373455938">
    <w:abstractNumId w:val="4"/>
  </w:num>
  <w:num w:numId="36" w16cid:durableId="1420829939">
    <w:abstractNumId w:val="8"/>
  </w:num>
  <w:num w:numId="37" w16cid:durableId="1849169620">
    <w:abstractNumId w:val="3"/>
  </w:num>
  <w:num w:numId="38" w16cid:durableId="2075615884">
    <w:abstractNumId w:val="2"/>
  </w:num>
  <w:num w:numId="39" w16cid:durableId="1593128538">
    <w:abstractNumId w:val="1"/>
  </w:num>
  <w:num w:numId="40" w16cid:durableId="1262180159">
    <w:abstractNumId w:val="0"/>
  </w:num>
  <w:num w:numId="41" w16cid:durableId="265038038">
    <w:abstractNumId w:val="10"/>
  </w:num>
  <w:num w:numId="42" w16cid:durableId="2059011623">
    <w:abstractNumId w:val="10"/>
  </w:num>
  <w:num w:numId="43" w16cid:durableId="1215310049">
    <w:abstractNumId w:val="10"/>
  </w:num>
  <w:num w:numId="44" w16cid:durableId="12535855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/2026"/>
    <w:docVar w:name="dvlangue" w:val="HR"/>
    <w:docVar w:name="dvnumam" w:val="0"/>
    <w:docVar w:name="dvpe" w:val="783.251"/>
    <w:docVar w:name="dvtitre" w:val="Rezolucija Europskog parlamenta od .... 2026. o novom kineskom zakonu o „etničkom jedinstvu i napretku” i pojačanom suzbijanju etničkih identiteta(2026/2703(RSP))"/>
  </w:docVars>
  <w:rsids>
    <w:rsidRoot w:val="000356A6"/>
    <w:rsid w:val="00002272"/>
    <w:rsid w:val="000356A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1D9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D89"/>
    <w:rsid w:val="007A332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BB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58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2C3128"/>
  <w15:chartTrackingRefBased/>
  <w15:docId w15:val="{29A20EF2-7179-428E-A099-3015E409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A332B"/>
    <w:pPr>
      <w:spacing w:after="240"/>
      <w:ind w:left="567" w:hanging="567"/>
    </w:pPr>
  </w:style>
  <w:style w:type="paragraph" w:customStyle="1" w:styleId="EPComma">
    <w:name w:val="EPComma"/>
    <w:basedOn w:val="Normal"/>
    <w:rsid w:val="007A332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A332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2026-04-30T12:10:00Z</dcterms:created>
  <dcterms:modified xsi:type="dcterms:W3CDTF">2026-04-30T12:10:00Z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B10-0216/2026</vt:lpwstr>
  </property>
  <property fmtid="{D5CDD505-2E9C-101B-9397-08002B2CF9AE}" pid="4" name="&lt;Type&gt;">
    <vt:lpwstr>RR</vt:lpwstr>
  </property>
</Properties>
</file>