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6C50" w14:paraId="545D150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1A3E0F5" w14:textId="77777777" w:rsidR="00751A4A" w:rsidRPr="006D6C50" w:rsidRDefault="00BC25BE" w:rsidP="0010095E">
            <w:pPr>
              <w:pStyle w:val="EPName"/>
            </w:pPr>
            <w:r w:rsidRPr="006D6C50">
              <w:t>Európai Parlament</w:t>
            </w:r>
          </w:p>
          <w:p w14:paraId="66FA12B5" w14:textId="77777777" w:rsidR="00751A4A" w:rsidRPr="006D6C5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C50">
              <w:t>2024</w:t>
            </w:r>
            <w:r w:rsidR="00817416" w:rsidRPr="006D6C50">
              <w:t>-202</w:t>
            </w:r>
            <w:r w:rsidRPr="006D6C50">
              <w:t>9</w:t>
            </w:r>
          </w:p>
        </w:tc>
        <w:tc>
          <w:tcPr>
            <w:tcW w:w="2268" w:type="dxa"/>
            <w:shd w:val="clear" w:color="auto" w:fill="auto"/>
          </w:tcPr>
          <w:p w14:paraId="22ACA5B0" w14:textId="77777777" w:rsidR="00751A4A" w:rsidRPr="006D6C50" w:rsidRDefault="00187494" w:rsidP="0010095E">
            <w:pPr>
              <w:pStyle w:val="EPLogo"/>
            </w:pPr>
            <w:r w:rsidRPr="006D6C50">
              <w:rPr>
                <w:noProof/>
                <w:lang w:eastAsia="ja-JP"/>
              </w:rPr>
              <w:drawing>
                <wp:inline distT="0" distB="0" distL="0" distR="0" wp14:anchorId="789D114F" wp14:editId="3CADEF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FD4B79" w14:textId="77777777" w:rsidR="00D058B8" w:rsidRPr="006D6C50" w:rsidRDefault="00D058B8" w:rsidP="004C5D52">
      <w:pPr>
        <w:pStyle w:val="LineTop"/>
      </w:pPr>
    </w:p>
    <w:p w14:paraId="3D4519D4" w14:textId="77777777" w:rsidR="00680577" w:rsidRPr="006D6C50" w:rsidRDefault="00BC25BE" w:rsidP="00680577">
      <w:pPr>
        <w:pStyle w:val="EPBodyTA1"/>
      </w:pPr>
      <w:r w:rsidRPr="006D6C50">
        <w:t>ELFOGADOTT SZÖVEGEK</w:t>
      </w:r>
    </w:p>
    <w:p w14:paraId="1EFCAEB0" w14:textId="77777777" w:rsidR="00D058B8" w:rsidRPr="006D6C50" w:rsidRDefault="00D058B8" w:rsidP="00D058B8">
      <w:pPr>
        <w:pStyle w:val="LineBottom"/>
      </w:pPr>
    </w:p>
    <w:p w14:paraId="5EC65327" w14:textId="6BC0FD01" w:rsidR="00BC25BE" w:rsidRPr="006D6C50" w:rsidRDefault="00BC25BE" w:rsidP="00BC25BE">
      <w:pPr>
        <w:pStyle w:val="ATHeading1"/>
      </w:pPr>
      <w:bookmarkStart w:id="0" w:name="TANumber"/>
      <w:r w:rsidRPr="006D6C50">
        <w:t>P10_</w:t>
      </w:r>
      <w:proofErr w:type="gramStart"/>
      <w:r w:rsidRPr="006D6C50">
        <w:t>TA(</w:t>
      </w:r>
      <w:proofErr w:type="gramEnd"/>
      <w:r w:rsidRPr="006D6C50">
        <w:t>2026)0</w:t>
      </w:r>
      <w:r w:rsidR="006D6C50" w:rsidRPr="006D6C50">
        <w:t>152</w:t>
      </w:r>
      <w:bookmarkEnd w:id="0"/>
    </w:p>
    <w:p w14:paraId="7970E85D" w14:textId="77777777" w:rsidR="00BC25BE" w:rsidRPr="006D6C50" w:rsidRDefault="00BC25BE" w:rsidP="00BC25BE">
      <w:pPr>
        <w:pStyle w:val="ATHeading2"/>
      </w:pPr>
      <w:bookmarkStart w:id="1" w:name="title"/>
      <w:r w:rsidRPr="006D6C50">
        <w:t>Az „etnikai egységről és haladásról” szóló új kínai törvény és az etnikai identitások fokozódó elnyomása</w:t>
      </w:r>
      <w:bookmarkEnd w:id="1"/>
    </w:p>
    <w:p w14:paraId="7B8F38E2" w14:textId="77777777" w:rsidR="00BC25BE" w:rsidRPr="006D6C50" w:rsidRDefault="00BC25BE" w:rsidP="00BC25BE">
      <w:pPr>
        <w:rPr>
          <w:i/>
          <w:vanish/>
        </w:rPr>
      </w:pPr>
      <w:r w:rsidRPr="006D6C50">
        <w:rPr>
          <w:i/>
        </w:rPr>
        <w:fldChar w:fldCharType="begin"/>
      </w:r>
      <w:r w:rsidRPr="006D6C50">
        <w:rPr>
          <w:i/>
        </w:rPr>
        <w:instrText xml:space="preserve"> TC"(</w:instrText>
      </w:r>
      <w:bookmarkStart w:id="2" w:name="DocNumber"/>
      <w:r w:rsidRPr="006D6C50">
        <w:rPr>
          <w:i/>
        </w:rPr>
        <w:instrText>B10-0216, 0223, 0232, 0233 és 0234/2026</w:instrText>
      </w:r>
      <w:bookmarkEnd w:id="2"/>
      <w:r w:rsidRPr="006D6C50">
        <w:rPr>
          <w:i/>
        </w:rPr>
        <w:instrText xml:space="preserve">)"\l3 \n&gt; \* MERGEFORMAT </w:instrText>
      </w:r>
      <w:r w:rsidRPr="006D6C50">
        <w:rPr>
          <w:i/>
        </w:rPr>
        <w:fldChar w:fldCharType="end"/>
      </w:r>
    </w:p>
    <w:p w14:paraId="4086351B" w14:textId="77777777" w:rsidR="00BC25BE" w:rsidRPr="006D6C50" w:rsidRDefault="00BC25BE" w:rsidP="00BC25BE">
      <w:pPr>
        <w:rPr>
          <w:vanish/>
        </w:rPr>
      </w:pPr>
      <w:bookmarkStart w:id="3" w:name="PE"/>
      <w:r w:rsidRPr="006D6C50">
        <w:rPr>
          <w:vanish/>
        </w:rPr>
        <w:t>PE783.251</w:t>
      </w:r>
      <w:bookmarkEnd w:id="3"/>
    </w:p>
    <w:p w14:paraId="77B02226" w14:textId="77777777" w:rsidR="00BC25BE" w:rsidRPr="006D6C50" w:rsidRDefault="00BC25BE" w:rsidP="00BC25BE">
      <w:pPr>
        <w:pStyle w:val="ATHeading3"/>
      </w:pPr>
      <w:bookmarkStart w:id="4" w:name="Sujet"/>
      <w:r w:rsidRPr="006D6C50">
        <w:t>Az Európai Parlament 2026. április 30-i állásfoglalása az „etnikai egységről és haladásról” szóló új kínai törvényről és az etnikai identitások fokozódó elnyomásáról</w:t>
      </w:r>
      <w:bookmarkEnd w:id="4"/>
      <w:r w:rsidRPr="006D6C50">
        <w:t xml:space="preserve"> </w:t>
      </w:r>
      <w:bookmarkStart w:id="5" w:name="References"/>
      <w:r w:rsidRPr="006D6C50">
        <w:t>(2026/2703(RSP))</w:t>
      </w:r>
      <w:bookmarkEnd w:id="5"/>
    </w:p>
    <w:p w14:paraId="47346434" w14:textId="77777777" w:rsidR="00054EFC" w:rsidRPr="006D6C50" w:rsidRDefault="00054EFC" w:rsidP="00054EFC">
      <w:pPr>
        <w:pStyle w:val="EPComma"/>
      </w:pPr>
      <w:bookmarkStart w:id="6" w:name="TextBodyBegin"/>
      <w:bookmarkEnd w:id="6"/>
      <w:r w:rsidRPr="006D6C50">
        <w:rPr>
          <w:i/>
        </w:rPr>
        <w:t>Az Európai Parlament</w:t>
      </w:r>
      <w:r w:rsidRPr="006D6C50">
        <w:t>,</w:t>
      </w:r>
    </w:p>
    <w:p w14:paraId="3FF4EF24" w14:textId="77777777" w:rsidR="00054EFC" w:rsidRPr="006D6C50" w:rsidRDefault="00054EFC" w:rsidP="001B08A7">
      <w:pPr>
        <w:pStyle w:val="NormalHanging12a"/>
        <w:widowControl/>
      </w:pPr>
      <w:r w:rsidRPr="006D6C50">
        <w:t>–</w:t>
      </w:r>
      <w:r w:rsidRPr="006D6C50">
        <w:tab/>
        <w:t>tekintettel eljárási szabályzata 150. cikkének (5) bekezdésére és 136. cikkének (4) bekezdésére,</w:t>
      </w:r>
    </w:p>
    <w:p w14:paraId="32870029" w14:textId="77777777" w:rsidR="00054EFC" w:rsidRPr="006D6C50" w:rsidRDefault="00054EFC" w:rsidP="001B08A7">
      <w:pPr>
        <w:pStyle w:val="NormalHanging12a"/>
        <w:widowControl/>
        <w:rPr>
          <w:bCs/>
        </w:rPr>
      </w:pPr>
      <w:r w:rsidRPr="006D6C50">
        <w:t>A.</w:t>
      </w:r>
      <w:r w:rsidRPr="006D6C50">
        <w:tab/>
        <w:t>mivel a kisebbségek nemzeti vagy etnikai, kulturális, vallási és nyelvi identitásának védelme a nemzetközi szokásjogban gyökerezik, amint azt a nemzeti, etnikai, vallási és nyelvi kisebbségekhez tartozó személyek jogairól szóló ENSZ-nyilatkozat is tükrözi; mivel minden államnak be kell tartania ezeket a normákat;</w:t>
      </w:r>
    </w:p>
    <w:p w14:paraId="001DF4B3" w14:textId="77777777" w:rsidR="00054EFC" w:rsidRPr="006D6C50" w:rsidRDefault="00054EFC" w:rsidP="001B08A7">
      <w:pPr>
        <w:pStyle w:val="NormalHanging12a"/>
        <w:widowControl/>
      </w:pPr>
      <w:r w:rsidRPr="006D6C50">
        <w:t>B.</w:t>
      </w:r>
      <w:r w:rsidRPr="006D6C50">
        <w:tab/>
        <w:t xml:space="preserve">mivel 2026. március 12-én a Kínai Nemzeti Népi Kongresszus elfogadta az etnikai egység és haladás előmozdításáról szóló törvényt, amely tovább integrálja az állami ideológiát, és előnyben részesíti a mandarint az oktatásban, a közéletben és a médiában, valamint fokozza az etnikai kisebbségi identitások, köztük a tibetiek, a </w:t>
      </w:r>
      <w:proofErr w:type="spellStart"/>
      <w:r w:rsidRPr="006D6C50">
        <w:t>hujok</w:t>
      </w:r>
      <w:proofErr w:type="spellEnd"/>
      <w:r w:rsidRPr="006D6C50">
        <w:t>, az ujgurok, a mandzsuk és a mongolok intézményesített elnyomását és asszimilációját; mivel ez a törvény jelentősen eltér Kína 1984-es, a regionális etnikai autonómiáról szóló törvényétől;</w:t>
      </w:r>
    </w:p>
    <w:p w14:paraId="1841154D" w14:textId="77777777" w:rsidR="00054EFC" w:rsidRPr="006D6C50" w:rsidRDefault="00054EFC" w:rsidP="001B08A7">
      <w:pPr>
        <w:pStyle w:val="NormalHanging12a"/>
        <w:widowControl/>
      </w:pPr>
      <w:r w:rsidRPr="006D6C50">
        <w:t>C.</w:t>
      </w:r>
      <w:r w:rsidRPr="006D6C50">
        <w:tab/>
        <w:t>mivel a törvény területen kívüli hatálya lehetővé teszi azon külföldi személyek büntetőeljárás alá vonását, akikről úgy vélik, hogy aláássák Kína „etnikai egységét”;</w:t>
      </w:r>
    </w:p>
    <w:p w14:paraId="13DAED24" w14:textId="77777777" w:rsidR="00054EFC" w:rsidRPr="006D6C50" w:rsidRDefault="00054EFC" w:rsidP="001B08A7">
      <w:pPr>
        <w:pStyle w:val="NormalHanging12a"/>
        <w:widowControl/>
      </w:pPr>
      <w:r w:rsidRPr="006D6C50">
        <w:t>D.</w:t>
      </w:r>
      <w:r w:rsidRPr="006D6C50">
        <w:tab/>
        <w:t>mivel Kína emberi jogi helyzetének romlása megterhelte az EU-val fenntartott kapcsolatait; mivel az emberi jogok, a demokrácia és a jogállamiság tiszteletben tartásának az EU Kínával fenntartott kapcsolatai középpontjában kell állnia;</w:t>
      </w:r>
    </w:p>
    <w:p w14:paraId="50C82878" w14:textId="77777777" w:rsidR="00054EFC" w:rsidRPr="006D6C50" w:rsidRDefault="00054EFC" w:rsidP="001B08A7">
      <w:pPr>
        <w:pStyle w:val="NormalHanging12a"/>
        <w:widowControl/>
      </w:pPr>
      <w:r w:rsidRPr="006D6C50">
        <w:t>1.</w:t>
      </w:r>
      <w:r w:rsidRPr="006D6C50">
        <w:tab/>
        <w:t xml:space="preserve">határozottan elítéli Kína elnyomó asszimilációs politikáját és az egyetemes emberi jogok ebből következő megsértését, többek között Tibetben, </w:t>
      </w:r>
      <w:proofErr w:type="spellStart"/>
      <w:r w:rsidRPr="006D6C50">
        <w:t>Hszincsiangban</w:t>
      </w:r>
      <w:proofErr w:type="spellEnd"/>
      <w:r w:rsidRPr="006D6C50">
        <w:t xml:space="preserve"> és Belső-Mongóliában;</w:t>
      </w:r>
    </w:p>
    <w:p w14:paraId="29C55DF1" w14:textId="77777777" w:rsidR="00054EFC" w:rsidRPr="006D6C50" w:rsidRDefault="00054EFC" w:rsidP="001B08A7">
      <w:pPr>
        <w:pStyle w:val="NormalHanging12a"/>
        <w:widowControl/>
      </w:pPr>
      <w:r w:rsidRPr="006D6C50">
        <w:lastRenderedPageBreak/>
        <w:t>2.</w:t>
      </w:r>
      <w:r w:rsidRPr="006D6C50">
        <w:tab/>
        <w:t>súlyos aggodalmának ad hangot az etnikai egység és haladás előmozdításáról elfogadott törvény miatt, amely nyíltan támogatja az asszimilációs politikákat, és korlátozza a különböző csoportok kulturális, vallási és nyelvi szabadságait Kínában és azon kívül;</w:t>
      </w:r>
    </w:p>
    <w:p w14:paraId="13B1A425" w14:textId="77777777" w:rsidR="00054EFC" w:rsidRPr="006D6C50" w:rsidRDefault="00054EFC" w:rsidP="001B08A7">
      <w:pPr>
        <w:pStyle w:val="NormalHanging12a"/>
        <w:widowControl/>
      </w:pPr>
      <w:r w:rsidRPr="006D6C50">
        <w:t>3.</w:t>
      </w:r>
      <w:r w:rsidRPr="006D6C50">
        <w:tab/>
        <w:t>sürgeti Kínát, hogy helyezze hatályon kívül ezt a törvényt, ezáltal eleget téve a megkülönböztetésmentességre, valamint az etnikai és vallási kisebbségek védelmére és előmozdítására vonatkozó, a nemzetközi jog szerinti kötelezettségeinek;</w:t>
      </w:r>
    </w:p>
    <w:p w14:paraId="20F2DEC2" w14:textId="77777777" w:rsidR="00054EFC" w:rsidRPr="006D6C50" w:rsidRDefault="00054EFC" w:rsidP="001B08A7">
      <w:pPr>
        <w:pStyle w:val="NormalHanging12a"/>
        <w:widowControl/>
        <w:rPr>
          <w:bCs/>
        </w:rPr>
      </w:pPr>
      <w:r w:rsidRPr="006D6C50">
        <w:t>4.</w:t>
      </w:r>
      <w:r w:rsidRPr="006D6C50">
        <w:tab/>
        <w:t>felhívja a Tanácsot, hogy aktiválja az EU globális emberi jogi szankciórendszerét az e törvény kidolgozásáért és végrehajtásáért felelős tisztviselőkkel és szervezetekkel szemben;</w:t>
      </w:r>
    </w:p>
    <w:p w14:paraId="20587E9D" w14:textId="77777777" w:rsidR="00054EFC" w:rsidRPr="006D6C50" w:rsidRDefault="00054EFC" w:rsidP="001B08A7">
      <w:pPr>
        <w:pStyle w:val="NormalHanging12a"/>
        <w:widowControl/>
      </w:pPr>
      <w:r w:rsidRPr="006D6C50">
        <w:t>5.</w:t>
      </w:r>
      <w:r w:rsidRPr="006D6C50">
        <w:tab/>
        <w:t>sajnálatát fejezi ki a törvény területen kívüli rendelkezései miatt, amelyek transznacionális elnyomásnak minősülnek; sürgeti az összes uniós tagállamot, hogy függesszék fel a Kínával kötött kiadatási szerződéseket annak érdekében, hogy megvédjék az EU-ban tartózkodó üldözött személyeket az e törvény szerinti transznacionális elnyomás kockázatától;</w:t>
      </w:r>
    </w:p>
    <w:p w14:paraId="7DFE011B" w14:textId="77777777" w:rsidR="00054EFC" w:rsidRPr="006D6C50" w:rsidRDefault="00054EFC" w:rsidP="001B08A7">
      <w:pPr>
        <w:pStyle w:val="NormalHanging12a"/>
        <w:widowControl/>
      </w:pPr>
      <w:r w:rsidRPr="006D6C50">
        <w:t>6.</w:t>
      </w:r>
      <w:r w:rsidRPr="006D6C50">
        <w:tab/>
        <w:t>határozottan elutasítja a kínai hatóságok arra irányuló kísérleteit, hogy beavatkozzanak a tibeti buddhista szellemi vezetők elismerésébe és oktatásába; hangsúlyozza, hogy a dalai láma utódlása tisztán vallási kérdés, amelyet kizárólag a tibeti buddhista hagyományokkal összhangban kell meghatározni;</w:t>
      </w:r>
    </w:p>
    <w:p w14:paraId="147D723B" w14:textId="77777777" w:rsidR="00054EFC" w:rsidRPr="006D6C50" w:rsidRDefault="00054EFC" w:rsidP="001B08A7">
      <w:pPr>
        <w:pStyle w:val="NormalHanging12a"/>
        <w:widowControl/>
      </w:pPr>
      <w:r w:rsidRPr="006D6C50">
        <w:t>7.</w:t>
      </w:r>
      <w:r w:rsidRPr="006D6C50">
        <w:tab/>
      </w:r>
      <w:bookmarkStart w:id="7" w:name="_Hlk228431220"/>
      <w:r w:rsidRPr="006D6C50">
        <w:t xml:space="preserve">felszólít a kínai politikai foglyok, köztük </w:t>
      </w:r>
      <w:proofErr w:type="spellStart"/>
      <w:r w:rsidRPr="006D6C50">
        <w:t>Csogtrul</w:t>
      </w:r>
      <w:proofErr w:type="spellEnd"/>
      <w:r w:rsidRPr="006D6C50">
        <w:t xml:space="preserve"> </w:t>
      </w:r>
      <w:proofErr w:type="spellStart"/>
      <w:r w:rsidRPr="006D6C50">
        <w:t>Dordzse</w:t>
      </w:r>
      <w:proofErr w:type="spellEnd"/>
      <w:r w:rsidRPr="006D6C50">
        <w:t xml:space="preserve"> </w:t>
      </w:r>
      <w:proofErr w:type="spellStart"/>
      <w:r w:rsidRPr="006D6C50">
        <w:t>Den</w:t>
      </w:r>
      <w:proofErr w:type="spellEnd"/>
      <w:r w:rsidRPr="006D6C50">
        <w:t xml:space="preserve"> </w:t>
      </w:r>
      <w:proofErr w:type="spellStart"/>
      <w:r w:rsidRPr="006D6C50">
        <w:t>rinpocse</w:t>
      </w:r>
      <w:proofErr w:type="spellEnd"/>
      <w:r w:rsidRPr="006D6C50">
        <w:t xml:space="preserve">, </w:t>
      </w:r>
      <w:proofErr w:type="spellStart"/>
      <w:r w:rsidRPr="006D6C50">
        <w:t>Palden</w:t>
      </w:r>
      <w:proofErr w:type="spellEnd"/>
      <w:r w:rsidRPr="006D6C50">
        <w:t xml:space="preserve"> </w:t>
      </w:r>
      <w:proofErr w:type="spellStart"/>
      <w:r w:rsidRPr="006D6C50">
        <w:t>Jese</w:t>
      </w:r>
      <w:proofErr w:type="spellEnd"/>
      <w:r w:rsidRPr="006D6C50">
        <w:t xml:space="preserve">, a </w:t>
      </w:r>
      <w:proofErr w:type="spellStart"/>
      <w:r w:rsidRPr="006D6C50">
        <w:t>Szaharov</w:t>
      </w:r>
      <w:proofErr w:type="spellEnd"/>
      <w:r w:rsidRPr="006D6C50">
        <w:t xml:space="preserve">-díjjal kitüntetett </w:t>
      </w:r>
      <w:proofErr w:type="spellStart"/>
      <w:r w:rsidRPr="006D6C50">
        <w:t>Ilham</w:t>
      </w:r>
      <w:proofErr w:type="spellEnd"/>
      <w:r w:rsidRPr="006D6C50">
        <w:t xml:space="preserve"> </w:t>
      </w:r>
      <w:proofErr w:type="spellStart"/>
      <w:r w:rsidRPr="006D6C50">
        <w:t>Tohti</w:t>
      </w:r>
      <w:proofErr w:type="spellEnd"/>
      <w:r w:rsidRPr="006D6C50">
        <w:t xml:space="preserve">, a 11. </w:t>
      </w:r>
      <w:proofErr w:type="spellStart"/>
      <w:r w:rsidRPr="006D6C50">
        <w:t>pancsen</w:t>
      </w:r>
      <w:proofErr w:type="spellEnd"/>
      <w:r w:rsidRPr="006D6C50">
        <w:t xml:space="preserve"> láma </w:t>
      </w:r>
      <w:proofErr w:type="spellStart"/>
      <w:r w:rsidRPr="006D6C50">
        <w:t>Gedun</w:t>
      </w:r>
      <w:proofErr w:type="spellEnd"/>
      <w:r w:rsidRPr="006D6C50">
        <w:t xml:space="preserve"> </w:t>
      </w:r>
      <w:proofErr w:type="spellStart"/>
      <w:r w:rsidRPr="006D6C50">
        <w:t>Csötyi</w:t>
      </w:r>
      <w:proofErr w:type="spellEnd"/>
      <w:r w:rsidRPr="006D6C50">
        <w:t xml:space="preserve"> </w:t>
      </w:r>
      <w:proofErr w:type="spellStart"/>
      <w:r w:rsidRPr="006D6C50">
        <w:t>Nyima</w:t>
      </w:r>
      <w:proofErr w:type="spellEnd"/>
      <w:r w:rsidRPr="006D6C50">
        <w:t xml:space="preserve"> és Hada </w:t>
      </w:r>
      <w:bookmarkEnd w:id="7"/>
      <w:r w:rsidRPr="006D6C50">
        <w:t>mongol aktivista azonnali szabadon bocsátására; felhívja az Európai Külügyi Szolgálatot, a Bizottságot és a tagállamokat, hogy továbbra is vessék fel ezeket az ügyeket Kínával;</w:t>
      </w:r>
    </w:p>
    <w:p w14:paraId="2B93FA02" w14:textId="77777777" w:rsidR="00054EFC" w:rsidRPr="006D6C50" w:rsidRDefault="00054EFC" w:rsidP="001B08A7">
      <w:pPr>
        <w:pStyle w:val="NormalHanging12a"/>
        <w:widowControl/>
      </w:pPr>
      <w:r w:rsidRPr="006D6C50">
        <w:t>8.</w:t>
      </w:r>
      <w:r w:rsidRPr="006D6C50">
        <w:tab/>
        <w:t>felhívja az ENSZ emberi jogi főbiztosát, hogy adjon ki aktualizált helyzetjelentést Kínáról, különös tekintettel a 2026. évi törvényre;</w:t>
      </w:r>
    </w:p>
    <w:p w14:paraId="66EAD785" w14:textId="77777777" w:rsidR="00054EFC" w:rsidRPr="006D6C50" w:rsidRDefault="00054EFC" w:rsidP="001B08A7">
      <w:pPr>
        <w:pStyle w:val="NormalHanging12a"/>
        <w:widowControl/>
      </w:pPr>
      <w:r w:rsidRPr="006D6C50">
        <w:t>9.</w:t>
      </w:r>
      <w:r w:rsidRPr="006D6C50">
        <w:tab/>
        <w:t>úgy véli, hogy e törvény bevezetése és végrehajtása súlyos következményekkel fog járni az EU és Kína közötti kapcsolatokra nézve;</w:t>
      </w:r>
    </w:p>
    <w:p w14:paraId="5A5AFD61" w14:textId="78E1C5F8" w:rsidR="00087FB9" w:rsidRPr="00087FB9" w:rsidRDefault="00054EFC" w:rsidP="001B08A7">
      <w:pPr>
        <w:pStyle w:val="NormalHanging12a"/>
        <w:widowControl/>
      </w:pPr>
      <w:r w:rsidRPr="006D6C50">
        <w:t>10.</w:t>
      </w:r>
      <w:r w:rsidRPr="006D6C50">
        <w:tab/>
        <w:t>utasítja elnökét, hogy továbbítsa ezt az állásfoglalást a tagállamoknak és más uniós intézményeknek, a kínai kormánynak, az ENSZ-nek és a Központi Tibeti Adminisztrációnak.</w:t>
      </w:r>
    </w:p>
    <w:p w14:paraId="27C4A06B" w14:textId="4B51184D" w:rsidR="00E365E1" w:rsidRPr="00087FB9" w:rsidRDefault="00E365E1" w:rsidP="001B08A7">
      <w:pPr>
        <w:widowControl/>
        <w:spacing w:after="240"/>
        <w:ind w:left="567" w:hanging="567"/>
      </w:pPr>
    </w:p>
    <w:sectPr w:rsidR="00E365E1" w:rsidRPr="00087FB9" w:rsidSect="00087F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63C61" w14:textId="77777777" w:rsidR="00BC25BE" w:rsidRPr="00087FB9" w:rsidRDefault="00BC25BE">
      <w:r w:rsidRPr="00087FB9">
        <w:separator/>
      </w:r>
    </w:p>
  </w:endnote>
  <w:endnote w:type="continuationSeparator" w:id="0">
    <w:p w14:paraId="5D6D4A7A" w14:textId="77777777" w:rsidR="00BC25BE" w:rsidRPr="00087FB9" w:rsidRDefault="00BC25BE">
      <w:r w:rsidRPr="00087FB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EEAF6" w14:textId="77777777" w:rsidR="00064002" w:rsidRPr="00087FB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42BC6" w14:textId="77777777" w:rsidR="00064002" w:rsidRPr="00087FB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4E847" w14:textId="77777777" w:rsidR="00064002" w:rsidRPr="00087FB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8DE4A" w14:textId="77777777" w:rsidR="00BC25BE" w:rsidRPr="00087FB9" w:rsidRDefault="00BC25BE">
      <w:r w:rsidRPr="00087FB9">
        <w:separator/>
      </w:r>
    </w:p>
  </w:footnote>
  <w:footnote w:type="continuationSeparator" w:id="0">
    <w:p w14:paraId="24414D77" w14:textId="77777777" w:rsidR="00BC25BE" w:rsidRPr="00087FB9" w:rsidRDefault="00BC25BE">
      <w:r w:rsidRPr="00087FB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6A91" w14:textId="77777777" w:rsidR="00064002" w:rsidRPr="00087FB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35867" w14:textId="77777777" w:rsidR="00064002" w:rsidRPr="00087FB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B4B3" w14:textId="77777777" w:rsidR="00064002" w:rsidRPr="00087FB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81325607">
    <w:abstractNumId w:val="9"/>
  </w:num>
  <w:num w:numId="2" w16cid:durableId="1655641163">
    <w:abstractNumId w:val="9"/>
  </w:num>
  <w:num w:numId="3" w16cid:durableId="1376736587">
    <w:abstractNumId w:val="7"/>
  </w:num>
  <w:num w:numId="4" w16cid:durableId="2092966408">
    <w:abstractNumId w:val="7"/>
  </w:num>
  <w:num w:numId="5" w16cid:durableId="1446386527">
    <w:abstractNumId w:val="6"/>
  </w:num>
  <w:num w:numId="6" w16cid:durableId="1951935029">
    <w:abstractNumId w:val="6"/>
  </w:num>
  <w:num w:numId="7" w16cid:durableId="1992637650">
    <w:abstractNumId w:val="5"/>
  </w:num>
  <w:num w:numId="8" w16cid:durableId="871267178">
    <w:abstractNumId w:val="5"/>
  </w:num>
  <w:num w:numId="9" w16cid:durableId="1288464905">
    <w:abstractNumId w:val="4"/>
  </w:num>
  <w:num w:numId="10" w16cid:durableId="1644460229">
    <w:abstractNumId w:val="4"/>
  </w:num>
  <w:num w:numId="11" w16cid:durableId="1232930101">
    <w:abstractNumId w:val="8"/>
  </w:num>
  <w:num w:numId="12" w16cid:durableId="1948348689">
    <w:abstractNumId w:val="8"/>
  </w:num>
  <w:num w:numId="13" w16cid:durableId="1424186505">
    <w:abstractNumId w:val="3"/>
  </w:num>
  <w:num w:numId="14" w16cid:durableId="708918660">
    <w:abstractNumId w:val="3"/>
  </w:num>
  <w:num w:numId="15" w16cid:durableId="22637436">
    <w:abstractNumId w:val="2"/>
  </w:num>
  <w:num w:numId="16" w16cid:durableId="1110930524">
    <w:abstractNumId w:val="2"/>
  </w:num>
  <w:num w:numId="17" w16cid:durableId="1522207787">
    <w:abstractNumId w:val="1"/>
  </w:num>
  <w:num w:numId="18" w16cid:durableId="88963352">
    <w:abstractNumId w:val="1"/>
  </w:num>
  <w:num w:numId="19" w16cid:durableId="2075084765">
    <w:abstractNumId w:val="0"/>
  </w:num>
  <w:num w:numId="20" w16cid:durableId="695278675">
    <w:abstractNumId w:val="0"/>
  </w:num>
  <w:num w:numId="21" w16cid:durableId="1456370926">
    <w:abstractNumId w:val="9"/>
  </w:num>
  <w:num w:numId="22" w16cid:durableId="295140246">
    <w:abstractNumId w:val="7"/>
  </w:num>
  <w:num w:numId="23" w16cid:durableId="2128349647">
    <w:abstractNumId w:val="6"/>
  </w:num>
  <w:num w:numId="24" w16cid:durableId="744450479">
    <w:abstractNumId w:val="5"/>
  </w:num>
  <w:num w:numId="25" w16cid:durableId="1565068621">
    <w:abstractNumId w:val="4"/>
  </w:num>
  <w:num w:numId="26" w16cid:durableId="745690141">
    <w:abstractNumId w:val="8"/>
  </w:num>
  <w:num w:numId="27" w16cid:durableId="1431974042">
    <w:abstractNumId w:val="3"/>
  </w:num>
  <w:num w:numId="28" w16cid:durableId="1620917332">
    <w:abstractNumId w:val="2"/>
  </w:num>
  <w:num w:numId="29" w16cid:durableId="1773890928">
    <w:abstractNumId w:val="1"/>
  </w:num>
  <w:num w:numId="30" w16cid:durableId="311300233">
    <w:abstractNumId w:val="0"/>
  </w:num>
  <w:num w:numId="31" w16cid:durableId="180704175">
    <w:abstractNumId w:val="9"/>
  </w:num>
  <w:num w:numId="32" w16cid:durableId="176118888">
    <w:abstractNumId w:val="7"/>
  </w:num>
  <w:num w:numId="33" w16cid:durableId="17702812">
    <w:abstractNumId w:val="6"/>
  </w:num>
  <w:num w:numId="34" w16cid:durableId="929703353">
    <w:abstractNumId w:val="5"/>
  </w:num>
  <w:num w:numId="35" w16cid:durableId="1247878716">
    <w:abstractNumId w:val="4"/>
  </w:num>
  <w:num w:numId="36" w16cid:durableId="969822700">
    <w:abstractNumId w:val="8"/>
  </w:num>
  <w:num w:numId="37" w16cid:durableId="882712390">
    <w:abstractNumId w:val="3"/>
  </w:num>
  <w:num w:numId="38" w16cid:durableId="1019936857">
    <w:abstractNumId w:val="2"/>
  </w:num>
  <w:num w:numId="39" w16cid:durableId="1631863347">
    <w:abstractNumId w:val="1"/>
  </w:num>
  <w:num w:numId="40" w16cid:durableId="1311515925">
    <w:abstractNumId w:val="0"/>
  </w:num>
  <w:num w:numId="41" w16cid:durableId="1373192883">
    <w:abstractNumId w:val="10"/>
  </w:num>
  <w:num w:numId="42" w16cid:durableId="651982526">
    <w:abstractNumId w:val="10"/>
  </w:num>
  <w:num w:numId="43" w16cid:durableId="2031373339">
    <w:abstractNumId w:val="10"/>
  </w:num>
  <w:num w:numId="44" w16cid:durableId="1171407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, 0223, 0232, 0233 és 0234/2026"/>
    <w:docVar w:name="dvlangue" w:val="HU"/>
    <w:docVar w:name="dvnumam" w:val="0"/>
    <w:docVar w:name="dvpe" w:val="783.251"/>
    <w:docVar w:name="dvtitre" w:val="Az Európai Parlament 2026. április 30-i állásfoglalása az „etnikai egységről és haladásról” szóló új kínai törvényről és az etnikai identitások fokozódó elnyomásáról(2026/2703(RSP))"/>
  </w:docVars>
  <w:rsids>
    <w:rsidRoot w:val="00BC25BE"/>
    <w:rsid w:val="00002272"/>
    <w:rsid w:val="00054EFC"/>
    <w:rsid w:val="00064002"/>
    <w:rsid w:val="000677B9"/>
    <w:rsid w:val="000831BA"/>
    <w:rsid w:val="00087FB9"/>
    <w:rsid w:val="000A42CC"/>
    <w:rsid w:val="000E7DD9"/>
    <w:rsid w:val="0010095E"/>
    <w:rsid w:val="00125B37"/>
    <w:rsid w:val="00187494"/>
    <w:rsid w:val="001B08A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6C5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AE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25BE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A1F1A"/>
  <w15:chartTrackingRefBased/>
  <w15:docId w15:val="{5ABBAD91-DB53-438E-82BE-36D14837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54EFC"/>
    <w:pPr>
      <w:spacing w:after="240"/>
      <w:ind w:left="567" w:hanging="567"/>
    </w:pPr>
  </w:style>
  <w:style w:type="paragraph" w:customStyle="1" w:styleId="EPComma">
    <w:name w:val="EPComma"/>
    <w:basedOn w:val="Normal"/>
    <w:rsid w:val="00054EF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54EFC"/>
    <w:rPr>
      <w:sz w:val="24"/>
      <w:lang w:val="hu-HU"/>
    </w:rPr>
  </w:style>
  <w:style w:type="paragraph" w:styleId="Revision">
    <w:name w:val="Revision"/>
    <w:hidden/>
    <w:uiPriority w:val="99"/>
    <w:semiHidden/>
    <w:rsid w:val="001B08A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530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ILLY_D_relec</dc:creator>
  <cp:keywords/>
  <cp:lastModifiedBy>ILLY_D_relec</cp:lastModifiedBy>
  <cp:revision>2</cp:revision>
  <cp:lastPrinted>2004-11-19T15:42:00Z</cp:lastPrinted>
  <dcterms:created xsi:type="dcterms:W3CDTF">2026-04-30T11:56:00Z</dcterms:created>
  <dcterms:modified xsi:type="dcterms:W3CDTF">2026-04-30T11:56:00Z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B10-0216, 0223, 0232, 0233 és 0234/2026</vt:lpwstr>
  </property>
  <property fmtid="{D5CDD505-2E9C-101B-9397-08002B2CF9AE}" pid="4" name="&lt;Type&gt;">
    <vt:lpwstr>RR</vt:lpwstr>
  </property>
</Properties>
</file>