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44FF" w14:paraId="3B53F95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4BD960" w14:textId="77777777" w:rsidR="00751A4A" w:rsidRPr="006844FF" w:rsidRDefault="00856EF1" w:rsidP="0010095E">
            <w:pPr>
              <w:pStyle w:val="EPName"/>
            </w:pPr>
            <w:r w:rsidRPr="006844FF">
              <w:t>Parlamento europeo</w:t>
            </w:r>
          </w:p>
          <w:p w14:paraId="74DF037A" w14:textId="77777777" w:rsidR="00751A4A" w:rsidRPr="006844F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844FF">
              <w:t>2024</w:t>
            </w:r>
            <w:r w:rsidR="00817416" w:rsidRPr="006844FF">
              <w:t>-202</w:t>
            </w:r>
            <w:r w:rsidRPr="006844FF">
              <w:t>9</w:t>
            </w:r>
          </w:p>
        </w:tc>
        <w:tc>
          <w:tcPr>
            <w:tcW w:w="2268" w:type="dxa"/>
            <w:shd w:val="clear" w:color="auto" w:fill="auto"/>
          </w:tcPr>
          <w:p w14:paraId="2A9543BA" w14:textId="77777777" w:rsidR="00751A4A" w:rsidRPr="006844FF" w:rsidRDefault="00187494" w:rsidP="0010095E">
            <w:pPr>
              <w:pStyle w:val="EPLogo"/>
            </w:pPr>
            <w:r w:rsidRPr="006844FF">
              <w:rPr>
                <w:noProof/>
                <w:lang w:eastAsia="ja-JP"/>
              </w:rPr>
              <w:drawing>
                <wp:inline distT="0" distB="0" distL="0" distR="0" wp14:anchorId="0B123C16" wp14:editId="5597C79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9105A7" w14:textId="77777777" w:rsidR="00D058B8" w:rsidRPr="006844FF" w:rsidRDefault="00D058B8" w:rsidP="004C5D52">
      <w:pPr>
        <w:pStyle w:val="LineTop"/>
      </w:pPr>
    </w:p>
    <w:p w14:paraId="19928DFE" w14:textId="77777777" w:rsidR="00680577" w:rsidRPr="006844FF" w:rsidRDefault="00856EF1" w:rsidP="00680577">
      <w:pPr>
        <w:pStyle w:val="EPBodyTA1"/>
      </w:pPr>
      <w:r w:rsidRPr="006844FF">
        <w:t>TESTI APPROVATI</w:t>
      </w:r>
    </w:p>
    <w:p w14:paraId="265E1733" w14:textId="77777777" w:rsidR="00D058B8" w:rsidRPr="006844FF" w:rsidRDefault="00D058B8" w:rsidP="00D058B8">
      <w:pPr>
        <w:pStyle w:val="LineBottom"/>
      </w:pPr>
    </w:p>
    <w:p w14:paraId="6F147FB2" w14:textId="4066BDBB" w:rsidR="00856EF1" w:rsidRPr="006844FF" w:rsidRDefault="00856EF1" w:rsidP="00856EF1">
      <w:pPr>
        <w:pStyle w:val="ATHeading1"/>
      </w:pPr>
      <w:bookmarkStart w:id="0" w:name="TANumber"/>
      <w:r w:rsidRPr="006844FF">
        <w:t>P10_TA(2026)0</w:t>
      </w:r>
      <w:bookmarkEnd w:id="0"/>
      <w:r w:rsidR="006844FF" w:rsidRPr="006844FF">
        <w:t>15</w:t>
      </w:r>
      <w:r w:rsidR="0062747F">
        <w:t>2</w:t>
      </w:r>
    </w:p>
    <w:p w14:paraId="59B5FF8E" w14:textId="77777777" w:rsidR="00856EF1" w:rsidRPr="006844FF" w:rsidRDefault="00856EF1" w:rsidP="00856EF1">
      <w:pPr>
        <w:pStyle w:val="ATHeading2"/>
      </w:pPr>
      <w:bookmarkStart w:id="1" w:name="title"/>
      <w:r w:rsidRPr="006844FF">
        <w:t>Nuova legge cinese sull'"unità etnica e il progresso" e recrudescenza della repressione delle identità etniche</w:t>
      </w:r>
      <w:bookmarkEnd w:id="1"/>
    </w:p>
    <w:p w14:paraId="235D8889" w14:textId="187BE2CD" w:rsidR="00856EF1" w:rsidRPr="006844FF" w:rsidRDefault="00856EF1" w:rsidP="00856EF1">
      <w:pPr>
        <w:rPr>
          <w:i/>
          <w:vanish/>
        </w:rPr>
      </w:pPr>
      <w:r w:rsidRPr="006844FF">
        <w:rPr>
          <w:i/>
        </w:rPr>
        <w:fldChar w:fldCharType="begin"/>
      </w:r>
      <w:r w:rsidRPr="006844FF">
        <w:rPr>
          <w:i/>
        </w:rPr>
        <w:instrText xml:space="preserve"> TC"(</w:instrText>
      </w:r>
      <w:bookmarkStart w:id="2" w:name="DocNumber"/>
      <w:r w:rsidRPr="006844FF">
        <w:rPr>
          <w:i/>
        </w:rPr>
        <w:instrText>B10-0216</w:instrText>
      </w:r>
      <w:r w:rsidR="00677EE1" w:rsidRPr="006844FF">
        <w:rPr>
          <w:i/>
        </w:rPr>
        <w:instrText>, 0223, 0232, 0233 e 0234</w:instrText>
      </w:r>
      <w:r w:rsidRPr="006844FF">
        <w:rPr>
          <w:i/>
        </w:rPr>
        <w:instrText>/2026</w:instrText>
      </w:r>
      <w:bookmarkEnd w:id="2"/>
      <w:r w:rsidRPr="006844FF">
        <w:rPr>
          <w:i/>
        </w:rPr>
        <w:instrText xml:space="preserve">)"\l3 \n&gt; \* MERGEFORMAT </w:instrText>
      </w:r>
      <w:r w:rsidRPr="006844FF">
        <w:rPr>
          <w:i/>
        </w:rPr>
        <w:fldChar w:fldCharType="end"/>
      </w:r>
    </w:p>
    <w:p w14:paraId="6143F66A" w14:textId="77777777" w:rsidR="00856EF1" w:rsidRPr="006844FF" w:rsidRDefault="00856EF1" w:rsidP="00856EF1">
      <w:pPr>
        <w:rPr>
          <w:vanish/>
        </w:rPr>
      </w:pPr>
      <w:bookmarkStart w:id="3" w:name="PE"/>
      <w:r w:rsidRPr="006844FF">
        <w:rPr>
          <w:vanish/>
        </w:rPr>
        <w:t>PE783.251</w:t>
      </w:r>
      <w:bookmarkEnd w:id="3"/>
    </w:p>
    <w:p w14:paraId="088AEA1D" w14:textId="7E47080F" w:rsidR="00856EF1" w:rsidRPr="006844FF" w:rsidRDefault="00856EF1" w:rsidP="00677EE1">
      <w:pPr>
        <w:pStyle w:val="ATHeading3"/>
      </w:pPr>
      <w:bookmarkStart w:id="4" w:name="Sujet"/>
      <w:r w:rsidRPr="006844FF">
        <w:t>Risoluzione del Parlamento europeo del 30 aprile 2026 sulla nuova legge cinese sull'"unità etnica e il progresso" e sulla recrudescenza della repressione delle identità etniche</w:t>
      </w:r>
      <w:bookmarkEnd w:id="4"/>
      <w:r w:rsidRPr="006844FF">
        <w:t xml:space="preserve"> </w:t>
      </w:r>
      <w:bookmarkStart w:id="5" w:name="References"/>
      <w:r w:rsidRPr="006844FF">
        <w:t>(2026/2703(RSP))</w:t>
      </w:r>
      <w:bookmarkEnd w:id="5"/>
    </w:p>
    <w:p w14:paraId="1A63F345" w14:textId="77777777" w:rsidR="00A03E1E" w:rsidRPr="006844FF" w:rsidRDefault="00A03E1E" w:rsidP="00A03E1E">
      <w:pPr>
        <w:pStyle w:val="EPComma"/>
      </w:pPr>
      <w:bookmarkStart w:id="6" w:name="TextBodyBegin"/>
      <w:bookmarkEnd w:id="6"/>
      <w:r w:rsidRPr="006844FF">
        <w:rPr>
          <w:i/>
          <w:iCs/>
        </w:rPr>
        <w:t>Il Parlamento europeo,</w:t>
      </w:r>
    </w:p>
    <w:p w14:paraId="07786A33" w14:textId="77777777" w:rsidR="00A03E1E" w:rsidRPr="006844FF" w:rsidRDefault="00A03E1E" w:rsidP="00A03E1E">
      <w:pPr>
        <w:pStyle w:val="NormalHanging12a"/>
      </w:pPr>
      <w:r w:rsidRPr="006844FF">
        <w:t>–</w:t>
      </w:r>
      <w:r w:rsidRPr="006844FF">
        <w:tab/>
        <w:t>visti l'articolo 150, paragrafo 5, e l'articolo 136, paragrafo 4, del suo regolamento,</w:t>
      </w:r>
    </w:p>
    <w:p w14:paraId="318EC89F" w14:textId="77777777" w:rsidR="00A03E1E" w:rsidRPr="006844FF" w:rsidRDefault="00A03E1E" w:rsidP="00A03E1E">
      <w:pPr>
        <w:pStyle w:val="NormalHanging12a"/>
        <w:rPr>
          <w:bCs/>
        </w:rPr>
      </w:pPr>
      <w:r w:rsidRPr="006844FF">
        <w:t>A.</w:t>
      </w:r>
      <w:r w:rsidRPr="006844FF">
        <w:tab/>
        <w:t>considerando che la protezione dell'identità nazionale o etnica, culturale, religiosa e linguistica delle minoranze è ancorata al diritto internazionale consuetudinario, come indicato nella dichiarazione delle Nazioni Unite sui diritti delle persone appartenenti a minoranze nazionali o etniche, religiose e linguistiche; che tutti gli Stati sono tenuti a rispettare tali norme;</w:t>
      </w:r>
    </w:p>
    <w:p w14:paraId="4DB3480A" w14:textId="77777777" w:rsidR="00A03E1E" w:rsidRPr="006844FF" w:rsidRDefault="00A03E1E" w:rsidP="00A03E1E">
      <w:pPr>
        <w:pStyle w:val="NormalHanging12a"/>
      </w:pPr>
      <w:r w:rsidRPr="006844FF">
        <w:t>B.</w:t>
      </w:r>
      <w:r w:rsidRPr="006844FF">
        <w:tab/>
        <w:t xml:space="preserve">considerando che il 12 marzo 2026 l'Assemblea nazionale del popolo cinese ha adottato la legge sulla promozione dell'unità etnica e del progresso, che integra ulteriormente l'ideologia dello Stato e dà priorità al mandarino nell'istruzione, nella vita pubblica e nei media, e intensifica la repressione e l'assimilazione istituzionalizzate delle identità delle minoranze etniche, tra cui quella tibetana, </w:t>
      </w:r>
      <w:proofErr w:type="spellStart"/>
      <w:r w:rsidRPr="006844FF">
        <w:t>hui</w:t>
      </w:r>
      <w:proofErr w:type="spellEnd"/>
      <w:r w:rsidRPr="006844FF">
        <w:t>, uigura, manciù e mongola; che tale legge si discosta in modo significativo dalla legge cinese del 1984 sull'autonomia etnica regionale;</w:t>
      </w:r>
    </w:p>
    <w:p w14:paraId="71DF7E06" w14:textId="77777777" w:rsidR="00A03E1E" w:rsidRPr="006844FF" w:rsidRDefault="00A03E1E" w:rsidP="00A03E1E">
      <w:pPr>
        <w:pStyle w:val="NormalHanging12a"/>
      </w:pPr>
      <w:r w:rsidRPr="006844FF">
        <w:t>C.</w:t>
      </w:r>
      <w:r w:rsidRPr="006844FF">
        <w:tab/>
        <w:t>considerando che la portata extraterritoriale della legge consente di perseguire persone all'estero che si ritiene compromettano l'"unità etnica" della Cina;</w:t>
      </w:r>
    </w:p>
    <w:p w14:paraId="25F29694" w14:textId="77777777" w:rsidR="00A03E1E" w:rsidRPr="006844FF" w:rsidRDefault="00A03E1E" w:rsidP="00A03E1E">
      <w:pPr>
        <w:pStyle w:val="NormalHanging12a"/>
      </w:pPr>
      <w:r w:rsidRPr="006844FF">
        <w:t>D.</w:t>
      </w:r>
      <w:r w:rsidRPr="006844FF">
        <w:tab/>
        <w:t>considerando che il deterioramento della situazione dei diritti umani in Cina ha messo a dura prova le relazioni del paese con l'UE; che il rispetto dei diritti umani, della democrazia e dello Stato di diritto dovrebbe essere al centro delle relazioni dell'UE con la Cina;</w:t>
      </w:r>
    </w:p>
    <w:p w14:paraId="668782E8" w14:textId="77777777" w:rsidR="00A03E1E" w:rsidRPr="006844FF" w:rsidRDefault="00A03E1E" w:rsidP="00A03E1E">
      <w:pPr>
        <w:pStyle w:val="NormalHanging12a"/>
      </w:pPr>
      <w:r w:rsidRPr="006844FF">
        <w:t>1.</w:t>
      </w:r>
      <w:r w:rsidRPr="006844FF">
        <w:tab/>
        <w:t>condanna fermamente le politiche repressive di assimilazione della Cina e le conseguenti violazioni dei diritti umani universali, anche in Tibet, nello Xinjiang e nella Mongolia interna;</w:t>
      </w:r>
    </w:p>
    <w:p w14:paraId="77B5E1A2" w14:textId="77777777" w:rsidR="00A03E1E" w:rsidRPr="006844FF" w:rsidRDefault="00A03E1E" w:rsidP="00A03E1E">
      <w:pPr>
        <w:pStyle w:val="NormalHanging12a"/>
      </w:pPr>
      <w:r w:rsidRPr="006844FF">
        <w:t>2.</w:t>
      </w:r>
      <w:r w:rsidRPr="006844FF">
        <w:tab/>
        <w:t xml:space="preserve">esprime profonda preoccupazione per l'adozione della legge sulla promozione dell'unità etnica e del progresso, che promuove apertamente le politiche di assimilazione e limita le libertà culturali, religiose e linguistiche di vari gruppi all'interno e all'esterno della </w:t>
      </w:r>
      <w:r w:rsidRPr="006844FF">
        <w:lastRenderedPageBreak/>
        <w:t>Cina;</w:t>
      </w:r>
    </w:p>
    <w:p w14:paraId="179DFE83" w14:textId="77777777" w:rsidR="00A03E1E" w:rsidRPr="006844FF" w:rsidRDefault="00A03E1E" w:rsidP="00A03E1E">
      <w:pPr>
        <w:pStyle w:val="NormalHanging12a"/>
      </w:pPr>
      <w:r w:rsidRPr="006844FF">
        <w:t>3.</w:t>
      </w:r>
      <w:r w:rsidRPr="006844FF">
        <w:tab/>
        <w:t>esorta la Cina ad abrogare tale legge e a rispettare pertanto i suoi obblighi a norma del diritto internazionale in materia di non discriminazione e di protezione e promozione delle minoranze etniche e religiose;</w:t>
      </w:r>
    </w:p>
    <w:p w14:paraId="2339A868" w14:textId="77777777" w:rsidR="00A03E1E" w:rsidRPr="006844FF" w:rsidRDefault="00A03E1E" w:rsidP="00A03E1E">
      <w:pPr>
        <w:pStyle w:val="NormalHanging12a"/>
        <w:rPr>
          <w:bCs/>
        </w:rPr>
      </w:pPr>
      <w:r w:rsidRPr="006844FF">
        <w:t>4.</w:t>
      </w:r>
      <w:r w:rsidRPr="006844FF">
        <w:tab/>
        <w:t>invita il Consiglio ad attivare il regime globale di sanzioni dell'UE in materia di diritti umani nei confronti dei funzionari e delle entità responsabili dell'elaborazione e dell'attuazione di tale legge;</w:t>
      </w:r>
    </w:p>
    <w:p w14:paraId="75FE55D3" w14:textId="77777777" w:rsidR="00A03E1E" w:rsidRPr="006844FF" w:rsidRDefault="00A03E1E" w:rsidP="00A03E1E">
      <w:pPr>
        <w:pStyle w:val="NormalHanging12a"/>
      </w:pPr>
      <w:r w:rsidRPr="006844FF">
        <w:t>5.</w:t>
      </w:r>
      <w:r w:rsidRPr="006844FF">
        <w:tab/>
        <w:t>deplora le disposizioni extraterritoriali della legge, che costituiscono una repressione transnazionale; esorta tutti gli Stati membri dell'UE a sospendere i trattati di estradizione con la Cina per proteggere le persone perseguitate residenti nell'UE dai rischi di repressione transnazionale resi possibili in virtù di tale legge;</w:t>
      </w:r>
    </w:p>
    <w:p w14:paraId="392F7AC3" w14:textId="77777777" w:rsidR="00A03E1E" w:rsidRPr="006844FF" w:rsidRDefault="00A03E1E" w:rsidP="00A03E1E">
      <w:pPr>
        <w:pStyle w:val="NormalHanging12a"/>
      </w:pPr>
      <w:r w:rsidRPr="006844FF">
        <w:t>6.</w:t>
      </w:r>
      <w:r w:rsidRPr="006844FF">
        <w:tab/>
        <w:t>respinge fermamente i tentativi delle autorità cinesi di interferire nel riconoscimento e nell'educazione dei leader spirituali buddisti tibetani; sottolinea che la successione del Dalai Lama è una questione puramente religiosa, che deve essere determinata esclusivamente in conformità alle tradizioni buddiste tibetane;</w:t>
      </w:r>
    </w:p>
    <w:p w14:paraId="6D854F19" w14:textId="77777777" w:rsidR="00A03E1E" w:rsidRPr="006844FF" w:rsidRDefault="00A03E1E" w:rsidP="00A03E1E">
      <w:pPr>
        <w:pStyle w:val="NormalHanging12a"/>
      </w:pPr>
      <w:r w:rsidRPr="006844FF">
        <w:t>7.</w:t>
      </w:r>
      <w:r w:rsidRPr="006844FF">
        <w:tab/>
        <w:t xml:space="preserve">chiede il rilascio immediato dei prigionieri politici cinesi, tra cui figurano </w:t>
      </w:r>
      <w:proofErr w:type="spellStart"/>
      <w:r w:rsidRPr="006844FF">
        <w:t>Choktrul</w:t>
      </w:r>
      <w:proofErr w:type="spellEnd"/>
      <w:r w:rsidRPr="006844FF">
        <w:t xml:space="preserve"> Dorje </w:t>
      </w:r>
      <w:proofErr w:type="spellStart"/>
      <w:r w:rsidRPr="006844FF">
        <w:t>Ten</w:t>
      </w:r>
      <w:proofErr w:type="spellEnd"/>
      <w:r w:rsidRPr="006844FF">
        <w:t xml:space="preserve"> </w:t>
      </w:r>
      <w:proofErr w:type="spellStart"/>
      <w:r w:rsidRPr="006844FF">
        <w:t>Rinpoche</w:t>
      </w:r>
      <w:proofErr w:type="spellEnd"/>
      <w:r w:rsidRPr="006844FF">
        <w:t xml:space="preserve">, </w:t>
      </w:r>
      <w:proofErr w:type="spellStart"/>
      <w:r w:rsidRPr="006844FF">
        <w:t>Palden</w:t>
      </w:r>
      <w:proofErr w:type="spellEnd"/>
      <w:r w:rsidRPr="006844FF">
        <w:t xml:space="preserve"> </w:t>
      </w:r>
      <w:proofErr w:type="spellStart"/>
      <w:r w:rsidRPr="006844FF">
        <w:t>Yeshi</w:t>
      </w:r>
      <w:proofErr w:type="spellEnd"/>
      <w:r w:rsidRPr="006844FF">
        <w:t xml:space="preserve">, Ilham </w:t>
      </w:r>
      <w:proofErr w:type="spellStart"/>
      <w:r w:rsidRPr="006844FF">
        <w:t>Tohti</w:t>
      </w:r>
      <w:proofErr w:type="spellEnd"/>
      <w:r w:rsidRPr="006844FF">
        <w:t xml:space="preserve">, vincitore del premio Sacharov, </w:t>
      </w:r>
      <w:proofErr w:type="spellStart"/>
      <w:r w:rsidRPr="006844FF">
        <w:t>Gedhun</w:t>
      </w:r>
      <w:proofErr w:type="spellEnd"/>
      <w:r w:rsidRPr="006844FF">
        <w:t xml:space="preserve"> </w:t>
      </w:r>
      <w:proofErr w:type="spellStart"/>
      <w:r w:rsidRPr="006844FF">
        <w:t>Choekyi</w:t>
      </w:r>
      <w:proofErr w:type="spellEnd"/>
      <w:r w:rsidRPr="006844FF">
        <w:t xml:space="preserve"> </w:t>
      </w:r>
      <w:proofErr w:type="spellStart"/>
      <w:r w:rsidRPr="006844FF">
        <w:t>Nyima</w:t>
      </w:r>
      <w:proofErr w:type="spellEnd"/>
      <w:r w:rsidRPr="006844FF">
        <w:t xml:space="preserve">, undicesimo Panchen Lama, e l'attivista mongolo </w:t>
      </w:r>
      <w:proofErr w:type="spellStart"/>
      <w:r w:rsidRPr="006844FF">
        <w:t>Hada</w:t>
      </w:r>
      <w:proofErr w:type="spellEnd"/>
      <w:r w:rsidRPr="006844FF">
        <w:t>; invita il Servizio europeo per l'azione esterna, la Commissione e gli Stati membri a continuare a trattare i loro casi con la Cina;</w:t>
      </w:r>
    </w:p>
    <w:p w14:paraId="2E385E21" w14:textId="77777777" w:rsidR="00A03E1E" w:rsidRPr="006844FF" w:rsidRDefault="00A03E1E" w:rsidP="00A03E1E">
      <w:pPr>
        <w:pStyle w:val="NormalHanging12a"/>
      </w:pPr>
      <w:r w:rsidRPr="006844FF">
        <w:t>8.</w:t>
      </w:r>
      <w:r w:rsidRPr="006844FF">
        <w:tab/>
        <w:t>invita l'Alto commissario delle Nazioni Unite per i diritti umani a pubblicare una relazione aggiornata sulla situazione in Cina, che si occupi in particolare della legge del 2026;</w:t>
      </w:r>
    </w:p>
    <w:p w14:paraId="437FEF21" w14:textId="77777777" w:rsidR="00A03E1E" w:rsidRPr="006844FF" w:rsidRDefault="00A03E1E" w:rsidP="00A03E1E">
      <w:pPr>
        <w:pStyle w:val="NormalHanging12a"/>
      </w:pPr>
      <w:r w:rsidRPr="006844FF">
        <w:t>9.</w:t>
      </w:r>
      <w:r w:rsidRPr="006844FF">
        <w:tab/>
        <w:t>ritiene che l'introduzione e l'applicazione di tale legge comporteranno gravi conseguenze per le relazioni tra l'UE e la Cina;</w:t>
      </w:r>
    </w:p>
    <w:p w14:paraId="52A391B5" w14:textId="060D1BD1" w:rsidR="00E365E1" w:rsidRPr="006844FF" w:rsidRDefault="00A03E1E" w:rsidP="00677EE1">
      <w:pPr>
        <w:pStyle w:val="NormalHanging12a"/>
      </w:pPr>
      <w:r w:rsidRPr="006844FF">
        <w:t>10.</w:t>
      </w:r>
      <w:r w:rsidRPr="006844FF">
        <w:tab/>
        <w:t>incarica la sua Presidente di trasmettere la presente risoluzione agli Stati membri e alle altre istituzioni dell'UE, al governo cinese, alle Nazioni Unite e all'amministrazione centrale tibetana.</w:t>
      </w:r>
    </w:p>
    <w:sectPr w:rsidR="00E365E1" w:rsidRPr="006844FF" w:rsidSect="00D0418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185EEF" w14:textId="77777777" w:rsidR="00856EF1" w:rsidRPr="00D04184" w:rsidRDefault="00856EF1">
      <w:r w:rsidRPr="00D04184">
        <w:separator/>
      </w:r>
    </w:p>
  </w:endnote>
  <w:endnote w:type="continuationSeparator" w:id="0">
    <w:p w14:paraId="28084D68" w14:textId="77777777" w:rsidR="00856EF1" w:rsidRPr="00D04184" w:rsidRDefault="00856EF1">
      <w:r w:rsidRPr="00D0418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1F2B72" w14:textId="77777777" w:rsidR="00064002" w:rsidRPr="00D0418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BDCCE" w14:textId="77777777" w:rsidR="00064002" w:rsidRPr="00D0418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404AD" w14:textId="77777777" w:rsidR="00064002" w:rsidRPr="00D0418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7563C7" w14:textId="77777777" w:rsidR="00856EF1" w:rsidRPr="00D04184" w:rsidRDefault="00856EF1">
      <w:r w:rsidRPr="00D04184">
        <w:separator/>
      </w:r>
    </w:p>
  </w:footnote>
  <w:footnote w:type="continuationSeparator" w:id="0">
    <w:p w14:paraId="2672F47B" w14:textId="77777777" w:rsidR="00856EF1" w:rsidRPr="00D04184" w:rsidRDefault="00856EF1">
      <w:r w:rsidRPr="00D0418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D729C" w14:textId="77777777" w:rsidR="00064002" w:rsidRPr="00D0418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D1F699" w14:textId="77777777" w:rsidR="00064002" w:rsidRPr="00D0418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DDA7C" w14:textId="77777777" w:rsidR="00064002" w:rsidRPr="00D0418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688797553">
    <w:abstractNumId w:val="9"/>
  </w:num>
  <w:num w:numId="2" w16cid:durableId="1128662978">
    <w:abstractNumId w:val="9"/>
  </w:num>
  <w:num w:numId="3" w16cid:durableId="350641939">
    <w:abstractNumId w:val="7"/>
  </w:num>
  <w:num w:numId="4" w16cid:durableId="533077209">
    <w:abstractNumId w:val="7"/>
  </w:num>
  <w:num w:numId="5" w16cid:durableId="396439438">
    <w:abstractNumId w:val="6"/>
  </w:num>
  <w:num w:numId="6" w16cid:durableId="508298805">
    <w:abstractNumId w:val="6"/>
  </w:num>
  <w:num w:numId="7" w16cid:durableId="1601137009">
    <w:abstractNumId w:val="5"/>
  </w:num>
  <w:num w:numId="8" w16cid:durableId="1312098514">
    <w:abstractNumId w:val="5"/>
  </w:num>
  <w:num w:numId="9" w16cid:durableId="2030330208">
    <w:abstractNumId w:val="4"/>
  </w:num>
  <w:num w:numId="10" w16cid:durableId="246883586">
    <w:abstractNumId w:val="4"/>
  </w:num>
  <w:num w:numId="11" w16cid:durableId="1227957491">
    <w:abstractNumId w:val="8"/>
  </w:num>
  <w:num w:numId="12" w16cid:durableId="484198948">
    <w:abstractNumId w:val="8"/>
  </w:num>
  <w:num w:numId="13" w16cid:durableId="2038122651">
    <w:abstractNumId w:val="3"/>
  </w:num>
  <w:num w:numId="14" w16cid:durableId="2132361277">
    <w:abstractNumId w:val="3"/>
  </w:num>
  <w:num w:numId="15" w16cid:durableId="362482282">
    <w:abstractNumId w:val="2"/>
  </w:num>
  <w:num w:numId="16" w16cid:durableId="659382111">
    <w:abstractNumId w:val="2"/>
  </w:num>
  <w:num w:numId="17" w16cid:durableId="176116982">
    <w:abstractNumId w:val="1"/>
  </w:num>
  <w:num w:numId="18" w16cid:durableId="704061735">
    <w:abstractNumId w:val="1"/>
  </w:num>
  <w:num w:numId="19" w16cid:durableId="643580654">
    <w:abstractNumId w:val="0"/>
  </w:num>
  <w:num w:numId="20" w16cid:durableId="652682855">
    <w:abstractNumId w:val="0"/>
  </w:num>
  <w:num w:numId="21" w16cid:durableId="925651740">
    <w:abstractNumId w:val="9"/>
  </w:num>
  <w:num w:numId="22" w16cid:durableId="378827383">
    <w:abstractNumId w:val="7"/>
  </w:num>
  <w:num w:numId="23" w16cid:durableId="630792765">
    <w:abstractNumId w:val="6"/>
  </w:num>
  <w:num w:numId="24" w16cid:durableId="472675460">
    <w:abstractNumId w:val="5"/>
  </w:num>
  <w:num w:numId="25" w16cid:durableId="419572167">
    <w:abstractNumId w:val="4"/>
  </w:num>
  <w:num w:numId="26" w16cid:durableId="888612516">
    <w:abstractNumId w:val="8"/>
  </w:num>
  <w:num w:numId="27" w16cid:durableId="2135755412">
    <w:abstractNumId w:val="3"/>
  </w:num>
  <w:num w:numId="28" w16cid:durableId="1386445609">
    <w:abstractNumId w:val="2"/>
  </w:num>
  <w:num w:numId="29" w16cid:durableId="1911186056">
    <w:abstractNumId w:val="1"/>
  </w:num>
  <w:num w:numId="30" w16cid:durableId="1253271601">
    <w:abstractNumId w:val="0"/>
  </w:num>
  <w:num w:numId="31" w16cid:durableId="963192026">
    <w:abstractNumId w:val="9"/>
  </w:num>
  <w:num w:numId="32" w16cid:durableId="1953243454">
    <w:abstractNumId w:val="7"/>
  </w:num>
  <w:num w:numId="33" w16cid:durableId="50690205">
    <w:abstractNumId w:val="6"/>
  </w:num>
  <w:num w:numId="34" w16cid:durableId="1702780548">
    <w:abstractNumId w:val="5"/>
  </w:num>
  <w:num w:numId="35" w16cid:durableId="223418270">
    <w:abstractNumId w:val="4"/>
  </w:num>
  <w:num w:numId="36" w16cid:durableId="1673218577">
    <w:abstractNumId w:val="8"/>
  </w:num>
  <w:num w:numId="37" w16cid:durableId="234635631">
    <w:abstractNumId w:val="3"/>
  </w:num>
  <w:num w:numId="38" w16cid:durableId="634064494">
    <w:abstractNumId w:val="2"/>
  </w:num>
  <w:num w:numId="39" w16cid:durableId="324746882">
    <w:abstractNumId w:val="1"/>
  </w:num>
  <w:num w:numId="40" w16cid:durableId="1054812320">
    <w:abstractNumId w:val="0"/>
  </w:num>
  <w:num w:numId="41" w16cid:durableId="128717582">
    <w:abstractNumId w:val="10"/>
  </w:num>
  <w:num w:numId="42" w16cid:durableId="1706557948">
    <w:abstractNumId w:val="10"/>
  </w:num>
  <w:num w:numId="43" w16cid:durableId="259724272">
    <w:abstractNumId w:val="10"/>
  </w:num>
  <w:num w:numId="44" w16cid:durableId="5887329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6/2026"/>
    <w:docVar w:name="dvlangue" w:val="IT"/>
    <w:docVar w:name="dvnumam" w:val="0"/>
    <w:docVar w:name="dvpe" w:val="783.251"/>
    <w:docVar w:name="dvtitre" w:val="Risoluzione del Parlamento europeo del 30 aprile 2026 sulla nuova legge cinese sull'&quot;unità etnica e il progresso&quot; e sulla recrudescenza della repressione delle identità etniche(2026/2703(RSP))"/>
  </w:docVars>
  <w:rsids>
    <w:rsidRoot w:val="00856EF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2747F"/>
    <w:rsid w:val="006631B6"/>
    <w:rsid w:val="00677EE1"/>
    <w:rsid w:val="00680577"/>
    <w:rsid w:val="006844FF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6EF1"/>
    <w:rsid w:val="00865F67"/>
    <w:rsid w:val="00881A7B"/>
    <w:rsid w:val="008840E5"/>
    <w:rsid w:val="00887B3E"/>
    <w:rsid w:val="008C2AC6"/>
    <w:rsid w:val="008D11BE"/>
    <w:rsid w:val="00930C23"/>
    <w:rsid w:val="0093193B"/>
    <w:rsid w:val="009509D8"/>
    <w:rsid w:val="00950B64"/>
    <w:rsid w:val="00981893"/>
    <w:rsid w:val="00A03E1E"/>
    <w:rsid w:val="00A1687D"/>
    <w:rsid w:val="00A1777E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4184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868345"/>
  <w15:chartTrackingRefBased/>
  <w15:docId w15:val="{486E9FE4-270D-4FBB-8970-497A6CB9D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A03E1E"/>
    <w:pPr>
      <w:spacing w:after="240"/>
      <w:ind w:left="567" w:hanging="567"/>
    </w:pPr>
  </w:style>
  <w:style w:type="paragraph" w:customStyle="1" w:styleId="EPComma">
    <w:name w:val="EPComma"/>
    <w:basedOn w:val="Normal"/>
    <w:rsid w:val="00A03E1E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A03E1E"/>
    <w:rPr>
      <w:sz w:val="24"/>
      <w:lang w:val="it-IT"/>
    </w:rPr>
  </w:style>
  <w:style w:type="paragraph" w:styleId="Revision">
    <w:name w:val="Revision"/>
    <w:hidden/>
    <w:uiPriority w:val="99"/>
    <w:semiHidden/>
    <w:rsid w:val="00677EE1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612</Words>
  <Characters>3764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AR_rev</dc:creator>
  <cp:keywords/>
  <cp:lastModifiedBy>AR_rev</cp:lastModifiedBy>
  <cp:revision>2</cp:revision>
  <cp:lastPrinted>2004-11-19T15:42:00Z</cp:lastPrinted>
  <dcterms:created xsi:type="dcterms:W3CDTF">2026-04-30T13:21:00Z</dcterms:created>
  <dcterms:modified xsi:type="dcterms:W3CDTF">2026-04-30T13:21:00Z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B10-0216/2026</vt:lpwstr>
  </property>
  <property fmtid="{D5CDD505-2E9C-101B-9397-08002B2CF9AE}" pid="4" name="&lt;Type&gt;">
    <vt:lpwstr>RR</vt:lpwstr>
  </property>
</Properties>
</file>