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0B8" w14:paraId="39D2C3B8" w14:textId="77777777" w:rsidTr="0010095E">
        <w:trPr>
          <w:trHeight w:hRule="exact" w:val="1418"/>
        </w:trPr>
        <w:tc>
          <w:tcPr>
            <w:tcW w:w="6804" w:type="dxa"/>
            <w:shd w:val="clear" w:color="auto" w:fill="auto"/>
            <w:vAlign w:val="center"/>
          </w:tcPr>
          <w:p w14:paraId="36BF4427" w14:textId="2168F0C1" w:rsidR="00751A4A" w:rsidRPr="009270B8" w:rsidRDefault="004A31B2" w:rsidP="0010095E">
            <w:pPr>
              <w:pStyle w:val="EPName"/>
            </w:pPr>
            <w:r w:rsidRPr="009270B8">
              <w:t>Eiropas Parlaments</w:t>
            </w:r>
          </w:p>
          <w:p w14:paraId="62A65A2B" w14:textId="77777777" w:rsidR="00751A4A" w:rsidRPr="009270B8" w:rsidRDefault="005F1B17" w:rsidP="005F1B17">
            <w:pPr>
              <w:pStyle w:val="EPTerm"/>
              <w:rPr>
                <w:rStyle w:val="HideTWBExt"/>
                <w:noProof w:val="0"/>
                <w:vanish w:val="0"/>
                <w:color w:val="auto"/>
              </w:rPr>
            </w:pPr>
            <w:r w:rsidRPr="009270B8">
              <w:t>2024</w:t>
            </w:r>
            <w:r w:rsidR="00817416" w:rsidRPr="009270B8">
              <w:t>-202</w:t>
            </w:r>
            <w:r w:rsidRPr="009270B8">
              <w:t>9</w:t>
            </w:r>
          </w:p>
        </w:tc>
        <w:tc>
          <w:tcPr>
            <w:tcW w:w="2268" w:type="dxa"/>
            <w:shd w:val="clear" w:color="auto" w:fill="auto"/>
          </w:tcPr>
          <w:p w14:paraId="22DE00D6" w14:textId="77777777" w:rsidR="00751A4A" w:rsidRPr="009270B8" w:rsidRDefault="00187494" w:rsidP="0010095E">
            <w:pPr>
              <w:pStyle w:val="EPLogo"/>
            </w:pPr>
            <w:r w:rsidRPr="009270B8">
              <w:rPr>
                <w:noProof/>
                <w:lang w:eastAsia="ja-JP"/>
              </w:rPr>
              <w:drawing>
                <wp:inline distT="0" distB="0" distL="0" distR="0" wp14:anchorId="166969D4" wp14:editId="650DAE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AB499A" w14:textId="77777777" w:rsidR="00D058B8" w:rsidRPr="009270B8" w:rsidRDefault="00D058B8" w:rsidP="004C5D52">
      <w:pPr>
        <w:pStyle w:val="LineTop"/>
      </w:pPr>
    </w:p>
    <w:p w14:paraId="77337807" w14:textId="77777777" w:rsidR="00680577" w:rsidRPr="009270B8" w:rsidRDefault="004A31B2" w:rsidP="00680577">
      <w:pPr>
        <w:pStyle w:val="EPBodyTA1"/>
      </w:pPr>
      <w:r w:rsidRPr="009270B8">
        <w:t>PIEŅEMTIE TEKSTI</w:t>
      </w:r>
    </w:p>
    <w:p w14:paraId="0C9091A4" w14:textId="77777777" w:rsidR="00D058B8" w:rsidRPr="009270B8" w:rsidRDefault="00D058B8" w:rsidP="00D058B8">
      <w:pPr>
        <w:pStyle w:val="LineBottom"/>
      </w:pPr>
    </w:p>
    <w:p w14:paraId="2130060A" w14:textId="0552EDED" w:rsidR="004A31B2" w:rsidRPr="009270B8" w:rsidRDefault="004A31B2" w:rsidP="004A31B2">
      <w:pPr>
        <w:pStyle w:val="ATHeading1"/>
      </w:pPr>
      <w:bookmarkStart w:id="0" w:name="TANumber"/>
      <w:r w:rsidRPr="009270B8">
        <w:t>P10_TA(2026)0</w:t>
      </w:r>
      <w:r w:rsidR="009270B8" w:rsidRPr="009270B8">
        <w:t>152</w:t>
      </w:r>
      <w:bookmarkEnd w:id="0"/>
    </w:p>
    <w:p w14:paraId="4A646FB8" w14:textId="0AAE070C" w:rsidR="004A31B2" w:rsidRPr="009270B8" w:rsidRDefault="00AE3241" w:rsidP="00AE3241">
      <w:pPr>
        <w:pStyle w:val="ATHeading2"/>
      </w:pPr>
      <w:bookmarkStart w:id="1" w:name="title"/>
      <w:r w:rsidRPr="009270B8">
        <w:rPr>
          <w:bCs/>
        </w:rPr>
        <w:t xml:space="preserve">Jauns </w:t>
      </w:r>
      <w:r w:rsidRPr="009270B8">
        <w:rPr>
          <w:rFonts w:hint="eastAsia"/>
          <w:bCs/>
        </w:rPr>
        <w:t>Ķī</w:t>
      </w:r>
      <w:r w:rsidRPr="009270B8">
        <w:rPr>
          <w:bCs/>
        </w:rPr>
        <w:t xml:space="preserve">nas likums par </w:t>
      </w:r>
      <w:r w:rsidRPr="009270B8">
        <w:rPr>
          <w:rFonts w:hint="eastAsia"/>
          <w:bCs/>
        </w:rPr>
        <w:t>“</w:t>
      </w:r>
      <w:r w:rsidRPr="009270B8">
        <w:rPr>
          <w:bCs/>
        </w:rPr>
        <w:t>tautas vienot</w:t>
      </w:r>
      <w:r w:rsidRPr="009270B8">
        <w:rPr>
          <w:rFonts w:hint="eastAsia"/>
          <w:bCs/>
        </w:rPr>
        <w:t>ī</w:t>
      </w:r>
      <w:r w:rsidRPr="009270B8">
        <w:rPr>
          <w:bCs/>
        </w:rPr>
        <w:t>bu un progresu</w:t>
      </w:r>
      <w:r w:rsidRPr="009270B8">
        <w:rPr>
          <w:rFonts w:hint="eastAsia"/>
          <w:bCs/>
        </w:rPr>
        <w:t>”</w:t>
      </w:r>
      <w:r w:rsidRPr="009270B8">
        <w:rPr>
          <w:bCs/>
        </w:rPr>
        <w:t xml:space="preserve"> un etnisko identit</w:t>
      </w:r>
      <w:r w:rsidRPr="009270B8">
        <w:rPr>
          <w:rFonts w:hint="eastAsia"/>
          <w:bCs/>
        </w:rPr>
        <w:t>āš</w:t>
      </w:r>
      <w:r w:rsidRPr="009270B8">
        <w:rPr>
          <w:bCs/>
        </w:rPr>
        <w:t>u intens</w:t>
      </w:r>
      <w:r w:rsidRPr="009270B8">
        <w:rPr>
          <w:rFonts w:hint="eastAsia"/>
          <w:bCs/>
        </w:rPr>
        <w:t>ī</w:t>
      </w:r>
      <w:r w:rsidRPr="009270B8">
        <w:rPr>
          <w:bCs/>
        </w:rPr>
        <w:t>v</w:t>
      </w:r>
      <w:r w:rsidRPr="009270B8">
        <w:rPr>
          <w:rFonts w:hint="eastAsia"/>
          <w:bCs/>
        </w:rPr>
        <w:t>ā</w:t>
      </w:r>
      <w:r w:rsidRPr="009270B8">
        <w:rPr>
          <w:bCs/>
        </w:rPr>
        <w:t>ka apspie</w:t>
      </w:r>
      <w:r w:rsidRPr="009270B8">
        <w:rPr>
          <w:rFonts w:hint="eastAsia"/>
          <w:bCs/>
        </w:rPr>
        <w:t>š</w:t>
      </w:r>
      <w:r w:rsidRPr="009270B8">
        <w:rPr>
          <w:bCs/>
        </w:rPr>
        <w:t>ana</w:t>
      </w:r>
      <w:bookmarkEnd w:id="1"/>
    </w:p>
    <w:p w14:paraId="0A1EC7A1" w14:textId="74F53CA5" w:rsidR="004A31B2" w:rsidRPr="009270B8" w:rsidRDefault="004A31B2" w:rsidP="004A31B2">
      <w:pPr>
        <w:rPr>
          <w:i/>
          <w:vanish/>
        </w:rPr>
      </w:pPr>
      <w:r w:rsidRPr="009270B8">
        <w:rPr>
          <w:i/>
        </w:rPr>
        <w:fldChar w:fldCharType="begin"/>
      </w:r>
      <w:r w:rsidRPr="009270B8">
        <w:rPr>
          <w:i/>
        </w:rPr>
        <w:instrText xml:space="preserve"> TC"(</w:instrText>
      </w:r>
      <w:bookmarkStart w:id="2" w:name="DocNumber"/>
      <w:r w:rsidR="00AE3241" w:rsidRPr="009270B8">
        <w:rPr>
          <w:i/>
        </w:rPr>
        <w:instrText>B10-0216, 0223, 0232, 0233 un 0234/2026</w:instrText>
      </w:r>
      <w:bookmarkEnd w:id="2"/>
      <w:r w:rsidRPr="009270B8">
        <w:rPr>
          <w:i/>
        </w:rPr>
        <w:instrText xml:space="preserve">)"\l3 \n&gt; \* MERGEFORMAT </w:instrText>
      </w:r>
      <w:r w:rsidRPr="009270B8">
        <w:rPr>
          <w:i/>
        </w:rPr>
        <w:fldChar w:fldCharType="end"/>
      </w:r>
    </w:p>
    <w:p w14:paraId="59DD2089" w14:textId="77777777" w:rsidR="004A31B2" w:rsidRPr="009270B8" w:rsidRDefault="004A31B2" w:rsidP="004A31B2">
      <w:pPr>
        <w:rPr>
          <w:vanish/>
        </w:rPr>
      </w:pPr>
      <w:bookmarkStart w:id="3" w:name="PE"/>
      <w:r w:rsidRPr="009270B8">
        <w:rPr>
          <w:vanish/>
        </w:rPr>
        <w:t>PE783.251</w:t>
      </w:r>
      <w:bookmarkEnd w:id="3"/>
    </w:p>
    <w:p w14:paraId="133618B1" w14:textId="5A269431" w:rsidR="004A31B2" w:rsidRPr="009270B8" w:rsidRDefault="004A31B2" w:rsidP="004A31B2">
      <w:pPr>
        <w:pStyle w:val="ATHeading3"/>
      </w:pPr>
      <w:bookmarkStart w:id="4" w:name="Sujet"/>
      <w:r w:rsidRPr="009270B8">
        <w:t xml:space="preserve">Eiropas Parlamenta 2026. gada </w:t>
      </w:r>
      <w:r w:rsidR="00AE3241" w:rsidRPr="009270B8">
        <w:t>30. aprīļa</w:t>
      </w:r>
      <w:r w:rsidRPr="009270B8">
        <w:t xml:space="preserve"> rezolūcija par jauno Ķīnas likumu par “tautas vienotību un progresu” un etnisko identitāšu intensīvāku apspiešanu</w:t>
      </w:r>
      <w:bookmarkEnd w:id="4"/>
      <w:r w:rsidRPr="009270B8">
        <w:t xml:space="preserve"> </w:t>
      </w:r>
      <w:bookmarkStart w:id="5" w:name="References"/>
      <w:r w:rsidRPr="009270B8">
        <w:t>(2026/2703(RSP))</w:t>
      </w:r>
      <w:bookmarkEnd w:id="5"/>
    </w:p>
    <w:p w14:paraId="75349147" w14:textId="77777777" w:rsidR="00F12CCF" w:rsidRPr="009270B8" w:rsidRDefault="00F12CCF" w:rsidP="00F12CCF">
      <w:pPr>
        <w:pStyle w:val="EPComma"/>
      </w:pPr>
      <w:bookmarkStart w:id="6" w:name="TextBodyBegin"/>
      <w:bookmarkEnd w:id="6"/>
      <w:r w:rsidRPr="009270B8">
        <w:rPr>
          <w:i/>
        </w:rPr>
        <w:t>Eiropas Parlaments</w:t>
      </w:r>
      <w:r w:rsidRPr="009270B8">
        <w:t>,</w:t>
      </w:r>
    </w:p>
    <w:p w14:paraId="7CB6533D" w14:textId="77777777" w:rsidR="00F12CCF" w:rsidRPr="009270B8" w:rsidRDefault="00F12CCF" w:rsidP="00F12CCF">
      <w:pPr>
        <w:pStyle w:val="NormalHanging12a"/>
      </w:pPr>
      <w:r w:rsidRPr="009270B8">
        <w:t>–</w:t>
      </w:r>
      <w:r w:rsidRPr="009270B8">
        <w:tab/>
        <w:t>ņemot vērā Reglamenta 150. panta 5. punktu un 136. panta 4. punktu,</w:t>
      </w:r>
    </w:p>
    <w:p w14:paraId="79A45480" w14:textId="77777777" w:rsidR="00F12CCF" w:rsidRPr="009270B8" w:rsidRDefault="00F12CCF" w:rsidP="00F12CCF">
      <w:pPr>
        <w:pStyle w:val="NormalHanging12a"/>
        <w:rPr>
          <w:bCs/>
        </w:rPr>
      </w:pPr>
      <w:r w:rsidRPr="009270B8">
        <w:t>A.</w:t>
      </w:r>
      <w:r w:rsidRPr="009270B8">
        <w:tab/>
        <w:t>tā kā minoritāšu nacionālās vai etniskās, kultūras, reliģiskās un valodas identitātes aizsardzība ir nostiprināta starptautiskajās paražu tiesībās, kā tas atspoguļots ANO Deklarācijā par to personu tiesībām, kuras pieder pie nacionālām vai etniskām, reliģiskām un lingvistiskām minoritātēm; tā kā visām valstīm ir pienākums ievērot šos standartus;</w:t>
      </w:r>
    </w:p>
    <w:p w14:paraId="304AB0C1" w14:textId="77777777" w:rsidR="00F12CCF" w:rsidRPr="009270B8" w:rsidRDefault="00F12CCF" w:rsidP="00F12CCF">
      <w:pPr>
        <w:pStyle w:val="NormalHanging12a"/>
      </w:pPr>
      <w:r w:rsidRPr="009270B8">
        <w:t>B.</w:t>
      </w:r>
      <w:r w:rsidRPr="009270B8">
        <w:tab/>
        <w:t xml:space="preserve">tā kā 2026. gada 12. martā Ķīnas Nacionālais tautas kongress pieņēma Likumu par tautas vienotības un progresa veicināšanu, kas vēl vairāk integrē valsts ideoloģiju un piešķir prioritāti mandarīnu valodai izglītībā, sabiedriskajā dzīvē un medijos, kā arī pastiprina </w:t>
      </w:r>
      <w:proofErr w:type="spellStart"/>
      <w:r w:rsidRPr="009270B8">
        <w:t>institucionalizētas</w:t>
      </w:r>
      <w:proofErr w:type="spellEnd"/>
      <w:r w:rsidRPr="009270B8">
        <w:t xml:space="preserve"> represijas un asimilāciju pret etnisko minoritāšu identitāti, tostarp pret </w:t>
      </w:r>
      <w:proofErr w:type="spellStart"/>
      <w:r w:rsidRPr="009270B8">
        <w:t>tibetiešiem</w:t>
      </w:r>
      <w:proofErr w:type="spellEnd"/>
      <w:r w:rsidRPr="009270B8">
        <w:t xml:space="preserve">, </w:t>
      </w:r>
      <w:proofErr w:type="spellStart"/>
      <w:r w:rsidRPr="009270B8">
        <w:t>huejiem</w:t>
      </w:r>
      <w:proofErr w:type="spellEnd"/>
      <w:r w:rsidRPr="009270B8">
        <w:t xml:space="preserve">, </w:t>
      </w:r>
      <w:proofErr w:type="spellStart"/>
      <w:r w:rsidRPr="009270B8">
        <w:t>uiguriem</w:t>
      </w:r>
      <w:proofErr w:type="spellEnd"/>
      <w:r w:rsidRPr="009270B8">
        <w:t>, mandžūriem un mongoļiem; tā kā šis likums ir būtiska atkāpšanās no 1984. gada Reģionālās etniskās autonomijas likuma;</w:t>
      </w:r>
    </w:p>
    <w:p w14:paraId="3C6BB880" w14:textId="77777777" w:rsidR="00F12CCF" w:rsidRPr="009270B8" w:rsidRDefault="00F12CCF" w:rsidP="00F12CCF">
      <w:pPr>
        <w:pStyle w:val="NormalHanging12a"/>
      </w:pPr>
      <w:r w:rsidRPr="009270B8">
        <w:t>C.</w:t>
      </w:r>
      <w:r w:rsidRPr="009270B8">
        <w:tab/>
        <w:t>tā kā likuma eksteritoriālais tvērums ļauj saukt pie atbildības ārvalstīs esošas personas, kuras tiek uzskatītas par Ķīnas etniskās vienotības apdraudējumu;</w:t>
      </w:r>
    </w:p>
    <w:p w14:paraId="0B91DEEB" w14:textId="77777777" w:rsidR="00F12CCF" w:rsidRPr="009270B8" w:rsidRDefault="00F12CCF" w:rsidP="00F12CCF">
      <w:pPr>
        <w:pStyle w:val="NormalHanging12a"/>
      </w:pPr>
      <w:r w:rsidRPr="009270B8">
        <w:t>D.</w:t>
      </w:r>
      <w:r w:rsidRPr="009270B8">
        <w:tab/>
        <w:t xml:space="preserve">tā kā cilvēktiesību stāvokļa pasliktināšanās Ķīnā ir radījusi spriedzi attiecībās ar ES; tā kā cilvēktiesību, demokrātijas un tiesiskuma ievērošanai vajadzētu būt ES attiecību ar Ķīnu pamatā, </w:t>
      </w:r>
    </w:p>
    <w:p w14:paraId="76219DBB" w14:textId="77777777" w:rsidR="00F12CCF" w:rsidRPr="009270B8" w:rsidRDefault="00F12CCF" w:rsidP="00F12CCF">
      <w:pPr>
        <w:pStyle w:val="NormalHanging12a"/>
      </w:pPr>
      <w:r w:rsidRPr="009270B8">
        <w:t>1.</w:t>
      </w:r>
      <w:r w:rsidRPr="009270B8">
        <w:tab/>
        <w:t xml:space="preserve">stingri nosoda Ķīnas represīvo asimilācijas politiku un no tās izrietošos vispārējo cilvēktiesību pārkāpumus, tostarp Tibetā, </w:t>
      </w:r>
      <w:proofErr w:type="spellStart"/>
      <w:r w:rsidRPr="009270B8">
        <w:t>Siņdzjanā</w:t>
      </w:r>
      <w:proofErr w:type="spellEnd"/>
      <w:r w:rsidRPr="009270B8">
        <w:t xml:space="preserve"> un Iekšējā Mongolijā;</w:t>
      </w:r>
    </w:p>
    <w:p w14:paraId="02AD1044" w14:textId="77777777" w:rsidR="00F12CCF" w:rsidRPr="009270B8" w:rsidRDefault="00F12CCF" w:rsidP="00F12CCF">
      <w:pPr>
        <w:pStyle w:val="NormalHanging12a"/>
      </w:pPr>
      <w:r w:rsidRPr="009270B8">
        <w:t>2.</w:t>
      </w:r>
      <w:r w:rsidRPr="009270B8">
        <w:tab/>
        <w:t>pauž nopietnas bažas par pieņemto Likumu par tautas vienotības un progresa veicināšanu, kas atklāti veicina asimilācijas politiku un ierobežo dažādu grupu kultūras, reliģijas un valodas brīvību gan Ķīnā, gan ārpus tās;</w:t>
      </w:r>
    </w:p>
    <w:p w14:paraId="4455A199" w14:textId="77777777" w:rsidR="00F12CCF" w:rsidRPr="009270B8" w:rsidRDefault="00F12CCF" w:rsidP="00F12CCF">
      <w:pPr>
        <w:pStyle w:val="NormalHanging12a"/>
      </w:pPr>
      <w:r w:rsidRPr="009270B8">
        <w:t>3.</w:t>
      </w:r>
      <w:r w:rsidRPr="009270B8">
        <w:tab/>
        <w:t xml:space="preserve">aicina Ķīnu atcelt šo likumu, lai izpildītu starptautiskajās tiesībās noteiktās saistības attiecībā uz </w:t>
      </w:r>
      <w:proofErr w:type="spellStart"/>
      <w:r w:rsidRPr="009270B8">
        <w:t>nediskrimināciju</w:t>
      </w:r>
      <w:proofErr w:type="spellEnd"/>
      <w:r w:rsidRPr="009270B8">
        <w:t>, kā arī reliģisko un etnisko minoritāšu aizsardzību un veicināšanu;</w:t>
      </w:r>
    </w:p>
    <w:p w14:paraId="24253A76" w14:textId="77777777" w:rsidR="00F12CCF" w:rsidRPr="009270B8" w:rsidRDefault="00F12CCF" w:rsidP="00F12CCF">
      <w:pPr>
        <w:pStyle w:val="NormalHanging12a"/>
        <w:rPr>
          <w:bCs/>
        </w:rPr>
      </w:pPr>
      <w:r w:rsidRPr="009270B8">
        <w:lastRenderedPageBreak/>
        <w:t>4.</w:t>
      </w:r>
      <w:r w:rsidRPr="009270B8">
        <w:tab/>
        <w:t>aicina Padomi piemērot ES globālo cilvēktiesību sankciju režīmu pret amatpersonām un struktūrām, kas ir atbildīgas par šā likuma izstrādi un īstenošanu;</w:t>
      </w:r>
    </w:p>
    <w:p w14:paraId="43407D1C" w14:textId="77777777" w:rsidR="00F12CCF" w:rsidRPr="009270B8" w:rsidRDefault="00F12CCF" w:rsidP="00F12CCF">
      <w:pPr>
        <w:pStyle w:val="NormalHanging12a"/>
      </w:pPr>
      <w:r w:rsidRPr="009270B8">
        <w:t>5.</w:t>
      </w:r>
      <w:r w:rsidRPr="009270B8">
        <w:tab/>
        <w:t xml:space="preserve">pauž nožēlu par likuma </w:t>
      </w:r>
      <w:proofErr w:type="spellStart"/>
      <w:r w:rsidRPr="009270B8">
        <w:t>ekstrateritoriālajiem</w:t>
      </w:r>
      <w:proofErr w:type="spellEnd"/>
      <w:r w:rsidRPr="009270B8">
        <w:t xml:space="preserve"> noteikumiem, kas ir starpvalstu represiju izpausme; mudina visas ES dalībvalstis apturēt izdošanas līgumu ar Ķīnu darbību, lai aizsargātu ES dzīvojošas vajātas personas no šā likuma radīta starpvalstu represiju riska; </w:t>
      </w:r>
    </w:p>
    <w:p w14:paraId="1C0C7683" w14:textId="77777777" w:rsidR="00F12CCF" w:rsidRPr="009270B8" w:rsidRDefault="00F12CCF" w:rsidP="00F12CCF">
      <w:pPr>
        <w:pStyle w:val="NormalHanging12a"/>
      </w:pPr>
      <w:r w:rsidRPr="009270B8">
        <w:t>6.</w:t>
      </w:r>
      <w:r w:rsidRPr="009270B8">
        <w:tab/>
        <w:t>stingri noraida Ķīnas iestāžu mēģinājumus iejaukties Tibetas budistu garīgo līderu atzīšanā un izglītošanā; uzsver, ka Dalailamas pēctecība ir vienīgi reliģisks jautājums, kas jāizlemj tikai saskaņā ar Tibetas budistu tradīcijām;</w:t>
      </w:r>
    </w:p>
    <w:p w14:paraId="252B432D" w14:textId="77777777" w:rsidR="00F12CCF" w:rsidRPr="009270B8" w:rsidRDefault="00F12CCF" w:rsidP="00F12CCF">
      <w:pPr>
        <w:pStyle w:val="NormalHanging12a"/>
      </w:pPr>
      <w:r w:rsidRPr="009270B8">
        <w:t>7.</w:t>
      </w:r>
      <w:r w:rsidRPr="009270B8">
        <w:tab/>
        <w:t xml:space="preserve">prasa nekavējoties atbrīvot politiskos ieslodzītos Ķīnā, tostarp </w:t>
      </w:r>
      <w:proofErr w:type="spellStart"/>
      <w:r w:rsidRPr="009270B8">
        <w:rPr>
          <w:i/>
          <w:iCs/>
        </w:rPr>
        <w:t>Choktrul</w:t>
      </w:r>
      <w:proofErr w:type="spellEnd"/>
      <w:r w:rsidRPr="009270B8">
        <w:rPr>
          <w:i/>
          <w:iCs/>
        </w:rPr>
        <w:t xml:space="preserve"> </w:t>
      </w:r>
      <w:proofErr w:type="spellStart"/>
      <w:r w:rsidRPr="009270B8">
        <w:rPr>
          <w:i/>
          <w:iCs/>
        </w:rPr>
        <w:t>Dorje</w:t>
      </w:r>
      <w:proofErr w:type="spellEnd"/>
      <w:r w:rsidRPr="009270B8">
        <w:rPr>
          <w:i/>
          <w:iCs/>
        </w:rPr>
        <w:t xml:space="preserve"> </w:t>
      </w:r>
      <w:proofErr w:type="spellStart"/>
      <w:r w:rsidRPr="009270B8">
        <w:rPr>
          <w:i/>
          <w:iCs/>
        </w:rPr>
        <w:t>Ten</w:t>
      </w:r>
      <w:proofErr w:type="spellEnd"/>
      <w:r w:rsidRPr="009270B8">
        <w:rPr>
          <w:i/>
          <w:iCs/>
        </w:rPr>
        <w:t xml:space="preserve"> </w:t>
      </w:r>
      <w:proofErr w:type="spellStart"/>
      <w:r w:rsidRPr="009270B8">
        <w:rPr>
          <w:i/>
          <w:iCs/>
        </w:rPr>
        <w:t>Rinpoche</w:t>
      </w:r>
      <w:proofErr w:type="spellEnd"/>
      <w:r w:rsidRPr="009270B8">
        <w:t xml:space="preserve">, </w:t>
      </w:r>
      <w:proofErr w:type="spellStart"/>
      <w:r w:rsidRPr="009270B8">
        <w:rPr>
          <w:i/>
          <w:iCs/>
        </w:rPr>
        <w:t>Palden</w:t>
      </w:r>
      <w:proofErr w:type="spellEnd"/>
      <w:r w:rsidRPr="009270B8">
        <w:rPr>
          <w:i/>
          <w:iCs/>
        </w:rPr>
        <w:t xml:space="preserve"> </w:t>
      </w:r>
      <w:proofErr w:type="spellStart"/>
      <w:r w:rsidRPr="009270B8">
        <w:rPr>
          <w:i/>
          <w:iCs/>
        </w:rPr>
        <w:t>Yeshi</w:t>
      </w:r>
      <w:proofErr w:type="spellEnd"/>
      <w:r w:rsidRPr="009270B8">
        <w:t xml:space="preserve">, Saharova balvas laureātu </w:t>
      </w:r>
      <w:r w:rsidRPr="009270B8">
        <w:rPr>
          <w:i/>
          <w:iCs/>
        </w:rPr>
        <w:t xml:space="preserve">Ilham </w:t>
      </w:r>
      <w:proofErr w:type="spellStart"/>
      <w:r w:rsidRPr="009270B8">
        <w:rPr>
          <w:i/>
          <w:iCs/>
        </w:rPr>
        <w:t>Tohti</w:t>
      </w:r>
      <w:proofErr w:type="spellEnd"/>
      <w:r w:rsidRPr="009270B8">
        <w:t xml:space="preserve">, 11. </w:t>
      </w:r>
      <w:proofErr w:type="spellStart"/>
      <w:r w:rsidRPr="009270B8">
        <w:t>pančenlamu</w:t>
      </w:r>
      <w:proofErr w:type="spellEnd"/>
      <w:r w:rsidRPr="009270B8">
        <w:t xml:space="preserve"> </w:t>
      </w:r>
      <w:proofErr w:type="spellStart"/>
      <w:r w:rsidRPr="009270B8">
        <w:rPr>
          <w:i/>
          <w:iCs/>
        </w:rPr>
        <w:t>Gedhun</w:t>
      </w:r>
      <w:proofErr w:type="spellEnd"/>
      <w:r w:rsidRPr="009270B8">
        <w:rPr>
          <w:i/>
          <w:iCs/>
        </w:rPr>
        <w:t xml:space="preserve"> </w:t>
      </w:r>
      <w:proofErr w:type="spellStart"/>
      <w:r w:rsidRPr="009270B8">
        <w:rPr>
          <w:i/>
          <w:iCs/>
        </w:rPr>
        <w:t>Choekyi</w:t>
      </w:r>
      <w:proofErr w:type="spellEnd"/>
      <w:r w:rsidRPr="009270B8">
        <w:rPr>
          <w:i/>
          <w:iCs/>
        </w:rPr>
        <w:t xml:space="preserve"> </w:t>
      </w:r>
      <w:proofErr w:type="spellStart"/>
      <w:r w:rsidRPr="009270B8">
        <w:rPr>
          <w:i/>
          <w:iCs/>
        </w:rPr>
        <w:t>Nyima</w:t>
      </w:r>
      <w:proofErr w:type="spellEnd"/>
      <w:r w:rsidRPr="009270B8">
        <w:t xml:space="preserve"> un mongoļu aktīvistu </w:t>
      </w:r>
      <w:proofErr w:type="spellStart"/>
      <w:r w:rsidRPr="009270B8">
        <w:rPr>
          <w:i/>
          <w:iCs/>
        </w:rPr>
        <w:t>Hada</w:t>
      </w:r>
      <w:proofErr w:type="spellEnd"/>
      <w:r w:rsidRPr="009270B8">
        <w:t>; aicina Eiropas Ārējās darbības dienestu, Komisiju un dalībvalstis attiecībās ar Ķīnu turpināt aktualizēt šīs lietas;</w:t>
      </w:r>
    </w:p>
    <w:p w14:paraId="07BCE90C" w14:textId="77777777" w:rsidR="00F12CCF" w:rsidRPr="009270B8" w:rsidRDefault="00F12CCF" w:rsidP="00F12CCF">
      <w:pPr>
        <w:pStyle w:val="NormalHanging12a"/>
      </w:pPr>
      <w:r w:rsidRPr="009270B8">
        <w:t>8.</w:t>
      </w:r>
      <w:r w:rsidRPr="009270B8">
        <w:tab/>
        <w:t>aicina ANO augsto cilvēktiesību komisāru publicēt atjauninātu situācijas ziņojumu par Ķīnu, jo īpaši pievēršoties 2026. gada likumam;</w:t>
      </w:r>
    </w:p>
    <w:p w14:paraId="754520B6" w14:textId="77777777" w:rsidR="00F12CCF" w:rsidRPr="009270B8" w:rsidRDefault="00F12CCF" w:rsidP="00F12CCF">
      <w:pPr>
        <w:pStyle w:val="NormalHanging12a"/>
      </w:pPr>
      <w:r w:rsidRPr="009270B8">
        <w:t>9.</w:t>
      </w:r>
      <w:r w:rsidRPr="009270B8">
        <w:tab/>
        <w:t>uzskata, ka šā likuma ieviešana un piemērošana radīs nopietnas sekas ES un Ķīnas attiecībās;</w:t>
      </w:r>
    </w:p>
    <w:p w14:paraId="02E1A21A" w14:textId="1FA84FF5" w:rsidR="00E365E1" w:rsidRPr="009270B8" w:rsidRDefault="00F12CCF" w:rsidP="009270B8">
      <w:pPr>
        <w:ind w:left="567" w:hanging="567"/>
      </w:pPr>
      <w:r w:rsidRPr="009270B8">
        <w:t>10.</w:t>
      </w:r>
      <w:r w:rsidRPr="009270B8">
        <w:tab/>
        <w:t>uzdod priekšsēdētājai šo rezolūciju nosūtīt dalībvalstīm un citām ES iestādēm, Ķīnas valdībai, ANO un Tibetas Centrālajai administrācijai.</w:t>
      </w:r>
    </w:p>
    <w:sectPr w:rsidR="00E365E1" w:rsidRPr="009270B8" w:rsidSect="00053F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792EF" w14:textId="77777777" w:rsidR="004A31B2" w:rsidRPr="00053FC0" w:rsidRDefault="004A31B2">
      <w:r w:rsidRPr="00053FC0">
        <w:separator/>
      </w:r>
    </w:p>
  </w:endnote>
  <w:endnote w:type="continuationSeparator" w:id="0">
    <w:p w14:paraId="38750155" w14:textId="77777777" w:rsidR="004A31B2" w:rsidRPr="00053FC0" w:rsidRDefault="004A31B2">
      <w:r w:rsidRPr="00053F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662B" w14:textId="77777777" w:rsidR="00064002" w:rsidRPr="00053F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DC20" w14:textId="77777777" w:rsidR="00064002" w:rsidRPr="00053F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32251" w14:textId="77777777" w:rsidR="00064002" w:rsidRPr="00053F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6022B" w14:textId="77777777" w:rsidR="004A31B2" w:rsidRPr="00053FC0" w:rsidRDefault="004A31B2">
      <w:r w:rsidRPr="00053FC0">
        <w:separator/>
      </w:r>
    </w:p>
  </w:footnote>
  <w:footnote w:type="continuationSeparator" w:id="0">
    <w:p w14:paraId="35539305" w14:textId="77777777" w:rsidR="004A31B2" w:rsidRPr="00053FC0" w:rsidRDefault="004A31B2">
      <w:r w:rsidRPr="00053F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DB906" w14:textId="77777777" w:rsidR="00064002" w:rsidRPr="00053F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6B0F" w14:textId="77777777" w:rsidR="00064002" w:rsidRPr="00053F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F2C6C" w14:textId="77777777" w:rsidR="00064002" w:rsidRPr="00053F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7376276">
    <w:abstractNumId w:val="9"/>
  </w:num>
  <w:num w:numId="2" w16cid:durableId="135148955">
    <w:abstractNumId w:val="9"/>
  </w:num>
  <w:num w:numId="3" w16cid:durableId="60521457">
    <w:abstractNumId w:val="7"/>
  </w:num>
  <w:num w:numId="4" w16cid:durableId="1805006100">
    <w:abstractNumId w:val="7"/>
  </w:num>
  <w:num w:numId="5" w16cid:durableId="1510945376">
    <w:abstractNumId w:val="6"/>
  </w:num>
  <w:num w:numId="6" w16cid:durableId="616447186">
    <w:abstractNumId w:val="6"/>
  </w:num>
  <w:num w:numId="7" w16cid:durableId="1877885420">
    <w:abstractNumId w:val="5"/>
  </w:num>
  <w:num w:numId="8" w16cid:durableId="1475755437">
    <w:abstractNumId w:val="5"/>
  </w:num>
  <w:num w:numId="9" w16cid:durableId="1535847077">
    <w:abstractNumId w:val="4"/>
  </w:num>
  <w:num w:numId="10" w16cid:durableId="429855271">
    <w:abstractNumId w:val="4"/>
  </w:num>
  <w:num w:numId="11" w16cid:durableId="24065750">
    <w:abstractNumId w:val="8"/>
  </w:num>
  <w:num w:numId="12" w16cid:durableId="17389164">
    <w:abstractNumId w:val="8"/>
  </w:num>
  <w:num w:numId="13" w16cid:durableId="392314746">
    <w:abstractNumId w:val="3"/>
  </w:num>
  <w:num w:numId="14" w16cid:durableId="1625236783">
    <w:abstractNumId w:val="3"/>
  </w:num>
  <w:num w:numId="15" w16cid:durableId="102966425">
    <w:abstractNumId w:val="2"/>
  </w:num>
  <w:num w:numId="16" w16cid:durableId="345597853">
    <w:abstractNumId w:val="2"/>
  </w:num>
  <w:num w:numId="17" w16cid:durableId="1902012705">
    <w:abstractNumId w:val="1"/>
  </w:num>
  <w:num w:numId="18" w16cid:durableId="2085761818">
    <w:abstractNumId w:val="1"/>
  </w:num>
  <w:num w:numId="19" w16cid:durableId="1388146878">
    <w:abstractNumId w:val="0"/>
  </w:num>
  <w:num w:numId="20" w16cid:durableId="1040861261">
    <w:abstractNumId w:val="0"/>
  </w:num>
  <w:num w:numId="21" w16cid:durableId="1179351840">
    <w:abstractNumId w:val="9"/>
  </w:num>
  <w:num w:numId="22" w16cid:durableId="1102843109">
    <w:abstractNumId w:val="7"/>
  </w:num>
  <w:num w:numId="23" w16cid:durableId="196892530">
    <w:abstractNumId w:val="6"/>
  </w:num>
  <w:num w:numId="24" w16cid:durableId="214005295">
    <w:abstractNumId w:val="5"/>
  </w:num>
  <w:num w:numId="25" w16cid:durableId="1675299439">
    <w:abstractNumId w:val="4"/>
  </w:num>
  <w:num w:numId="26" w16cid:durableId="107437831">
    <w:abstractNumId w:val="8"/>
  </w:num>
  <w:num w:numId="27" w16cid:durableId="1812362938">
    <w:abstractNumId w:val="3"/>
  </w:num>
  <w:num w:numId="28" w16cid:durableId="1964770429">
    <w:abstractNumId w:val="2"/>
  </w:num>
  <w:num w:numId="29" w16cid:durableId="1831169443">
    <w:abstractNumId w:val="1"/>
  </w:num>
  <w:num w:numId="30" w16cid:durableId="363943382">
    <w:abstractNumId w:val="0"/>
  </w:num>
  <w:num w:numId="31" w16cid:durableId="1216040876">
    <w:abstractNumId w:val="9"/>
  </w:num>
  <w:num w:numId="32" w16cid:durableId="1493181309">
    <w:abstractNumId w:val="7"/>
  </w:num>
  <w:num w:numId="33" w16cid:durableId="1125347634">
    <w:abstractNumId w:val="6"/>
  </w:num>
  <w:num w:numId="34" w16cid:durableId="1806043884">
    <w:abstractNumId w:val="5"/>
  </w:num>
  <w:num w:numId="35" w16cid:durableId="1393456217">
    <w:abstractNumId w:val="4"/>
  </w:num>
  <w:num w:numId="36" w16cid:durableId="684017359">
    <w:abstractNumId w:val="8"/>
  </w:num>
  <w:num w:numId="37" w16cid:durableId="1129738111">
    <w:abstractNumId w:val="3"/>
  </w:num>
  <w:num w:numId="38" w16cid:durableId="1963069216">
    <w:abstractNumId w:val="2"/>
  </w:num>
  <w:num w:numId="39" w16cid:durableId="805121405">
    <w:abstractNumId w:val="1"/>
  </w:num>
  <w:num w:numId="40" w16cid:durableId="1046103356">
    <w:abstractNumId w:val="0"/>
  </w:num>
  <w:num w:numId="41" w16cid:durableId="560021675">
    <w:abstractNumId w:val="10"/>
  </w:num>
  <w:num w:numId="42" w16cid:durableId="489177738">
    <w:abstractNumId w:val="10"/>
  </w:num>
  <w:num w:numId="43" w16cid:durableId="653606627">
    <w:abstractNumId w:val="10"/>
  </w:num>
  <w:num w:numId="44" w16cid:durableId="1554392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2026"/>
    <w:docVar w:name="dvlangue" w:val="LV"/>
    <w:docVar w:name="dvnumam" w:val="0"/>
    <w:docVar w:name="dvpe" w:val="783.251"/>
    <w:docVar w:name="dvtitre" w:val="Eiropas Parlamenta 2026. gada XX. XXX  rezolūcija par jauno Ķīnas likumu par “tautas vienotību un progresu” un etnisko identitāšu intensīvāku apspiešanu(2026/2703(RSP))"/>
  </w:docVars>
  <w:rsids>
    <w:rsidRoot w:val="004A31B2"/>
    <w:rsid w:val="00002272"/>
    <w:rsid w:val="00053FC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1869"/>
    <w:rsid w:val="003E15D4"/>
    <w:rsid w:val="00411CCE"/>
    <w:rsid w:val="0041666E"/>
    <w:rsid w:val="00421060"/>
    <w:rsid w:val="00471C19"/>
    <w:rsid w:val="004867E3"/>
    <w:rsid w:val="00494A28"/>
    <w:rsid w:val="004A31B2"/>
    <w:rsid w:val="004C0004"/>
    <w:rsid w:val="004C5D52"/>
    <w:rsid w:val="0050519A"/>
    <w:rsid w:val="005072A1"/>
    <w:rsid w:val="00514517"/>
    <w:rsid w:val="00545827"/>
    <w:rsid w:val="00560270"/>
    <w:rsid w:val="005C2568"/>
    <w:rsid w:val="005E00D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0B8"/>
    <w:rsid w:val="00930C23"/>
    <w:rsid w:val="0093193B"/>
    <w:rsid w:val="009509D8"/>
    <w:rsid w:val="00950B64"/>
    <w:rsid w:val="00981893"/>
    <w:rsid w:val="00A1687D"/>
    <w:rsid w:val="00A43E52"/>
    <w:rsid w:val="00A4678D"/>
    <w:rsid w:val="00A778C7"/>
    <w:rsid w:val="00AB441E"/>
    <w:rsid w:val="00AB6293"/>
    <w:rsid w:val="00AE0928"/>
    <w:rsid w:val="00AE2F67"/>
    <w:rsid w:val="00AE324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60C4"/>
    <w:rsid w:val="00E820A4"/>
    <w:rsid w:val="00EB006A"/>
    <w:rsid w:val="00EB4772"/>
    <w:rsid w:val="00ED169E"/>
    <w:rsid w:val="00ED4235"/>
    <w:rsid w:val="00F04346"/>
    <w:rsid w:val="00F075DC"/>
    <w:rsid w:val="00F12CC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CAC5F"/>
  <w15:chartTrackingRefBased/>
  <w15:docId w15:val="{B2E6E6C2-A2D7-45D5-8EF7-BFA42B4F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12CCF"/>
    <w:rPr>
      <w:b/>
    </w:rPr>
  </w:style>
  <w:style w:type="paragraph" w:customStyle="1" w:styleId="NormalHanging12a">
    <w:name w:val="NormalHanging12a"/>
    <w:basedOn w:val="Normal"/>
    <w:link w:val="NormalHanging12aChar"/>
    <w:rsid w:val="00F12CCF"/>
    <w:pPr>
      <w:spacing w:after="240"/>
      <w:ind w:left="567" w:hanging="567"/>
    </w:pPr>
  </w:style>
  <w:style w:type="paragraph" w:customStyle="1" w:styleId="EPComma">
    <w:name w:val="EPComma"/>
    <w:basedOn w:val="Normal"/>
    <w:rsid w:val="00F12CCF"/>
    <w:pPr>
      <w:spacing w:before="480" w:after="240"/>
    </w:pPr>
  </w:style>
  <w:style w:type="character" w:customStyle="1" w:styleId="NormalHanging12aChar">
    <w:name w:val="NormalHanging12a Char"/>
    <w:basedOn w:val="DefaultParagraphFont"/>
    <w:link w:val="NormalHanging12a"/>
    <w:locked/>
    <w:rsid w:val="00F12CCF"/>
    <w:rPr>
      <w:sz w:val="24"/>
      <w:lang w:val="lv-LV"/>
    </w:rPr>
  </w:style>
  <w:style w:type="paragraph" w:styleId="Revision">
    <w:name w:val="Revision"/>
    <w:hidden/>
    <w:uiPriority w:val="99"/>
    <w:semiHidden/>
    <w:rsid w:val="00AE324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3192</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2026-06-04T08:21:00Z</dcterms:created>
  <dcterms:modified xsi:type="dcterms:W3CDTF">2026-06-04T08:21:00Z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B10-0216/2026</vt:lpwstr>
  </property>
  <property fmtid="{D5CDD505-2E9C-101B-9397-08002B2CF9AE}" pid="4" name="&lt;Type&gt;">
    <vt:lpwstr>RR</vt:lpwstr>
  </property>
</Properties>
</file>