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5564" w14:paraId="23657A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3FB136" w14:textId="77777777" w:rsidR="00751A4A" w:rsidRPr="00ED5564" w:rsidRDefault="00254335" w:rsidP="0010095E">
            <w:pPr>
              <w:pStyle w:val="EPName"/>
            </w:pPr>
            <w:r w:rsidRPr="00ED5564">
              <w:t>Parlament Europejski</w:t>
            </w:r>
          </w:p>
          <w:p w14:paraId="4A7E686A" w14:textId="77777777" w:rsidR="00751A4A" w:rsidRPr="00ED55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5564">
              <w:t>2024</w:t>
            </w:r>
            <w:r w:rsidR="00817416" w:rsidRPr="00ED5564">
              <w:t>-202</w:t>
            </w:r>
            <w:r w:rsidRPr="00ED5564">
              <w:t>9</w:t>
            </w:r>
          </w:p>
        </w:tc>
        <w:tc>
          <w:tcPr>
            <w:tcW w:w="2268" w:type="dxa"/>
            <w:shd w:val="clear" w:color="auto" w:fill="auto"/>
          </w:tcPr>
          <w:p w14:paraId="6E7897D3" w14:textId="77777777" w:rsidR="00751A4A" w:rsidRPr="00ED5564" w:rsidRDefault="00187494" w:rsidP="0010095E">
            <w:pPr>
              <w:pStyle w:val="EPLogo"/>
            </w:pPr>
            <w:r w:rsidRPr="00ED5564">
              <w:rPr>
                <w:noProof/>
                <w:lang w:eastAsia="ja-JP"/>
              </w:rPr>
              <w:drawing>
                <wp:inline distT="0" distB="0" distL="0" distR="0" wp14:anchorId="1C8F8B72" wp14:editId="49E555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14B77B" w14:textId="77777777" w:rsidR="00D058B8" w:rsidRPr="00ED5564" w:rsidRDefault="00D058B8" w:rsidP="004C5D52">
      <w:pPr>
        <w:pStyle w:val="LineTop"/>
      </w:pPr>
    </w:p>
    <w:p w14:paraId="40CF8DCD" w14:textId="77777777" w:rsidR="00680577" w:rsidRPr="00ED5564" w:rsidRDefault="00254335" w:rsidP="00680577">
      <w:pPr>
        <w:pStyle w:val="EPBodyTA1"/>
      </w:pPr>
      <w:r w:rsidRPr="00ED5564">
        <w:t>TEKSTY PRZYJĘTE</w:t>
      </w:r>
    </w:p>
    <w:p w14:paraId="757FBA13" w14:textId="77777777" w:rsidR="00D058B8" w:rsidRPr="00ED5564" w:rsidRDefault="00D058B8" w:rsidP="00D058B8">
      <w:pPr>
        <w:pStyle w:val="LineBottom"/>
      </w:pPr>
    </w:p>
    <w:p w14:paraId="40126B7B" w14:textId="29265DAF" w:rsidR="00254335" w:rsidRPr="00ED5564" w:rsidRDefault="00254335" w:rsidP="00254335">
      <w:pPr>
        <w:pStyle w:val="ATHeading1"/>
      </w:pPr>
      <w:bookmarkStart w:id="0" w:name="TANumber"/>
      <w:r w:rsidRPr="00ED5564">
        <w:t>P10_TA(2026)0</w:t>
      </w:r>
      <w:bookmarkEnd w:id="0"/>
      <w:r w:rsidR="007F7357">
        <w:t>152</w:t>
      </w:r>
    </w:p>
    <w:p w14:paraId="1DB21BD6" w14:textId="72CCC2A5" w:rsidR="00254335" w:rsidRPr="00ED5564" w:rsidRDefault="00257F41" w:rsidP="00257F41">
      <w:pPr>
        <w:pStyle w:val="ATHeading2"/>
      </w:pPr>
      <w:r w:rsidRPr="00257F41">
        <w:rPr>
          <w:bCs/>
        </w:rPr>
        <w:t>Nowa chińska ustawa o „jedności etnicznej i postępie” oraz wzmożone tłumienie tożsamości grup</w:t>
      </w:r>
      <w:r>
        <w:rPr>
          <w:bCs/>
        </w:rPr>
        <w:t xml:space="preserve"> </w:t>
      </w:r>
      <w:r w:rsidRPr="00257F41">
        <w:rPr>
          <w:bCs/>
        </w:rPr>
        <w:t>etnicznych</w:t>
      </w:r>
    </w:p>
    <w:p w14:paraId="54E2A587" w14:textId="326DE0A1" w:rsidR="00254335" w:rsidRPr="00ED5564" w:rsidRDefault="007B4B1B" w:rsidP="00254335">
      <w:pPr>
        <w:rPr>
          <w:i/>
          <w:vanish/>
        </w:rPr>
      </w:pPr>
      <w:r w:rsidRPr="002D2C55">
        <w:rPr>
          <w:i/>
        </w:rPr>
        <w:fldChar w:fldCharType="begin"/>
      </w:r>
      <w:r w:rsidRPr="002D2C55">
        <w:rPr>
          <w:i/>
        </w:rPr>
        <w:instrText xml:space="preserve"> TC"(</w:instrText>
      </w:r>
      <w:bookmarkStart w:id="1" w:name="DocNumber"/>
      <w:r w:rsidRPr="002D2C55">
        <w:rPr>
          <w:i/>
        </w:rPr>
        <w:instrText>B10-0216</w:instrText>
      </w:r>
      <w:r>
        <w:rPr>
          <w:i/>
        </w:rPr>
        <w:instrText>, 0223, 0232, 0233 and 0234</w:instrText>
      </w:r>
      <w:r w:rsidRPr="002D2C55">
        <w:rPr>
          <w:i/>
        </w:rPr>
        <w:instrText>/2026</w:instrText>
      </w:r>
      <w:bookmarkEnd w:id="1"/>
      <w:r w:rsidRPr="002D2C55">
        <w:rPr>
          <w:i/>
        </w:rPr>
        <w:instrText xml:space="preserve">)"\l3 \n&gt; \* MERGEFORMAT </w:instrText>
      </w:r>
      <w:r w:rsidRPr="002D2C55">
        <w:rPr>
          <w:i/>
        </w:rPr>
        <w:fldChar w:fldCharType="end"/>
      </w:r>
    </w:p>
    <w:p w14:paraId="15F4FC25" w14:textId="77777777" w:rsidR="00254335" w:rsidRPr="00ED5564" w:rsidRDefault="00254335" w:rsidP="00254335">
      <w:pPr>
        <w:rPr>
          <w:vanish/>
        </w:rPr>
      </w:pPr>
      <w:bookmarkStart w:id="2" w:name="PE"/>
      <w:r w:rsidRPr="00ED5564">
        <w:rPr>
          <w:vanish/>
        </w:rPr>
        <w:t>PE783.251</w:t>
      </w:r>
      <w:bookmarkEnd w:id="2"/>
    </w:p>
    <w:p w14:paraId="466A3F88" w14:textId="2586D088" w:rsidR="00254335" w:rsidRPr="00ED5564" w:rsidRDefault="00254335" w:rsidP="00257F41">
      <w:pPr>
        <w:pStyle w:val="ATHeading3"/>
      </w:pPr>
      <w:bookmarkStart w:id="3" w:name="Sujet"/>
      <w:r w:rsidRPr="00ED5564">
        <w:t xml:space="preserve">Rezolucja Parlamentu Europejskiego z dnia </w:t>
      </w:r>
      <w:r w:rsidR="00257F41">
        <w:t>30 kwietnia</w:t>
      </w:r>
      <w:r w:rsidRPr="00ED5564">
        <w:t xml:space="preserve"> 2026 r. w sprawie nowej chińskiej ustawy o „jedności etnicznej i postępie” oraz wzmożonego tłumienia tożsamości grup etnicznych</w:t>
      </w:r>
      <w:bookmarkEnd w:id="3"/>
      <w:r w:rsidRPr="00ED5564">
        <w:t xml:space="preserve"> </w:t>
      </w:r>
      <w:bookmarkStart w:id="4" w:name="References"/>
      <w:r w:rsidRPr="00ED5564">
        <w:t>(2026/2703(RSP))</w:t>
      </w:r>
      <w:bookmarkEnd w:id="4"/>
    </w:p>
    <w:p w14:paraId="39326F60" w14:textId="77777777" w:rsidR="00247759" w:rsidRPr="00ED5564" w:rsidRDefault="00247759" w:rsidP="00247759">
      <w:pPr>
        <w:pStyle w:val="EPComma"/>
      </w:pPr>
      <w:bookmarkStart w:id="5" w:name="TextBodyBegin"/>
      <w:bookmarkEnd w:id="5"/>
      <w:r w:rsidRPr="00ED5564">
        <w:rPr>
          <w:i/>
        </w:rPr>
        <w:t>Parlament Europejski</w:t>
      </w:r>
      <w:r w:rsidRPr="00ED5564">
        <w:t>,</w:t>
      </w:r>
    </w:p>
    <w:p w14:paraId="5EE77F74" w14:textId="77777777" w:rsidR="00247759" w:rsidRPr="00ED5564" w:rsidRDefault="00247759" w:rsidP="00247759">
      <w:pPr>
        <w:pStyle w:val="NormalHanging12a"/>
      </w:pPr>
      <w:r w:rsidRPr="00ED5564">
        <w:t>–</w:t>
      </w:r>
      <w:r w:rsidRPr="00ED5564">
        <w:tab/>
        <w:t>uwzględniając art. 150 ust. 5 i art. 136 ust. 4 Regulaminu,</w:t>
      </w:r>
    </w:p>
    <w:p w14:paraId="72116D37" w14:textId="77777777" w:rsidR="00247759" w:rsidRPr="00ED5564" w:rsidRDefault="00247759" w:rsidP="00247759">
      <w:pPr>
        <w:pStyle w:val="NormalHanging12a"/>
        <w:rPr>
          <w:bCs/>
        </w:rPr>
      </w:pPr>
      <w:r w:rsidRPr="00ED5564">
        <w:t>A.</w:t>
      </w:r>
      <w:r w:rsidRPr="00ED5564">
        <w:tab/>
        <w:t>mając na uwadze, że ochrona tożsamości narodowej lub etnicznej, kulturowej, wyznaniowej i językowej mniejszości jest zakorzeniona w międzynarodowym prawie zwyczajowym, co znalazło odzwierciedlenie w Deklaracji ONZ praw osób należących do mniejszości narodowych lub etnicznych, religijnych i językowych; mając na uwadze, że do przestrzegania tych standardów zobowiązane są wszystkie państwa;</w:t>
      </w:r>
    </w:p>
    <w:p w14:paraId="2197BC49" w14:textId="77777777" w:rsidR="00247759" w:rsidRPr="00ED5564" w:rsidRDefault="00247759" w:rsidP="00247759">
      <w:pPr>
        <w:pStyle w:val="NormalHanging12a"/>
      </w:pPr>
      <w:r w:rsidRPr="00ED5564">
        <w:t>B.</w:t>
      </w:r>
      <w:r w:rsidRPr="00ED5564">
        <w:tab/>
        <w:t xml:space="preserve">mając na uwadze, że 12 marca 2026 r. </w:t>
      </w:r>
      <w:proofErr w:type="spellStart"/>
      <w:r w:rsidRPr="00ED5564">
        <w:t>Ogólnochińskie</w:t>
      </w:r>
      <w:proofErr w:type="spellEnd"/>
      <w:r w:rsidRPr="00ED5564">
        <w:t xml:space="preserve"> Zgromadzenie Przedstawicieli Ludowych przyjęło ustawę o wspieraniu jedności etnicznej i postępu, która jeszcze mocniej utwierdza ideologię państwową i na mocy której priorytetowo traktuje się język mandaryński w edukacji, życiu publicznym i mediach, a także nasila zinstytucjonalizowane represje i asymilację mniejszości etnicznych, w tym Tybetańczyków, mniejszości </w:t>
      </w:r>
      <w:proofErr w:type="spellStart"/>
      <w:r w:rsidRPr="00ED5564">
        <w:t>Hui</w:t>
      </w:r>
      <w:proofErr w:type="spellEnd"/>
      <w:r w:rsidRPr="00ED5564">
        <w:t xml:space="preserve">, Ujgurów, </w:t>
      </w:r>
      <w:proofErr w:type="spellStart"/>
      <w:r w:rsidRPr="00ED5564">
        <w:t>Mandżurów</w:t>
      </w:r>
      <w:proofErr w:type="spellEnd"/>
      <w:r w:rsidRPr="00ED5564">
        <w:t xml:space="preserve"> i Mongołów; mając na uwadze, że ustawa ta znacznie odbiega od chińskiej ustawy o regionalnej autonomii etnicznej z 1984 r.;</w:t>
      </w:r>
    </w:p>
    <w:p w14:paraId="551F062C" w14:textId="77777777" w:rsidR="00247759" w:rsidRPr="00ED5564" w:rsidRDefault="00247759" w:rsidP="00247759">
      <w:pPr>
        <w:pStyle w:val="NormalHanging12a"/>
      </w:pPr>
      <w:r w:rsidRPr="00ED5564">
        <w:t>C.</w:t>
      </w:r>
      <w:r w:rsidRPr="00ED5564">
        <w:tab/>
        <w:t>mając na uwadze, że eksterytorialny zasięg ustawy pozwala na ściganie za granicą osób uznanych za podważające „jedność etniczną” Chin;</w:t>
      </w:r>
    </w:p>
    <w:p w14:paraId="223CB508" w14:textId="77777777" w:rsidR="00247759" w:rsidRPr="00ED5564" w:rsidRDefault="00247759" w:rsidP="00247759">
      <w:pPr>
        <w:pStyle w:val="NormalHanging12a"/>
      </w:pPr>
      <w:r w:rsidRPr="00ED5564">
        <w:t>D.</w:t>
      </w:r>
      <w:r w:rsidRPr="00ED5564">
        <w:tab/>
        <w:t>mając na uwadze, że pogorszenie się stanu poszanowania praw człowieka w Chinach kładzie się cieniem na stosunki tego państwa z UE; mając na uwadze, że centralnym elementem stosunków UE z Chinami powinno być poszanowanie praw człowieka, demokracji i praworządności;</w:t>
      </w:r>
    </w:p>
    <w:p w14:paraId="0DF9AEBA" w14:textId="77777777" w:rsidR="00247759" w:rsidRPr="00ED5564" w:rsidRDefault="00247759" w:rsidP="00247759">
      <w:pPr>
        <w:pStyle w:val="NormalHanging12a"/>
      </w:pPr>
      <w:r w:rsidRPr="00ED5564">
        <w:t>1.</w:t>
      </w:r>
      <w:r w:rsidRPr="00ED5564">
        <w:tab/>
        <w:t xml:space="preserve">zdecydowanie potępia represyjną chińską politykę asymilacji i wynikające z niej łamanie powszechnych praw człowieka, w tym w Tybecie, </w:t>
      </w:r>
      <w:proofErr w:type="spellStart"/>
      <w:r w:rsidRPr="00ED5564">
        <w:t>Sinciangu</w:t>
      </w:r>
      <w:proofErr w:type="spellEnd"/>
      <w:r w:rsidRPr="00ED5564">
        <w:t xml:space="preserve"> i Mongolii Wewnętrznej;</w:t>
      </w:r>
    </w:p>
    <w:p w14:paraId="3EB0DF9A" w14:textId="77777777" w:rsidR="00247759" w:rsidRPr="00ED5564" w:rsidRDefault="00247759" w:rsidP="00247759">
      <w:pPr>
        <w:pStyle w:val="NormalHanging12a"/>
      </w:pPr>
      <w:r w:rsidRPr="00ED5564">
        <w:lastRenderedPageBreak/>
        <w:t>2.</w:t>
      </w:r>
      <w:r w:rsidRPr="00ED5564">
        <w:tab/>
        <w:t>wyraża głębokie zaniepokojenie przyjętą ustawą o wpieraniu jedności etnicznej i postępu, która otwarcie propaguje politykę asymilacji oraz ogranicza swobody kulturowe, religijne i językowe różnych grup w Chinach i poza nimi;</w:t>
      </w:r>
    </w:p>
    <w:p w14:paraId="227EDC1B" w14:textId="77777777" w:rsidR="00247759" w:rsidRPr="00ED5564" w:rsidRDefault="00247759" w:rsidP="00247759">
      <w:pPr>
        <w:pStyle w:val="NormalHanging12a"/>
      </w:pPr>
      <w:r w:rsidRPr="00ED5564">
        <w:t>3.</w:t>
      </w:r>
      <w:r w:rsidRPr="00ED5564">
        <w:tab/>
        <w:t>wzywa Chiny do uchylenia tej ustawy, a tym samym do wywiązania się z wynikających z prawa międzynarodowego zobowiązań dotyczących niedyskryminacji oraz ochrony i wspierania mniejszości etnicznych i religijnych;</w:t>
      </w:r>
    </w:p>
    <w:p w14:paraId="77CEC462" w14:textId="77777777" w:rsidR="00247759" w:rsidRPr="00ED5564" w:rsidRDefault="00247759" w:rsidP="00247759">
      <w:pPr>
        <w:pStyle w:val="NormalHanging12a"/>
        <w:rPr>
          <w:bCs/>
        </w:rPr>
      </w:pPr>
      <w:r w:rsidRPr="00ED5564">
        <w:t>4.</w:t>
      </w:r>
      <w:r w:rsidRPr="00ED5564">
        <w:tab/>
        <w:t>wzywa Radę do wykorzystania globalnego systemu sankcji UE za łamanie praw człowieka wobec urzędników i podmiotów odpowiedzialnych za opracowanie i wdrażanie tej ustawy;</w:t>
      </w:r>
    </w:p>
    <w:p w14:paraId="5250D5DE" w14:textId="77777777" w:rsidR="00247759" w:rsidRPr="00ED5564" w:rsidRDefault="00247759" w:rsidP="00247759">
      <w:pPr>
        <w:pStyle w:val="NormalHanging12a"/>
      </w:pPr>
      <w:r w:rsidRPr="00ED5564">
        <w:t>5.</w:t>
      </w:r>
      <w:r w:rsidRPr="00ED5564">
        <w:tab/>
        <w:t>ubolewa z powodu eksterytorialnych przepisów ustawy, stanowiących represje ponadnarodowe; wzywa wszystkie państwa członkowskie UE do zawieszenia umów o ekstradycji z Chinami, by chronić prześladowane osoby mieszkające w UE przed ryzykiem represji ponadnarodowych na mocy tej ustawy;</w:t>
      </w:r>
    </w:p>
    <w:p w14:paraId="02297FA4" w14:textId="77777777" w:rsidR="00247759" w:rsidRPr="00ED5564" w:rsidRDefault="00247759" w:rsidP="00247759">
      <w:pPr>
        <w:pStyle w:val="NormalHanging12a"/>
      </w:pPr>
      <w:r w:rsidRPr="00ED5564">
        <w:t>6.</w:t>
      </w:r>
      <w:r w:rsidRPr="00ED5564">
        <w:tab/>
        <w:t>zdecydowanie odrzuca podejmowane przez władze chińskie próby ingerowania w uznawanie i edukację tybetańskich buddyjskich przywódców duchowych; podkreśla, że sukcesja Dalajlamy to sprawa czysto religijna, którą należy rozstrzygać wyłącznie według tybetańskich tradycji buddyjskich;</w:t>
      </w:r>
    </w:p>
    <w:p w14:paraId="0D126FD4" w14:textId="77777777" w:rsidR="00247759" w:rsidRPr="00ED5564" w:rsidRDefault="00247759" w:rsidP="00247759">
      <w:pPr>
        <w:pStyle w:val="NormalHanging12a"/>
      </w:pPr>
      <w:r w:rsidRPr="00ED5564">
        <w:t>7.</w:t>
      </w:r>
      <w:r w:rsidRPr="00ED5564">
        <w:tab/>
        <w:t xml:space="preserve">apeluje o natychmiastowe uwolnienie chińskich więźniów politycznych, do których należą: </w:t>
      </w:r>
      <w:proofErr w:type="spellStart"/>
      <w:r w:rsidRPr="00ED5564">
        <w:t>Czoktrul</w:t>
      </w:r>
      <w:proofErr w:type="spellEnd"/>
      <w:r w:rsidRPr="00ED5564">
        <w:t xml:space="preserve"> </w:t>
      </w:r>
      <w:proofErr w:type="spellStart"/>
      <w:r w:rsidRPr="00ED5564">
        <w:t>Dorże</w:t>
      </w:r>
      <w:proofErr w:type="spellEnd"/>
      <w:r w:rsidRPr="00ED5564">
        <w:t xml:space="preserve"> Ten </w:t>
      </w:r>
      <w:proofErr w:type="spellStart"/>
      <w:r w:rsidRPr="00ED5564">
        <w:t>Rinpocze</w:t>
      </w:r>
      <w:proofErr w:type="spellEnd"/>
      <w:r w:rsidRPr="00ED5564">
        <w:t xml:space="preserve">, </w:t>
      </w:r>
      <w:proofErr w:type="spellStart"/>
      <w:r w:rsidRPr="00ED5564">
        <w:t>Palden</w:t>
      </w:r>
      <w:proofErr w:type="spellEnd"/>
      <w:r w:rsidRPr="00ED5564">
        <w:t xml:space="preserve"> </w:t>
      </w:r>
      <w:proofErr w:type="spellStart"/>
      <w:r w:rsidRPr="00ED5564">
        <w:t>Jeszi</w:t>
      </w:r>
      <w:proofErr w:type="spellEnd"/>
      <w:r w:rsidRPr="00ED5564">
        <w:t xml:space="preserve">, laureat Nagrody im. Sacharowa </w:t>
      </w:r>
      <w:proofErr w:type="spellStart"/>
      <w:r w:rsidRPr="00ED5564">
        <w:t>Ilham</w:t>
      </w:r>
      <w:proofErr w:type="spellEnd"/>
      <w:r w:rsidRPr="00ED5564">
        <w:t xml:space="preserve"> </w:t>
      </w:r>
      <w:proofErr w:type="spellStart"/>
      <w:r w:rsidRPr="00ED5564">
        <w:t>Tohti</w:t>
      </w:r>
      <w:proofErr w:type="spellEnd"/>
      <w:r w:rsidRPr="00ED5564">
        <w:t xml:space="preserve">, 11. panczenlama </w:t>
      </w:r>
      <w:proofErr w:type="spellStart"/>
      <w:r w:rsidRPr="00ED5564">
        <w:t>Gedun</w:t>
      </w:r>
      <w:proofErr w:type="spellEnd"/>
      <w:r w:rsidRPr="00ED5564">
        <w:t xml:space="preserve"> Czok </w:t>
      </w:r>
      <w:proofErr w:type="spellStart"/>
      <w:r w:rsidRPr="00ED5564">
        <w:t>Nima</w:t>
      </w:r>
      <w:proofErr w:type="spellEnd"/>
      <w:r w:rsidRPr="00ED5564">
        <w:t xml:space="preserve"> i mongolski działacz </w:t>
      </w:r>
      <w:proofErr w:type="spellStart"/>
      <w:r w:rsidRPr="00ED5564">
        <w:t>Hada</w:t>
      </w:r>
      <w:proofErr w:type="spellEnd"/>
      <w:r w:rsidRPr="00ED5564">
        <w:t>; wzywa Europejską Służbę Działań Zewnętrznych, Komisję i państwa członkowskie, by dalej poruszały te sprawy w kontaktach z Chinami;</w:t>
      </w:r>
    </w:p>
    <w:p w14:paraId="1758C2CE" w14:textId="77777777" w:rsidR="00247759" w:rsidRPr="00ED5564" w:rsidRDefault="00247759" w:rsidP="00247759">
      <w:pPr>
        <w:pStyle w:val="NormalHanging12a"/>
      </w:pPr>
      <w:r w:rsidRPr="00ED5564">
        <w:t>8.</w:t>
      </w:r>
      <w:r w:rsidRPr="00ED5564">
        <w:tab/>
        <w:t>wzywa wysokiego komisarza ONZ ds. praw człowieka, by opublikował uaktualnione sprawozdanie z sytuacji w Chinach, uwzględniające zwłaszcza ustawę z 2026 r.;</w:t>
      </w:r>
    </w:p>
    <w:p w14:paraId="43361871" w14:textId="77777777" w:rsidR="00247759" w:rsidRPr="00ED5564" w:rsidRDefault="00247759" w:rsidP="00247759">
      <w:pPr>
        <w:pStyle w:val="NormalHanging12a"/>
      </w:pPr>
      <w:r w:rsidRPr="00ED5564">
        <w:t>9.</w:t>
      </w:r>
      <w:r w:rsidRPr="00ED5564">
        <w:tab/>
        <w:t>uważa, że wprowadzenie i egzekwowanie tej ustawy będzie miało poważne konsekwencje dla stosunków między UE a Chinami;</w:t>
      </w:r>
    </w:p>
    <w:p w14:paraId="0D5479D0" w14:textId="487D3E39" w:rsidR="00ED5564" w:rsidRPr="00ED5564" w:rsidRDefault="00247759" w:rsidP="00ED5564">
      <w:pPr>
        <w:pStyle w:val="NormalHanging12a"/>
      </w:pPr>
      <w:r w:rsidRPr="00ED5564">
        <w:t>10.</w:t>
      </w:r>
      <w:r w:rsidRPr="00ED5564">
        <w:tab/>
        <w:t>zobowiązuje swoją przewodniczącą do przekazania tej rezolucji państwom członkowskim i innym instytucjom UE, rządowi Chin, ONZ i Centralnej Administracji Tybetańskiej.</w:t>
      </w:r>
    </w:p>
    <w:p w14:paraId="22518C1C" w14:textId="7C6EB609" w:rsidR="00E365E1" w:rsidRPr="00ED5564" w:rsidRDefault="00E365E1" w:rsidP="00254335"/>
    <w:sectPr w:rsidR="00E365E1" w:rsidRPr="00ED5564" w:rsidSect="00ED55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BAC1" w14:textId="77777777" w:rsidR="00254335" w:rsidRPr="00ED5564" w:rsidRDefault="00254335">
      <w:r w:rsidRPr="00ED5564">
        <w:separator/>
      </w:r>
    </w:p>
  </w:endnote>
  <w:endnote w:type="continuationSeparator" w:id="0">
    <w:p w14:paraId="22C876B8" w14:textId="77777777" w:rsidR="00254335" w:rsidRPr="00ED5564" w:rsidRDefault="00254335">
      <w:r w:rsidRPr="00ED55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AC280" w14:textId="77777777" w:rsidR="00064002" w:rsidRPr="00ED55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39E32" w14:textId="77777777" w:rsidR="00064002" w:rsidRPr="00ED55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7F26" w14:textId="77777777" w:rsidR="00064002" w:rsidRPr="00ED55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F1656" w14:textId="77777777" w:rsidR="00254335" w:rsidRPr="00ED5564" w:rsidRDefault="00254335">
      <w:r w:rsidRPr="00ED5564">
        <w:separator/>
      </w:r>
    </w:p>
  </w:footnote>
  <w:footnote w:type="continuationSeparator" w:id="0">
    <w:p w14:paraId="6111C514" w14:textId="77777777" w:rsidR="00254335" w:rsidRPr="00ED5564" w:rsidRDefault="00254335">
      <w:r w:rsidRPr="00ED55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39DD" w14:textId="77777777" w:rsidR="00064002" w:rsidRPr="00ED55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32F0" w14:textId="77777777" w:rsidR="00064002" w:rsidRPr="00ED55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CC26" w14:textId="77777777" w:rsidR="00064002" w:rsidRPr="00ED55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6648501">
    <w:abstractNumId w:val="9"/>
  </w:num>
  <w:num w:numId="2" w16cid:durableId="649209980">
    <w:abstractNumId w:val="9"/>
  </w:num>
  <w:num w:numId="3" w16cid:durableId="1582905750">
    <w:abstractNumId w:val="7"/>
  </w:num>
  <w:num w:numId="4" w16cid:durableId="302976374">
    <w:abstractNumId w:val="7"/>
  </w:num>
  <w:num w:numId="5" w16cid:durableId="1164473631">
    <w:abstractNumId w:val="6"/>
  </w:num>
  <w:num w:numId="6" w16cid:durableId="892811588">
    <w:abstractNumId w:val="6"/>
  </w:num>
  <w:num w:numId="7" w16cid:durableId="494153683">
    <w:abstractNumId w:val="5"/>
  </w:num>
  <w:num w:numId="8" w16cid:durableId="493030631">
    <w:abstractNumId w:val="5"/>
  </w:num>
  <w:num w:numId="9" w16cid:durableId="1121145732">
    <w:abstractNumId w:val="4"/>
  </w:num>
  <w:num w:numId="10" w16cid:durableId="215707664">
    <w:abstractNumId w:val="4"/>
  </w:num>
  <w:num w:numId="11" w16cid:durableId="1608535138">
    <w:abstractNumId w:val="8"/>
  </w:num>
  <w:num w:numId="12" w16cid:durableId="193731250">
    <w:abstractNumId w:val="8"/>
  </w:num>
  <w:num w:numId="13" w16cid:durableId="1958945108">
    <w:abstractNumId w:val="3"/>
  </w:num>
  <w:num w:numId="14" w16cid:durableId="384570070">
    <w:abstractNumId w:val="3"/>
  </w:num>
  <w:num w:numId="15" w16cid:durableId="1724787720">
    <w:abstractNumId w:val="2"/>
  </w:num>
  <w:num w:numId="16" w16cid:durableId="1805541869">
    <w:abstractNumId w:val="2"/>
  </w:num>
  <w:num w:numId="17" w16cid:durableId="1444571795">
    <w:abstractNumId w:val="1"/>
  </w:num>
  <w:num w:numId="18" w16cid:durableId="833493766">
    <w:abstractNumId w:val="1"/>
  </w:num>
  <w:num w:numId="19" w16cid:durableId="2060129610">
    <w:abstractNumId w:val="0"/>
  </w:num>
  <w:num w:numId="20" w16cid:durableId="711929246">
    <w:abstractNumId w:val="0"/>
  </w:num>
  <w:num w:numId="21" w16cid:durableId="1254974650">
    <w:abstractNumId w:val="9"/>
  </w:num>
  <w:num w:numId="22" w16cid:durableId="2051345822">
    <w:abstractNumId w:val="7"/>
  </w:num>
  <w:num w:numId="23" w16cid:durableId="1557549022">
    <w:abstractNumId w:val="6"/>
  </w:num>
  <w:num w:numId="24" w16cid:durableId="23286859">
    <w:abstractNumId w:val="5"/>
  </w:num>
  <w:num w:numId="25" w16cid:durableId="1359351860">
    <w:abstractNumId w:val="4"/>
  </w:num>
  <w:num w:numId="26" w16cid:durableId="254243607">
    <w:abstractNumId w:val="8"/>
  </w:num>
  <w:num w:numId="27" w16cid:durableId="1771270658">
    <w:abstractNumId w:val="3"/>
  </w:num>
  <w:num w:numId="28" w16cid:durableId="973676620">
    <w:abstractNumId w:val="2"/>
  </w:num>
  <w:num w:numId="29" w16cid:durableId="196507346">
    <w:abstractNumId w:val="1"/>
  </w:num>
  <w:num w:numId="30" w16cid:durableId="272903876">
    <w:abstractNumId w:val="0"/>
  </w:num>
  <w:num w:numId="31" w16cid:durableId="1850607820">
    <w:abstractNumId w:val="9"/>
  </w:num>
  <w:num w:numId="32" w16cid:durableId="100227258">
    <w:abstractNumId w:val="7"/>
  </w:num>
  <w:num w:numId="33" w16cid:durableId="777723646">
    <w:abstractNumId w:val="6"/>
  </w:num>
  <w:num w:numId="34" w16cid:durableId="1354041651">
    <w:abstractNumId w:val="5"/>
  </w:num>
  <w:num w:numId="35" w16cid:durableId="632951268">
    <w:abstractNumId w:val="4"/>
  </w:num>
  <w:num w:numId="36" w16cid:durableId="899174642">
    <w:abstractNumId w:val="8"/>
  </w:num>
  <w:num w:numId="37" w16cid:durableId="1804082126">
    <w:abstractNumId w:val="3"/>
  </w:num>
  <w:num w:numId="38" w16cid:durableId="1836676818">
    <w:abstractNumId w:val="2"/>
  </w:num>
  <w:num w:numId="39" w16cid:durableId="1316378630">
    <w:abstractNumId w:val="1"/>
  </w:num>
  <w:num w:numId="40" w16cid:durableId="1417626671">
    <w:abstractNumId w:val="0"/>
  </w:num>
  <w:num w:numId="41" w16cid:durableId="164325580">
    <w:abstractNumId w:val="10"/>
  </w:num>
  <w:num w:numId="42" w16cid:durableId="747120619">
    <w:abstractNumId w:val="10"/>
  </w:num>
  <w:num w:numId="43" w16cid:durableId="1790003588">
    <w:abstractNumId w:val="10"/>
  </w:num>
  <w:num w:numId="44" w16cid:durableId="14048374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/2026"/>
    <w:docVar w:name="dvlangue" w:val="PL"/>
    <w:docVar w:name="dvnumam" w:val="0"/>
    <w:docVar w:name="dvpe" w:val="783.251"/>
    <w:docVar w:name="dvtitre" w:val="Rezolucja Parlamentu Europejskiego z dnia  2026 r. w sprawie nowej chińskiej ustawy o „jedności etnicznej i postępie” oraz wzmożonego tłumienia tożsamości grup etnicznych(2026/2703(RSP))"/>
  </w:docVars>
  <w:rsids>
    <w:rsidRoot w:val="002543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759"/>
    <w:rsid w:val="00254335"/>
    <w:rsid w:val="00257F41"/>
    <w:rsid w:val="002767FF"/>
    <w:rsid w:val="002B18FE"/>
    <w:rsid w:val="002B5493"/>
    <w:rsid w:val="00332BD2"/>
    <w:rsid w:val="00343214"/>
    <w:rsid w:val="00361C00"/>
    <w:rsid w:val="00395FA1"/>
    <w:rsid w:val="003B47F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B1B"/>
    <w:rsid w:val="007D1690"/>
    <w:rsid w:val="007E22AD"/>
    <w:rsid w:val="007F735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56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5ED2B"/>
  <w15:chartTrackingRefBased/>
  <w15:docId w15:val="{258C95AA-015B-4BA3-B228-175D8A98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47759"/>
    <w:pPr>
      <w:spacing w:after="240"/>
      <w:ind w:left="567" w:hanging="567"/>
    </w:pPr>
  </w:style>
  <w:style w:type="paragraph" w:customStyle="1" w:styleId="EPComma">
    <w:name w:val="EPComma"/>
    <w:basedOn w:val="Normal"/>
    <w:rsid w:val="0024775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4775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3548</Characters>
  <Application>Microsoft Office Word</Application>
  <DocSecurity>0</DocSecurity>
  <Lines>126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2026-05-13T05:48:00Z</dcterms:created>
  <dcterms:modified xsi:type="dcterms:W3CDTF">2026-05-13T05:48:00Z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B10-0216/2026</vt:lpwstr>
  </property>
  <property fmtid="{D5CDD505-2E9C-101B-9397-08002B2CF9AE}" pid="4" name="&lt;Type&gt;">
    <vt:lpwstr>RR</vt:lpwstr>
  </property>
</Properties>
</file>