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1274" w14:paraId="10D844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CD1486" w14:textId="77777777" w:rsidR="00751A4A" w:rsidRPr="00C41274" w:rsidRDefault="001432D4" w:rsidP="0010095E">
            <w:pPr>
              <w:pStyle w:val="EPName"/>
            </w:pPr>
            <w:r w:rsidRPr="00C41274">
              <w:t xml:space="preserve">Parlamento </w:t>
            </w:r>
            <w:proofErr w:type="gramStart"/>
            <w:r w:rsidRPr="00C41274">
              <w:t>Europeu</w:t>
            </w:r>
            <w:proofErr w:type="gramEnd"/>
          </w:p>
          <w:p w14:paraId="789912F9" w14:textId="77777777" w:rsidR="00751A4A" w:rsidRPr="00C412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1274">
              <w:t>2024</w:t>
            </w:r>
            <w:r w:rsidR="00817416" w:rsidRPr="00C41274">
              <w:t>-202</w:t>
            </w:r>
            <w:r w:rsidRPr="00C41274">
              <w:t>9</w:t>
            </w:r>
          </w:p>
        </w:tc>
        <w:tc>
          <w:tcPr>
            <w:tcW w:w="2268" w:type="dxa"/>
            <w:shd w:val="clear" w:color="auto" w:fill="auto"/>
          </w:tcPr>
          <w:p w14:paraId="2379C070" w14:textId="77777777" w:rsidR="00751A4A" w:rsidRPr="00C41274" w:rsidRDefault="00187494" w:rsidP="0010095E">
            <w:pPr>
              <w:pStyle w:val="EPLogo"/>
            </w:pPr>
            <w:r w:rsidRPr="00C41274">
              <w:rPr>
                <w:noProof/>
                <w:lang w:eastAsia="ja-JP"/>
              </w:rPr>
              <w:drawing>
                <wp:inline distT="0" distB="0" distL="0" distR="0" wp14:anchorId="23CE2D17" wp14:editId="37A48F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C51AB4" w14:textId="77777777" w:rsidR="00D058B8" w:rsidRPr="00C41274" w:rsidRDefault="00D058B8" w:rsidP="004C5D52">
      <w:pPr>
        <w:pStyle w:val="LineTop"/>
      </w:pPr>
    </w:p>
    <w:p w14:paraId="4B9E4BD3" w14:textId="77777777" w:rsidR="00680577" w:rsidRPr="00C41274" w:rsidRDefault="001432D4" w:rsidP="00680577">
      <w:pPr>
        <w:pStyle w:val="EPBodyTA1"/>
      </w:pPr>
      <w:r w:rsidRPr="00C41274">
        <w:t>TEXTOS APROVADOS</w:t>
      </w:r>
    </w:p>
    <w:p w14:paraId="12CFAEBA" w14:textId="77777777" w:rsidR="00D058B8" w:rsidRPr="00C41274" w:rsidRDefault="00D058B8" w:rsidP="00D058B8">
      <w:pPr>
        <w:pStyle w:val="LineBottom"/>
      </w:pPr>
    </w:p>
    <w:p w14:paraId="446EDD94" w14:textId="0D2ACB4F" w:rsidR="001432D4" w:rsidRPr="00C41274" w:rsidRDefault="001432D4" w:rsidP="001432D4">
      <w:pPr>
        <w:pStyle w:val="ATHeading1"/>
      </w:pPr>
      <w:bookmarkStart w:id="0" w:name="TANumber"/>
      <w:r w:rsidRPr="00C41274">
        <w:t>P10_</w:t>
      </w:r>
      <w:proofErr w:type="gramStart"/>
      <w:r w:rsidRPr="00C41274">
        <w:t>TA(</w:t>
      </w:r>
      <w:proofErr w:type="gramEnd"/>
      <w:r w:rsidRPr="00C41274">
        <w:t>2026)</w:t>
      </w:r>
      <w:bookmarkEnd w:id="0"/>
      <w:r w:rsidR="00E11954" w:rsidRPr="00C41274">
        <w:t>0152</w:t>
      </w:r>
    </w:p>
    <w:p w14:paraId="6C373F98" w14:textId="77777777" w:rsidR="001432D4" w:rsidRPr="00C41274" w:rsidRDefault="001432D4" w:rsidP="001432D4">
      <w:pPr>
        <w:pStyle w:val="ATHeading2"/>
      </w:pPr>
      <w:bookmarkStart w:id="1" w:name="title"/>
      <w:r w:rsidRPr="00C41274">
        <w:t>A nova lei chinesa sobre «unidade étnica e progresso» e a intensificação da repressão das identidades étnicas</w:t>
      </w:r>
      <w:bookmarkEnd w:id="1"/>
    </w:p>
    <w:p w14:paraId="1E8F9957" w14:textId="77777777" w:rsidR="001432D4" w:rsidRPr="00C41274" w:rsidRDefault="001432D4" w:rsidP="001432D4">
      <w:pPr>
        <w:rPr>
          <w:i/>
          <w:vanish/>
        </w:rPr>
      </w:pPr>
      <w:r w:rsidRPr="00C41274">
        <w:rPr>
          <w:i/>
        </w:rPr>
        <w:fldChar w:fldCharType="begin"/>
      </w:r>
      <w:r w:rsidRPr="00C41274">
        <w:rPr>
          <w:i/>
        </w:rPr>
        <w:instrText xml:space="preserve"> TC"(</w:instrText>
      </w:r>
      <w:bookmarkStart w:id="2" w:name="DocNumber"/>
      <w:r w:rsidRPr="00C41274">
        <w:rPr>
          <w:i/>
        </w:rPr>
        <w:instrText>B10-0216, 0223, 0232, 0233 e 0234/2026</w:instrText>
      </w:r>
      <w:bookmarkEnd w:id="2"/>
      <w:r w:rsidRPr="00C41274">
        <w:rPr>
          <w:i/>
        </w:rPr>
        <w:instrText xml:space="preserve">)"\l3 \n&gt; \* MERGEFORMAT </w:instrText>
      </w:r>
      <w:r w:rsidRPr="00C41274">
        <w:rPr>
          <w:i/>
        </w:rPr>
        <w:fldChar w:fldCharType="end"/>
      </w:r>
    </w:p>
    <w:p w14:paraId="05FA6079" w14:textId="77777777" w:rsidR="001432D4" w:rsidRPr="00C41274" w:rsidRDefault="001432D4" w:rsidP="001432D4">
      <w:pPr>
        <w:rPr>
          <w:vanish/>
        </w:rPr>
      </w:pPr>
      <w:bookmarkStart w:id="3" w:name="PE"/>
      <w:r w:rsidRPr="00C41274">
        <w:rPr>
          <w:vanish/>
        </w:rPr>
        <w:t>PE783.251</w:t>
      </w:r>
      <w:bookmarkEnd w:id="3"/>
    </w:p>
    <w:p w14:paraId="3172EB5F" w14:textId="7BAA0CBD" w:rsidR="001432D4" w:rsidRPr="00C41274" w:rsidRDefault="001432D4" w:rsidP="001432D4">
      <w:pPr>
        <w:pStyle w:val="ATHeading3"/>
      </w:pPr>
      <w:bookmarkStart w:id="4" w:name="Sujet"/>
      <w:r w:rsidRPr="00C41274">
        <w:t xml:space="preserve">Resolução do Parlamento Europeu, de </w:t>
      </w:r>
      <w:r w:rsidR="00E11954" w:rsidRPr="00C41274">
        <w:t xml:space="preserve">30 </w:t>
      </w:r>
      <w:r w:rsidRPr="00C41274">
        <w:t xml:space="preserve">de </w:t>
      </w:r>
      <w:r w:rsidR="00E11954" w:rsidRPr="00C41274">
        <w:t xml:space="preserve">abril </w:t>
      </w:r>
      <w:r w:rsidRPr="00C41274">
        <w:t>de 2026, sobre a nova lei chinesa sobre «unidade étnica e progresso» e a intensificação da repressão das identidades étnicas</w:t>
      </w:r>
      <w:bookmarkEnd w:id="4"/>
      <w:r w:rsidRPr="00C41274">
        <w:t xml:space="preserve"> </w:t>
      </w:r>
      <w:bookmarkStart w:id="5" w:name="References"/>
      <w:r w:rsidRPr="00C41274">
        <w:t>(2026/2703(RSP))</w:t>
      </w:r>
      <w:bookmarkEnd w:id="5"/>
    </w:p>
    <w:p w14:paraId="3B4D9758" w14:textId="77777777" w:rsidR="000645CF" w:rsidRPr="00C41274" w:rsidRDefault="000645CF" w:rsidP="000645CF">
      <w:pPr>
        <w:pStyle w:val="EPComma"/>
      </w:pPr>
      <w:bookmarkStart w:id="6" w:name="TextBodyBegin"/>
      <w:bookmarkEnd w:id="6"/>
      <w:r w:rsidRPr="00C41274">
        <w:rPr>
          <w:i/>
        </w:rPr>
        <w:t>O Parlamento Europeu</w:t>
      </w:r>
      <w:r w:rsidRPr="00C41274">
        <w:t>,</w:t>
      </w:r>
    </w:p>
    <w:p w14:paraId="2AB3E1F6" w14:textId="77777777" w:rsidR="000645CF" w:rsidRPr="00C41274" w:rsidRDefault="000645CF" w:rsidP="000645CF">
      <w:pPr>
        <w:pStyle w:val="NormalHanging12a"/>
      </w:pPr>
      <w:r w:rsidRPr="00C41274">
        <w:t>–</w:t>
      </w:r>
      <w:r w:rsidRPr="00C41274">
        <w:tab/>
        <w:t>Tendo em conta o artigo 150.º, n.º 5, e o artigo 136.º, n.º 4, do seu Regimento,</w:t>
      </w:r>
    </w:p>
    <w:p w14:paraId="51F06FC9" w14:textId="31D8036B" w:rsidR="000645CF" w:rsidRPr="00C41274" w:rsidRDefault="000645CF" w:rsidP="000645CF">
      <w:pPr>
        <w:pStyle w:val="NormalHanging12a"/>
        <w:rPr>
          <w:bCs/>
        </w:rPr>
      </w:pPr>
      <w:r w:rsidRPr="00C41274">
        <w:t>A.</w:t>
      </w:r>
      <w:r w:rsidRPr="00C41274">
        <w:tab/>
        <w:t xml:space="preserve">Considerando que a proteção da identidade nacional ou étnica, cultural, religiosa e linguística das minorias está enraizada no direito internacional consuetudinário, conforme refletido na Declaração das Nações Unidas sobre os Direitos das Pessoas Pertencentes a Minorias Nacionais ou Étnicas, </w:t>
      </w:r>
      <w:proofErr w:type="gramStart"/>
      <w:r w:rsidRPr="00C41274">
        <w:t>Religiosas e Linguísticas</w:t>
      </w:r>
      <w:proofErr w:type="gramEnd"/>
      <w:r w:rsidR="00E11954" w:rsidRPr="00C41274">
        <w:t>; considerando que</w:t>
      </w:r>
      <w:r w:rsidRPr="00C41274">
        <w:t xml:space="preserve"> todos os Estados são obrigados a respeitar estas normas;</w:t>
      </w:r>
    </w:p>
    <w:p w14:paraId="0FFD4E8F" w14:textId="4707E1BC" w:rsidR="000645CF" w:rsidRPr="00C41274" w:rsidRDefault="000645CF" w:rsidP="000645CF">
      <w:pPr>
        <w:pStyle w:val="NormalHanging12a"/>
      </w:pPr>
      <w:r w:rsidRPr="00C41274">
        <w:t>B.</w:t>
      </w:r>
      <w:r w:rsidRPr="00C41274">
        <w:tab/>
        <w:t>Considerando que, em 12 de março de 2026, a Assembleia Popular Nacional da China adotou a Lei sobre a promoção da unidade étnica e do progresso, que aprofunda a integração da ideologia do Estado, dá prioridade ao mandarim na educação, na vida pública e nos meios de comunicação social e intensifica a repressão institucionalizada e a assimilação das identidades das minorias étnicas, nomeadamente os tibetanos, os hui, os uigures, os manchus e os mongóis</w:t>
      </w:r>
      <w:r w:rsidR="00E11954" w:rsidRPr="00C41274">
        <w:t>; considerando que</w:t>
      </w:r>
      <w:r w:rsidRPr="00C41274">
        <w:t xml:space="preserve"> esta lei se afasta significativamente da Lei de Autonomia Étnica Regional da China, de 1984;</w:t>
      </w:r>
    </w:p>
    <w:p w14:paraId="03BB83F1" w14:textId="77777777" w:rsidR="000645CF" w:rsidRPr="00C41274" w:rsidRDefault="000645CF" w:rsidP="000645CF">
      <w:pPr>
        <w:pStyle w:val="NormalHanging12a"/>
      </w:pPr>
      <w:r w:rsidRPr="00C41274">
        <w:t>C.</w:t>
      </w:r>
      <w:r w:rsidRPr="00C41274">
        <w:tab/>
        <w:t>Considerando que o alcance extraterritorial da lei permite a acusação penal de pessoas no estrangeiro consideradas responsáveis por minar a «unidade étnica» da China;</w:t>
      </w:r>
    </w:p>
    <w:p w14:paraId="4BC16CAC" w14:textId="146BB62D" w:rsidR="000645CF" w:rsidRPr="00C41274" w:rsidRDefault="000645CF" w:rsidP="000645CF">
      <w:pPr>
        <w:pStyle w:val="NormalHanging12a"/>
      </w:pPr>
      <w:r w:rsidRPr="00C41274">
        <w:t>D.</w:t>
      </w:r>
      <w:r w:rsidRPr="00C41274">
        <w:tab/>
        <w:t>Considerando que a deterioração da situação dos direitos humanos na China exerceu pressão sobre as suas relações com a UE</w:t>
      </w:r>
      <w:r w:rsidR="00E11954" w:rsidRPr="00C41274">
        <w:t>; considerando que</w:t>
      </w:r>
      <w:r w:rsidRPr="00C41274">
        <w:t xml:space="preserve"> o respeito pelos direitos humanos, pela democracia e pelo Estado de direito deve estar no cerne das relações da UE com a China;</w:t>
      </w:r>
    </w:p>
    <w:p w14:paraId="5672DE32" w14:textId="77777777" w:rsidR="000645CF" w:rsidRPr="00C41274" w:rsidRDefault="000645CF" w:rsidP="000645CF">
      <w:pPr>
        <w:pStyle w:val="NormalHanging12a"/>
      </w:pPr>
      <w:r w:rsidRPr="00C41274">
        <w:t>1.</w:t>
      </w:r>
      <w:r w:rsidRPr="00C41274">
        <w:tab/>
        <w:t>Condena veementemente as políticas de assimilação repressivas da China e as consequentes violações dos direitos humanos universais, nomeadamente no Tibete, no Sinquião e na Mongólia Interior;</w:t>
      </w:r>
    </w:p>
    <w:p w14:paraId="0FC30A98" w14:textId="77777777" w:rsidR="000645CF" w:rsidRPr="00C41274" w:rsidRDefault="000645CF" w:rsidP="000645CF">
      <w:pPr>
        <w:pStyle w:val="NormalHanging12a"/>
      </w:pPr>
      <w:r w:rsidRPr="00C41274">
        <w:lastRenderedPageBreak/>
        <w:t>2.</w:t>
      </w:r>
      <w:r w:rsidRPr="00C41274">
        <w:tab/>
        <w:t>Manifesta profunda preocupação com a aprovação da Lei sobre a promoção da unidade étnica e do progresso, que promove abertamente políticas de assimilação e restringe a liberdade cultural, religiosa e linguística de vários grupos dentro e fora da China;</w:t>
      </w:r>
    </w:p>
    <w:p w14:paraId="487A284F" w14:textId="77777777" w:rsidR="000645CF" w:rsidRPr="00C41274" w:rsidRDefault="000645CF" w:rsidP="000645CF">
      <w:pPr>
        <w:pStyle w:val="NormalHanging12a"/>
      </w:pPr>
      <w:r w:rsidRPr="00C41274">
        <w:t>3.</w:t>
      </w:r>
      <w:r w:rsidRPr="00C41274">
        <w:tab/>
        <w:t>Exorta a China a revogar a referida lei e, assim, a cumprir as suas obrigações ao abrigo do direito internacional em matéria de não discriminação e de proteção e promoção das minorias étnicas e religiosas;</w:t>
      </w:r>
    </w:p>
    <w:p w14:paraId="1169364B" w14:textId="77777777" w:rsidR="000645CF" w:rsidRPr="00C41274" w:rsidRDefault="000645CF" w:rsidP="000645CF">
      <w:pPr>
        <w:pStyle w:val="NormalHanging12a"/>
        <w:rPr>
          <w:bCs/>
        </w:rPr>
      </w:pPr>
      <w:r w:rsidRPr="00C41274">
        <w:t>4.</w:t>
      </w:r>
      <w:r w:rsidRPr="00C41274">
        <w:tab/>
        <w:t>Insta o Conselho a ativar o regime global de sanções da UE em matéria de direitos humanos contra funcionários e entidades responsáveis pela conceção e aplicação desta lei;</w:t>
      </w:r>
    </w:p>
    <w:p w14:paraId="0C549BB0" w14:textId="77777777" w:rsidR="000645CF" w:rsidRPr="00C41274" w:rsidRDefault="000645CF" w:rsidP="000645CF">
      <w:pPr>
        <w:pStyle w:val="NormalHanging12a"/>
      </w:pPr>
      <w:r w:rsidRPr="00C41274">
        <w:t>5.</w:t>
      </w:r>
      <w:r w:rsidRPr="00C41274">
        <w:tab/>
        <w:t>Deplora as disposições extraterritoriais da lei, que constituem repressão transnacional; insta todos os Estados</w:t>
      </w:r>
      <w:r w:rsidRPr="00C41274">
        <w:noBreakHyphen/>
        <w:t>Membros da UE a suspenderem os tratados de extradição com a China para proteger as pessoas perseguidas que residem na UE dos riscos de repressão transnacional ao abrigo desta lei;</w:t>
      </w:r>
    </w:p>
    <w:p w14:paraId="24E56A82" w14:textId="77777777" w:rsidR="000645CF" w:rsidRPr="00C41274" w:rsidRDefault="000645CF" w:rsidP="000645CF">
      <w:pPr>
        <w:pStyle w:val="NormalHanging12a"/>
      </w:pPr>
      <w:r w:rsidRPr="00C41274">
        <w:t>6.</w:t>
      </w:r>
      <w:r w:rsidRPr="00C41274">
        <w:tab/>
        <w:t xml:space="preserve">Rejeita veementemente as tentativas das autoridades chinesas de interferir no reconhecimento e na educação dos líderes espirituais budistas tibetanos; realça que a sucessão do </w:t>
      </w:r>
      <w:proofErr w:type="spellStart"/>
      <w:r w:rsidRPr="00C41274">
        <w:t>Dalai</w:t>
      </w:r>
      <w:proofErr w:type="spellEnd"/>
      <w:r w:rsidRPr="00C41274">
        <w:t> Lama é uma questão puramente religiosa, que deve ser determinada exclusivamente de acordo com as tradições budistas tibetanas;</w:t>
      </w:r>
    </w:p>
    <w:p w14:paraId="1033C037" w14:textId="77777777" w:rsidR="000645CF" w:rsidRPr="00C41274" w:rsidRDefault="000645CF" w:rsidP="000645CF">
      <w:pPr>
        <w:pStyle w:val="NormalHanging12a"/>
      </w:pPr>
      <w:r w:rsidRPr="00C41274">
        <w:t>7.</w:t>
      </w:r>
      <w:r w:rsidRPr="00C41274">
        <w:tab/>
        <w:t xml:space="preserve">Solicita a libertação imediata dos presos políticos da China, entre os quais </w:t>
      </w:r>
      <w:proofErr w:type="spellStart"/>
      <w:r w:rsidRPr="00C41274">
        <w:t>Choktrul</w:t>
      </w:r>
      <w:proofErr w:type="spellEnd"/>
      <w:r w:rsidRPr="00C41274">
        <w:t xml:space="preserve"> </w:t>
      </w:r>
      <w:proofErr w:type="spellStart"/>
      <w:r w:rsidRPr="00C41274">
        <w:t>Dorje</w:t>
      </w:r>
      <w:proofErr w:type="spellEnd"/>
      <w:r w:rsidRPr="00C41274">
        <w:t xml:space="preserve"> </w:t>
      </w:r>
      <w:proofErr w:type="spellStart"/>
      <w:r w:rsidRPr="00C41274">
        <w:t>Ten</w:t>
      </w:r>
      <w:proofErr w:type="spellEnd"/>
      <w:r w:rsidRPr="00C41274">
        <w:t xml:space="preserve"> Rinpoche, </w:t>
      </w:r>
      <w:proofErr w:type="spellStart"/>
      <w:r w:rsidRPr="00C41274">
        <w:t>Palden</w:t>
      </w:r>
      <w:proofErr w:type="spellEnd"/>
      <w:r w:rsidRPr="00C41274">
        <w:t xml:space="preserve"> </w:t>
      </w:r>
      <w:proofErr w:type="spellStart"/>
      <w:r w:rsidRPr="00C41274">
        <w:t>Yeshi</w:t>
      </w:r>
      <w:proofErr w:type="spellEnd"/>
      <w:r w:rsidRPr="00C41274">
        <w:t xml:space="preserve">, o laureado com o Prémio </w:t>
      </w:r>
      <w:proofErr w:type="spellStart"/>
      <w:r w:rsidRPr="00C41274">
        <w:t>Sakharov</w:t>
      </w:r>
      <w:proofErr w:type="spellEnd"/>
      <w:r w:rsidRPr="00C41274">
        <w:t xml:space="preserve"> Ilham </w:t>
      </w:r>
      <w:proofErr w:type="spellStart"/>
      <w:r w:rsidRPr="00C41274">
        <w:t>Tohti</w:t>
      </w:r>
      <w:proofErr w:type="spellEnd"/>
      <w:r w:rsidRPr="00C41274">
        <w:t>, o 11.º </w:t>
      </w:r>
      <w:proofErr w:type="spellStart"/>
      <w:r w:rsidRPr="00C41274">
        <w:t>panchen</w:t>
      </w:r>
      <w:proofErr w:type="spellEnd"/>
      <w:r w:rsidRPr="00C41274">
        <w:noBreakHyphen/>
        <w:t xml:space="preserve">lama </w:t>
      </w:r>
      <w:proofErr w:type="spellStart"/>
      <w:r w:rsidRPr="00C41274">
        <w:t>Gedhun</w:t>
      </w:r>
      <w:proofErr w:type="spellEnd"/>
      <w:r w:rsidRPr="00C41274">
        <w:t xml:space="preserve"> </w:t>
      </w:r>
      <w:proofErr w:type="spellStart"/>
      <w:r w:rsidRPr="00C41274">
        <w:t>Choekyi</w:t>
      </w:r>
      <w:proofErr w:type="spellEnd"/>
      <w:r w:rsidRPr="00C41274">
        <w:t xml:space="preserve"> </w:t>
      </w:r>
      <w:proofErr w:type="spellStart"/>
      <w:r w:rsidRPr="00C41274">
        <w:t>Nyima</w:t>
      </w:r>
      <w:proofErr w:type="spellEnd"/>
      <w:r w:rsidRPr="00C41274">
        <w:t xml:space="preserve"> e o ativista mongol </w:t>
      </w:r>
      <w:proofErr w:type="spellStart"/>
      <w:r w:rsidRPr="00C41274">
        <w:t>Hada</w:t>
      </w:r>
      <w:proofErr w:type="spellEnd"/>
      <w:r w:rsidRPr="00C41274">
        <w:t>; insta o Serviço Europeu para a Ação Externa, a Comissão e os Estados</w:t>
      </w:r>
      <w:r w:rsidRPr="00C41274">
        <w:noBreakHyphen/>
        <w:t>Membros a continuarem a abordar estes casos junto da China;</w:t>
      </w:r>
    </w:p>
    <w:p w14:paraId="2C61C04B" w14:textId="03389DC4" w:rsidR="000645CF" w:rsidRPr="00C41274" w:rsidRDefault="000645CF" w:rsidP="000645CF">
      <w:pPr>
        <w:pStyle w:val="NormalHanging12a"/>
      </w:pPr>
      <w:r w:rsidRPr="00C41274">
        <w:t>8.</w:t>
      </w:r>
      <w:r w:rsidRPr="00C41274">
        <w:tab/>
        <w:t>Convida o alto</w:t>
      </w:r>
      <w:r w:rsidRPr="00C41274">
        <w:noBreakHyphen/>
        <w:t xml:space="preserve">comissário das Nações Unidas para os Direitos Humanos a publicar um relatório de situação atualizado sobre a China, incindindo especificamente na lei </w:t>
      </w:r>
      <w:r w:rsidR="00E11954" w:rsidRPr="00C41274">
        <w:t>de </w:t>
      </w:r>
      <w:r w:rsidRPr="00C41274">
        <w:t>2026;</w:t>
      </w:r>
    </w:p>
    <w:p w14:paraId="3D1ACD92" w14:textId="77777777" w:rsidR="000645CF" w:rsidRPr="00C41274" w:rsidRDefault="000645CF" w:rsidP="000645CF">
      <w:pPr>
        <w:pStyle w:val="NormalHanging12a"/>
      </w:pPr>
      <w:r w:rsidRPr="00C41274">
        <w:t>9.</w:t>
      </w:r>
      <w:r w:rsidRPr="00C41274">
        <w:tab/>
        <w:t>Entende que a introdução e a aplicação desta lei terão graves consequências para as relações UE</w:t>
      </w:r>
      <w:r w:rsidRPr="00C41274">
        <w:noBreakHyphen/>
        <w:t>China;</w:t>
      </w:r>
    </w:p>
    <w:p w14:paraId="484D2917" w14:textId="6C348548" w:rsidR="00A2342D" w:rsidRPr="00C41274" w:rsidRDefault="000645CF" w:rsidP="00A2342D">
      <w:pPr>
        <w:pStyle w:val="NormalHanging12a"/>
      </w:pPr>
      <w:r w:rsidRPr="00C41274">
        <w:t>10.</w:t>
      </w:r>
      <w:r w:rsidRPr="00C41274">
        <w:tab/>
        <w:t>Encarrega a sua Presidente de transmitir a presente resolução aos Estados</w:t>
      </w:r>
      <w:r w:rsidRPr="00C41274">
        <w:noBreakHyphen/>
        <w:t>Membros e às outras instituições da UE, ao Governo chinês, às Nações Unidas e à Administração Central Tibetana.</w:t>
      </w:r>
    </w:p>
    <w:p w14:paraId="149FF660" w14:textId="1214E975" w:rsidR="00E365E1" w:rsidRPr="00C41274" w:rsidRDefault="00E365E1" w:rsidP="001432D4"/>
    <w:sectPr w:rsidR="00E365E1" w:rsidRPr="00C41274" w:rsidSect="00A234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49E44" w14:textId="77777777" w:rsidR="001432D4" w:rsidRPr="00A2342D" w:rsidRDefault="001432D4">
      <w:r w:rsidRPr="00A2342D">
        <w:separator/>
      </w:r>
    </w:p>
  </w:endnote>
  <w:endnote w:type="continuationSeparator" w:id="0">
    <w:p w14:paraId="4D4ECA28" w14:textId="77777777" w:rsidR="001432D4" w:rsidRPr="00A2342D" w:rsidRDefault="001432D4">
      <w:r w:rsidRPr="00A234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4C8B" w14:textId="77777777" w:rsidR="00064002" w:rsidRPr="00A234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4934" w14:textId="77777777" w:rsidR="00064002" w:rsidRPr="00A234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A2B5" w14:textId="77777777" w:rsidR="00064002" w:rsidRPr="00A234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0B22E" w14:textId="77777777" w:rsidR="001432D4" w:rsidRPr="00A2342D" w:rsidRDefault="001432D4">
      <w:r w:rsidRPr="00A2342D">
        <w:separator/>
      </w:r>
    </w:p>
  </w:footnote>
  <w:footnote w:type="continuationSeparator" w:id="0">
    <w:p w14:paraId="61075DB9" w14:textId="77777777" w:rsidR="001432D4" w:rsidRPr="00A2342D" w:rsidRDefault="001432D4">
      <w:r w:rsidRPr="00A234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50FD" w14:textId="77777777" w:rsidR="00064002" w:rsidRPr="00A234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755F" w14:textId="77777777" w:rsidR="00064002" w:rsidRPr="00A234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14C5" w14:textId="77777777" w:rsidR="00064002" w:rsidRPr="00A234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0811252">
    <w:abstractNumId w:val="9"/>
  </w:num>
  <w:num w:numId="2" w16cid:durableId="1774548793">
    <w:abstractNumId w:val="9"/>
  </w:num>
  <w:num w:numId="3" w16cid:durableId="1637106184">
    <w:abstractNumId w:val="7"/>
  </w:num>
  <w:num w:numId="4" w16cid:durableId="503933954">
    <w:abstractNumId w:val="7"/>
  </w:num>
  <w:num w:numId="5" w16cid:durableId="1778409578">
    <w:abstractNumId w:val="6"/>
  </w:num>
  <w:num w:numId="6" w16cid:durableId="2134976548">
    <w:abstractNumId w:val="6"/>
  </w:num>
  <w:num w:numId="7" w16cid:durableId="867642260">
    <w:abstractNumId w:val="5"/>
  </w:num>
  <w:num w:numId="8" w16cid:durableId="725035193">
    <w:abstractNumId w:val="5"/>
  </w:num>
  <w:num w:numId="9" w16cid:durableId="762071218">
    <w:abstractNumId w:val="4"/>
  </w:num>
  <w:num w:numId="10" w16cid:durableId="1357733236">
    <w:abstractNumId w:val="4"/>
  </w:num>
  <w:num w:numId="11" w16cid:durableId="1481262643">
    <w:abstractNumId w:val="8"/>
  </w:num>
  <w:num w:numId="12" w16cid:durableId="1426030442">
    <w:abstractNumId w:val="8"/>
  </w:num>
  <w:num w:numId="13" w16cid:durableId="11730967">
    <w:abstractNumId w:val="3"/>
  </w:num>
  <w:num w:numId="14" w16cid:durableId="449981376">
    <w:abstractNumId w:val="3"/>
  </w:num>
  <w:num w:numId="15" w16cid:durableId="1540824890">
    <w:abstractNumId w:val="2"/>
  </w:num>
  <w:num w:numId="16" w16cid:durableId="1381636468">
    <w:abstractNumId w:val="2"/>
  </w:num>
  <w:num w:numId="17" w16cid:durableId="935870372">
    <w:abstractNumId w:val="1"/>
  </w:num>
  <w:num w:numId="18" w16cid:durableId="1291859499">
    <w:abstractNumId w:val="1"/>
  </w:num>
  <w:num w:numId="19" w16cid:durableId="528883577">
    <w:abstractNumId w:val="0"/>
  </w:num>
  <w:num w:numId="20" w16cid:durableId="1809468242">
    <w:abstractNumId w:val="0"/>
  </w:num>
  <w:num w:numId="21" w16cid:durableId="73165257">
    <w:abstractNumId w:val="9"/>
  </w:num>
  <w:num w:numId="22" w16cid:durableId="13189586">
    <w:abstractNumId w:val="7"/>
  </w:num>
  <w:num w:numId="23" w16cid:durableId="708458825">
    <w:abstractNumId w:val="6"/>
  </w:num>
  <w:num w:numId="24" w16cid:durableId="1967277026">
    <w:abstractNumId w:val="5"/>
  </w:num>
  <w:num w:numId="25" w16cid:durableId="111289768">
    <w:abstractNumId w:val="4"/>
  </w:num>
  <w:num w:numId="26" w16cid:durableId="63722661">
    <w:abstractNumId w:val="8"/>
  </w:num>
  <w:num w:numId="27" w16cid:durableId="1308166780">
    <w:abstractNumId w:val="3"/>
  </w:num>
  <w:num w:numId="28" w16cid:durableId="406197482">
    <w:abstractNumId w:val="2"/>
  </w:num>
  <w:num w:numId="29" w16cid:durableId="1516076594">
    <w:abstractNumId w:val="1"/>
  </w:num>
  <w:num w:numId="30" w16cid:durableId="1598369942">
    <w:abstractNumId w:val="0"/>
  </w:num>
  <w:num w:numId="31" w16cid:durableId="1277563375">
    <w:abstractNumId w:val="9"/>
  </w:num>
  <w:num w:numId="32" w16cid:durableId="70589349">
    <w:abstractNumId w:val="7"/>
  </w:num>
  <w:num w:numId="33" w16cid:durableId="1462453413">
    <w:abstractNumId w:val="6"/>
  </w:num>
  <w:num w:numId="34" w16cid:durableId="1381442372">
    <w:abstractNumId w:val="5"/>
  </w:num>
  <w:num w:numId="35" w16cid:durableId="2103798332">
    <w:abstractNumId w:val="4"/>
  </w:num>
  <w:num w:numId="36" w16cid:durableId="1578323047">
    <w:abstractNumId w:val="8"/>
  </w:num>
  <w:num w:numId="37" w16cid:durableId="53509690">
    <w:abstractNumId w:val="3"/>
  </w:num>
  <w:num w:numId="38" w16cid:durableId="1335108485">
    <w:abstractNumId w:val="2"/>
  </w:num>
  <w:num w:numId="39" w16cid:durableId="325286934">
    <w:abstractNumId w:val="1"/>
  </w:num>
  <w:num w:numId="40" w16cid:durableId="1100755699">
    <w:abstractNumId w:val="0"/>
  </w:num>
  <w:num w:numId="41" w16cid:durableId="461000297">
    <w:abstractNumId w:val="10"/>
  </w:num>
  <w:num w:numId="42" w16cid:durableId="447773789">
    <w:abstractNumId w:val="10"/>
  </w:num>
  <w:num w:numId="43" w16cid:durableId="649403361">
    <w:abstractNumId w:val="10"/>
  </w:num>
  <w:num w:numId="44" w16cid:durableId="895552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, 0223, 0232, 0233 e 0234/2026"/>
    <w:docVar w:name="dvlangue" w:val="PT"/>
    <w:docVar w:name="dvnumam" w:val="0"/>
    <w:docVar w:name="dvpe" w:val="783.251"/>
    <w:docVar w:name="dvtitre" w:val="Resolução do Parlamento Europeu, de ... de ... de 2026,_x000d__x000a_ sobre a nova lei chinesa sobre «unidade étnica e progresso» e a intensificação da repressão das identidades étnicas(2026/2703(RSP))"/>
  </w:docVars>
  <w:rsids>
    <w:rsidRoot w:val="001432D4"/>
    <w:rsid w:val="00002272"/>
    <w:rsid w:val="00064002"/>
    <w:rsid w:val="000645CF"/>
    <w:rsid w:val="000677B9"/>
    <w:rsid w:val="000831BA"/>
    <w:rsid w:val="000A42CC"/>
    <w:rsid w:val="000C30C5"/>
    <w:rsid w:val="000E7DD9"/>
    <w:rsid w:val="0010095E"/>
    <w:rsid w:val="00125B37"/>
    <w:rsid w:val="001432D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42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27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95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144C2"/>
  <w15:chartTrackingRefBased/>
  <w15:docId w15:val="{1AB1C38C-DD01-46C6-B0C3-05E1F45A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645CF"/>
    <w:pPr>
      <w:spacing w:after="240"/>
      <w:ind w:left="567" w:hanging="567"/>
    </w:pPr>
  </w:style>
  <w:style w:type="paragraph" w:customStyle="1" w:styleId="EPComma">
    <w:name w:val="EPComma"/>
    <w:basedOn w:val="Normal"/>
    <w:rsid w:val="000645C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645CF"/>
    <w:rPr>
      <w:sz w:val="24"/>
      <w:lang w:val="pt-PT"/>
    </w:rPr>
  </w:style>
  <w:style w:type="paragraph" w:styleId="Revision">
    <w:name w:val="Revision"/>
    <w:hidden/>
    <w:uiPriority w:val="99"/>
    <w:semiHidden/>
    <w:rsid w:val="00E11954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3600</Characters>
  <Application>Microsoft Office Word</Application>
  <DocSecurity>0</DocSecurity>
  <Lines>54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2026-04-30T10:45:00Z</dcterms:created>
  <dcterms:modified xsi:type="dcterms:W3CDTF">2026-04-30T10:45:00Z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B10-0216, 0223, 0232, 0233 e 0234/2026</vt:lpwstr>
  </property>
  <property fmtid="{D5CDD505-2E9C-101B-9397-08002B2CF9AE}" pid="4" name="&lt;Type&gt;">
    <vt:lpwstr>RR</vt:lpwstr>
  </property>
</Properties>
</file>