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418B" w14:paraId="57895B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07F66C" w14:textId="77777777" w:rsidR="00751A4A" w:rsidRPr="0078418B" w:rsidRDefault="001F71D7" w:rsidP="0010095E">
            <w:pPr>
              <w:pStyle w:val="EPName"/>
            </w:pPr>
            <w:r w:rsidRPr="0078418B">
              <w:t>Parlamentul European</w:t>
            </w:r>
          </w:p>
          <w:p w14:paraId="36857D54" w14:textId="77777777" w:rsidR="00751A4A" w:rsidRPr="007841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418B">
              <w:t>2024</w:t>
            </w:r>
            <w:r w:rsidR="00817416" w:rsidRPr="0078418B">
              <w:t>-202</w:t>
            </w:r>
            <w:r w:rsidRPr="0078418B">
              <w:t>9</w:t>
            </w:r>
          </w:p>
        </w:tc>
        <w:tc>
          <w:tcPr>
            <w:tcW w:w="2268" w:type="dxa"/>
            <w:shd w:val="clear" w:color="auto" w:fill="auto"/>
          </w:tcPr>
          <w:p w14:paraId="3A25CF2A" w14:textId="77777777" w:rsidR="00751A4A" w:rsidRPr="0078418B" w:rsidRDefault="00187494" w:rsidP="0010095E">
            <w:pPr>
              <w:pStyle w:val="EPLogo"/>
            </w:pPr>
            <w:r w:rsidRPr="0078418B">
              <w:rPr>
                <w:noProof/>
                <w:lang w:eastAsia="ja-JP"/>
              </w:rPr>
              <w:drawing>
                <wp:inline distT="0" distB="0" distL="0" distR="0" wp14:anchorId="05B42529" wp14:editId="6B0253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12331" w14:textId="77777777" w:rsidR="00D058B8" w:rsidRPr="0078418B" w:rsidRDefault="00D058B8" w:rsidP="004C5D52">
      <w:pPr>
        <w:pStyle w:val="LineTop"/>
      </w:pPr>
    </w:p>
    <w:p w14:paraId="342FF6CD" w14:textId="77777777" w:rsidR="00680577" w:rsidRPr="0078418B" w:rsidRDefault="001F71D7" w:rsidP="00680577">
      <w:pPr>
        <w:pStyle w:val="EPBodyTA1"/>
      </w:pPr>
      <w:r w:rsidRPr="0078418B">
        <w:t>TEXTE ADOPTATE</w:t>
      </w:r>
    </w:p>
    <w:p w14:paraId="2F1BF4CF" w14:textId="77777777" w:rsidR="00D058B8" w:rsidRPr="0078418B" w:rsidRDefault="00D058B8" w:rsidP="00D058B8">
      <w:pPr>
        <w:pStyle w:val="LineBottom"/>
      </w:pPr>
    </w:p>
    <w:p w14:paraId="5E8B76F9" w14:textId="10784F9C" w:rsidR="001F71D7" w:rsidRPr="0078418B" w:rsidRDefault="001F71D7" w:rsidP="001F71D7">
      <w:pPr>
        <w:pStyle w:val="ATHeading1"/>
      </w:pPr>
      <w:bookmarkStart w:id="0" w:name="TANumber"/>
      <w:r w:rsidRPr="0078418B">
        <w:t>P10_TA(2026)0</w:t>
      </w:r>
      <w:bookmarkEnd w:id="0"/>
      <w:r w:rsidR="0078418B" w:rsidRPr="0078418B">
        <w:t>152</w:t>
      </w:r>
    </w:p>
    <w:p w14:paraId="27601D21" w14:textId="77777777" w:rsidR="001F71D7" w:rsidRPr="0078418B" w:rsidRDefault="001F71D7" w:rsidP="001F71D7">
      <w:pPr>
        <w:pStyle w:val="ATHeading2"/>
      </w:pPr>
      <w:bookmarkStart w:id="1" w:name="title"/>
      <w:r w:rsidRPr="0078418B">
        <w:t>Noua lege chineză privind „unitatea etnică și progresul” și reprimarea intensificată a identităților etnice</w:t>
      </w:r>
      <w:bookmarkEnd w:id="1"/>
    </w:p>
    <w:p w14:paraId="2D4A3955" w14:textId="74DDD607" w:rsidR="001F71D7" w:rsidRPr="0078418B" w:rsidRDefault="001F71D7" w:rsidP="001F71D7">
      <w:pPr>
        <w:rPr>
          <w:i/>
          <w:vanish/>
        </w:rPr>
      </w:pPr>
      <w:r w:rsidRPr="0078418B">
        <w:rPr>
          <w:i/>
        </w:rPr>
        <w:fldChar w:fldCharType="begin"/>
      </w:r>
      <w:r w:rsidRPr="0078418B">
        <w:rPr>
          <w:i/>
        </w:rPr>
        <w:instrText xml:space="preserve"> TC"(</w:instrText>
      </w:r>
      <w:bookmarkStart w:id="2" w:name="DocNumber"/>
      <w:r w:rsidRPr="0078418B">
        <w:rPr>
          <w:i/>
        </w:rPr>
        <w:instrText>B10-0216</w:instrText>
      </w:r>
      <w:r w:rsidR="006A51E3" w:rsidRPr="0078418B">
        <w:rPr>
          <w:i/>
        </w:rPr>
        <w:instrText>, 0223, 0232, 0233 și 0234</w:instrText>
      </w:r>
      <w:r w:rsidRPr="0078418B">
        <w:rPr>
          <w:i/>
        </w:rPr>
        <w:instrText>/2026</w:instrText>
      </w:r>
      <w:bookmarkEnd w:id="2"/>
      <w:r w:rsidRPr="0078418B">
        <w:rPr>
          <w:i/>
        </w:rPr>
        <w:instrText xml:space="preserve">)"\l3 \n&gt; \* MERGEFORMAT </w:instrText>
      </w:r>
      <w:r w:rsidRPr="0078418B">
        <w:rPr>
          <w:i/>
        </w:rPr>
        <w:fldChar w:fldCharType="end"/>
      </w:r>
    </w:p>
    <w:p w14:paraId="13862A27" w14:textId="77777777" w:rsidR="001F71D7" w:rsidRPr="0078418B" w:rsidRDefault="001F71D7" w:rsidP="001F71D7">
      <w:pPr>
        <w:rPr>
          <w:vanish/>
        </w:rPr>
      </w:pPr>
      <w:bookmarkStart w:id="3" w:name="PE"/>
      <w:r w:rsidRPr="0078418B">
        <w:rPr>
          <w:vanish/>
        </w:rPr>
        <w:t>PE783.251</w:t>
      </w:r>
      <w:bookmarkEnd w:id="3"/>
    </w:p>
    <w:p w14:paraId="1D0BDD75" w14:textId="77777777" w:rsidR="001F71D7" w:rsidRPr="0078418B" w:rsidRDefault="001F71D7" w:rsidP="001F71D7">
      <w:pPr>
        <w:pStyle w:val="ATHeading3"/>
      </w:pPr>
      <w:bookmarkStart w:id="4" w:name="Sujet"/>
      <w:r w:rsidRPr="0078418B">
        <w:t>Rezoluția Parlamentului European din 30 aprilie 2026 referitoare la noua lege chineză privind „unitatea etnică și progresul” și reprimarea intensificată a identităților etnice</w:t>
      </w:r>
      <w:bookmarkEnd w:id="4"/>
      <w:r w:rsidRPr="0078418B">
        <w:t xml:space="preserve"> </w:t>
      </w:r>
      <w:bookmarkStart w:id="5" w:name="References"/>
      <w:r w:rsidRPr="0078418B">
        <w:t>(2026/2703(RSP))</w:t>
      </w:r>
      <w:bookmarkEnd w:id="5"/>
    </w:p>
    <w:p w14:paraId="7AB8A76F" w14:textId="77777777" w:rsidR="00876F6D" w:rsidRPr="0078418B" w:rsidRDefault="00876F6D" w:rsidP="00876F6D">
      <w:pPr>
        <w:pStyle w:val="EPComma"/>
      </w:pPr>
      <w:bookmarkStart w:id="6" w:name="TextBodyBegin"/>
      <w:bookmarkEnd w:id="6"/>
      <w:r w:rsidRPr="0078418B">
        <w:rPr>
          <w:i/>
          <w:iCs/>
        </w:rPr>
        <w:t>Parlamentul European</w:t>
      </w:r>
      <w:r w:rsidRPr="0078418B">
        <w:t>,</w:t>
      </w:r>
    </w:p>
    <w:p w14:paraId="18FC48E2" w14:textId="77777777" w:rsidR="00876F6D" w:rsidRPr="0078418B" w:rsidRDefault="00876F6D" w:rsidP="00876F6D">
      <w:pPr>
        <w:pStyle w:val="NormalHanging12a"/>
      </w:pPr>
      <w:r w:rsidRPr="0078418B">
        <w:t>–</w:t>
      </w:r>
      <w:r w:rsidRPr="0078418B">
        <w:tab/>
        <w:t>având în vedere articolul 150 alineatul (5) și articolul 136 alineatul (4) din Regulamentul său de procedură,</w:t>
      </w:r>
    </w:p>
    <w:p w14:paraId="2184CDCF" w14:textId="77777777" w:rsidR="00876F6D" w:rsidRPr="0078418B" w:rsidRDefault="00876F6D" w:rsidP="00876F6D">
      <w:pPr>
        <w:pStyle w:val="NormalHanging12a"/>
        <w:rPr>
          <w:bCs/>
        </w:rPr>
      </w:pPr>
      <w:r w:rsidRPr="0078418B">
        <w:t>A.</w:t>
      </w:r>
      <w:r w:rsidRPr="0078418B">
        <w:tab/>
        <w:t>întrucât protecția identității naționale sau etnice, culturale, religioase și lingvistice a minorităților este ancorată în dreptul internațional cutumiar, astfel cum se reflectă în Declarația ONU privind drepturile persoanelor care aparțin minorităților naționale, etnice, religioase și lingvistice; întrucât toate statele au obligația de a respecta aceste standarde;</w:t>
      </w:r>
    </w:p>
    <w:p w14:paraId="7ED85184" w14:textId="77777777" w:rsidR="00876F6D" w:rsidRPr="0078418B" w:rsidRDefault="00876F6D" w:rsidP="00876F6D">
      <w:pPr>
        <w:pStyle w:val="NormalHanging12a"/>
      </w:pPr>
      <w:r w:rsidRPr="0078418B">
        <w:t>B.</w:t>
      </w:r>
      <w:r w:rsidRPr="0078418B">
        <w:tab/>
        <w:t xml:space="preserve">întrucât, la 12 martie 2026, Congresul Național al Poporului din China a adoptat Legea privind promovarea unității etnic și a progresului, care integrează și mai mult ideologia statului și acordă prioritate limbii mandarine în educație, viața publică și mass-media și intensifică represiunea instituționalizată și asimilarea identităților minorităților etnice, printre care se numără tibetani, hui, </w:t>
      </w:r>
      <w:proofErr w:type="spellStart"/>
      <w:r w:rsidRPr="0078418B">
        <w:t>uiguri</w:t>
      </w:r>
      <w:proofErr w:type="spellEnd"/>
      <w:r w:rsidRPr="0078418B">
        <w:t>, manciurieni și mongoli; întrucât această lege se abate în mod semnificativ de la Legea chineză din 1984 privind autonomia etnică regională;</w:t>
      </w:r>
    </w:p>
    <w:p w14:paraId="4BBC348E" w14:textId="77777777" w:rsidR="00876F6D" w:rsidRPr="0078418B" w:rsidRDefault="00876F6D" w:rsidP="00876F6D">
      <w:pPr>
        <w:pStyle w:val="NormalHanging12a"/>
      </w:pPr>
      <w:r w:rsidRPr="0078418B">
        <w:t>C.</w:t>
      </w:r>
      <w:r w:rsidRPr="0078418B">
        <w:tab/>
        <w:t>întrucât raza de acțiune extrateritorială a legii permite urmărirea penală a persoanelor din străinătate despre care se consideră că subminează „unitatea etnică” a Chinei;</w:t>
      </w:r>
    </w:p>
    <w:p w14:paraId="0E391251" w14:textId="77777777" w:rsidR="00876F6D" w:rsidRPr="0078418B" w:rsidRDefault="00876F6D" w:rsidP="00876F6D">
      <w:pPr>
        <w:pStyle w:val="NormalHanging12a"/>
      </w:pPr>
      <w:r w:rsidRPr="0078418B">
        <w:t>D.</w:t>
      </w:r>
      <w:r w:rsidRPr="0078418B">
        <w:tab/>
        <w:t>întrucât deteriorarea situației drepturilor omului în China cauzează tensiuni în relațiile sale cu UE; întrucât respectarea drepturilor omului, a democrației și a statului de drept ar trebui să se afle în centrul relațiilor UE cu China,</w:t>
      </w:r>
    </w:p>
    <w:p w14:paraId="3E806207" w14:textId="77777777" w:rsidR="00876F6D" w:rsidRPr="0078418B" w:rsidRDefault="00876F6D" w:rsidP="00876F6D">
      <w:pPr>
        <w:pStyle w:val="NormalHanging12a"/>
      </w:pPr>
      <w:r w:rsidRPr="0078418B">
        <w:t>1.</w:t>
      </w:r>
      <w:r w:rsidRPr="0078418B">
        <w:tab/>
        <w:t xml:space="preserve">condamnă ferm politicile represive de asimilare ale Chinei și încălcările drepturilor universale ale omului ce sunt consecința acestor politici, inclusiv în Tibet, </w:t>
      </w:r>
      <w:proofErr w:type="spellStart"/>
      <w:r w:rsidRPr="0078418B">
        <w:t>Xinjiang</w:t>
      </w:r>
      <w:proofErr w:type="spellEnd"/>
      <w:r w:rsidRPr="0078418B">
        <w:t xml:space="preserve"> și Mongolia Interioară;</w:t>
      </w:r>
    </w:p>
    <w:p w14:paraId="5E3D6DA6" w14:textId="77777777" w:rsidR="00876F6D" w:rsidRPr="0078418B" w:rsidRDefault="00876F6D" w:rsidP="00876F6D">
      <w:pPr>
        <w:pStyle w:val="NormalHanging12a"/>
      </w:pPr>
      <w:r w:rsidRPr="0078418B">
        <w:t>2.</w:t>
      </w:r>
      <w:r w:rsidRPr="0078418B">
        <w:tab/>
        <w:t xml:space="preserve">își exprimă profunda îngrijorare cu privire la legea adoptată privind promovarea unității etnice și a progresului, care promovează în mod deschis politicile de asimilare și restricționează libertățile culturale, religioase și lingvistice ale diferitelor grupuri din </w:t>
      </w:r>
      <w:r w:rsidRPr="0078418B">
        <w:lastRenderedPageBreak/>
        <w:t>China și din afara Chinei;</w:t>
      </w:r>
    </w:p>
    <w:p w14:paraId="75A4619A" w14:textId="77777777" w:rsidR="00876F6D" w:rsidRPr="0078418B" w:rsidRDefault="00876F6D" w:rsidP="00876F6D">
      <w:pPr>
        <w:pStyle w:val="NormalHanging12a"/>
      </w:pPr>
      <w:r w:rsidRPr="0078418B">
        <w:t>3.</w:t>
      </w:r>
      <w:r w:rsidRPr="0078418B">
        <w:tab/>
        <w:t>îndeamnă China să abroge această lege, respectându-și astfel obligațiile care îi revin în temeiul dreptului internațional în ceea ce privește nediscriminarea, precum și protecția și promovarea minorităților etnice și religioase;</w:t>
      </w:r>
    </w:p>
    <w:p w14:paraId="3E414B27" w14:textId="77777777" w:rsidR="00876F6D" w:rsidRPr="0078418B" w:rsidRDefault="00876F6D" w:rsidP="00876F6D">
      <w:pPr>
        <w:pStyle w:val="NormalHanging12a"/>
        <w:rPr>
          <w:bCs/>
        </w:rPr>
      </w:pPr>
      <w:r w:rsidRPr="0078418B">
        <w:t>4.</w:t>
      </w:r>
      <w:r w:rsidRPr="0078418B">
        <w:tab/>
        <w:t>invită Consiliul să activeze regimul mondial de sancțiuni al UE în materie de drepturi ale omului împotriva funcționarilor și entităților responsabile de conceperea și punerea în aplicare a acestei legi;</w:t>
      </w:r>
    </w:p>
    <w:p w14:paraId="69ECFAE5" w14:textId="77777777" w:rsidR="00876F6D" w:rsidRPr="0078418B" w:rsidRDefault="00876F6D" w:rsidP="00876F6D">
      <w:pPr>
        <w:pStyle w:val="NormalHanging12a"/>
      </w:pPr>
      <w:r w:rsidRPr="0078418B">
        <w:t>5.</w:t>
      </w:r>
      <w:r w:rsidRPr="0078418B">
        <w:tab/>
        <w:t>regretă dispozițiile extrateritoriale ale legii, care constituie represiune transnațională; îndeamnă toate statele membre ale UE să suspende tratatele de extrădare cu China pentru a proteja persoanele persecutate care locuiesc în UE de riscurile de represiune transnațională în temeiul acestei legi;</w:t>
      </w:r>
    </w:p>
    <w:p w14:paraId="43621A54" w14:textId="77777777" w:rsidR="00876F6D" w:rsidRPr="0078418B" w:rsidRDefault="00876F6D" w:rsidP="00876F6D">
      <w:pPr>
        <w:pStyle w:val="NormalHanging12a"/>
      </w:pPr>
      <w:r w:rsidRPr="0078418B">
        <w:t>6.</w:t>
      </w:r>
      <w:r w:rsidRPr="0078418B">
        <w:tab/>
        <w:t>respinge cu fermitate încercările autorităților chineze de a interveni în recunoașterea și educarea liderilor spirituali budiști tibetani; subliniază că succesiunea lui Dalai Lama este o chestiune pur religioasă, care trebuie stabilită exclusiv în conformitate cu tradițiile budiste tibetane;</w:t>
      </w:r>
    </w:p>
    <w:p w14:paraId="2598DB03" w14:textId="77777777" w:rsidR="00876F6D" w:rsidRPr="0078418B" w:rsidRDefault="00876F6D" w:rsidP="00876F6D">
      <w:pPr>
        <w:pStyle w:val="NormalHanging12a"/>
      </w:pPr>
      <w:r w:rsidRPr="0078418B">
        <w:t>7.</w:t>
      </w:r>
      <w:r w:rsidRPr="0078418B">
        <w:tab/>
        <w:t xml:space="preserve">cere eliberarea imediată a prizonierilor politici chinezi, printre care se numără </w:t>
      </w:r>
      <w:proofErr w:type="spellStart"/>
      <w:r w:rsidRPr="0078418B">
        <w:t>Choktrul</w:t>
      </w:r>
      <w:proofErr w:type="spellEnd"/>
      <w:r w:rsidRPr="0078418B">
        <w:t xml:space="preserve"> </w:t>
      </w:r>
      <w:proofErr w:type="spellStart"/>
      <w:r w:rsidRPr="0078418B">
        <w:t>Dorje</w:t>
      </w:r>
      <w:proofErr w:type="spellEnd"/>
      <w:r w:rsidRPr="0078418B">
        <w:t xml:space="preserve"> Ten </w:t>
      </w:r>
      <w:proofErr w:type="spellStart"/>
      <w:r w:rsidRPr="0078418B">
        <w:t>Rinpoche</w:t>
      </w:r>
      <w:proofErr w:type="spellEnd"/>
      <w:r w:rsidRPr="0078418B">
        <w:t xml:space="preserve">, </w:t>
      </w:r>
      <w:proofErr w:type="spellStart"/>
      <w:r w:rsidRPr="0078418B">
        <w:t>Palden</w:t>
      </w:r>
      <w:proofErr w:type="spellEnd"/>
      <w:r w:rsidRPr="0078418B">
        <w:t xml:space="preserve"> </w:t>
      </w:r>
      <w:proofErr w:type="spellStart"/>
      <w:r w:rsidRPr="0078418B">
        <w:t>Yeshi</w:t>
      </w:r>
      <w:proofErr w:type="spellEnd"/>
      <w:r w:rsidRPr="0078418B">
        <w:t xml:space="preserve">, laureatul Premiului Saharov </w:t>
      </w:r>
      <w:proofErr w:type="spellStart"/>
      <w:r w:rsidRPr="0078418B">
        <w:t>Ilham</w:t>
      </w:r>
      <w:proofErr w:type="spellEnd"/>
      <w:r w:rsidRPr="0078418B">
        <w:t xml:space="preserve"> </w:t>
      </w:r>
      <w:proofErr w:type="spellStart"/>
      <w:r w:rsidRPr="0078418B">
        <w:t>Tohti</w:t>
      </w:r>
      <w:proofErr w:type="spellEnd"/>
      <w:r w:rsidRPr="0078418B">
        <w:t xml:space="preserve">, al 11-lea </w:t>
      </w:r>
      <w:proofErr w:type="spellStart"/>
      <w:r w:rsidRPr="0078418B">
        <w:t>Panchen</w:t>
      </w:r>
      <w:proofErr w:type="spellEnd"/>
      <w:r w:rsidRPr="0078418B">
        <w:t xml:space="preserve"> Lama </w:t>
      </w:r>
      <w:proofErr w:type="spellStart"/>
      <w:r w:rsidRPr="0078418B">
        <w:t>Gedhun</w:t>
      </w:r>
      <w:proofErr w:type="spellEnd"/>
      <w:r w:rsidRPr="0078418B">
        <w:t xml:space="preserve"> </w:t>
      </w:r>
      <w:proofErr w:type="spellStart"/>
      <w:r w:rsidRPr="0078418B">
        <w:t>Choekyi</w:t>
      </w:r>
      <w:proofErr w:type="spellEnd"/>
      <w:r w:rsidRPr="0078418B">
        <w:t xml:space="preserve"> </w:t>
      </w:r>
      <w:proofErr w:type="spellStart"/>
      <w:r w:rsidRPr="0078418B">
        <w:t>Nyima</w:t>
      </w:r>
      <w:proofErr w:type="spellEnd"/>
      <w:r w:rsidRPr="0078418B">
        <w:t xml:space="preserve"> și activistul mongol </w:t>
      </w:r>
      <w:proofErr w:type="spellStart"/>
      <w:r w:rsidRPr="0078418B">
        <w:t>Hada</w:t>
      </w:r>
      <w:proofErr w:type="spellEnd"/>
      <w:r w:rsidRPr="0078418B">
        <w:t>; invită Serviciul European de Acțiune Externă, Comisia și statele membre să continue să aducă în discuție aceste cazuri cu China;</w:t>
      </w:r>
    </w:p>
    <w:p w14:paraId="7416DB67" w14:textId="77777777" w:rsidR="00876F6D" w:rsidRPr="0078418B" w:rsidRDefault="00876F6D" w:rsidP="00876F6D">
      <w:pPr>
        <w:pStyle w:val="NormalHanging12a"/>
      </w:pPr>
      <w:r w:rsidRPr="0078418B">
        <w:t>8.</w:t>
      </w:r>
      <w:r w:rsidRPr="0078418B">
        <w:tab/>
        <w:t>invită Înaltul Comisar al ONU pentru Drepturile Omului să publice un raport privind situația actualizată din China, care să abordeze în mod special legea din 2026;</w:t>
      </w:r>
    </w:p>
    <w:p w14:paraId="2BEBEC0A" w14:textId="77777777" w:rsidR="00876F6D" w:rsidRPr="0078418B" w:rsidRDefault="00876F6D" w:rsidP="00876F6D">
      <w:pPr>
        <w:pStyle w:val="NormalHanging12a"/>
      </w:pPr>
      <w:r w:rsidRPr="0078418B">
        <w:t>9.</w:t>
      </w:r>
      <w:r w:rsidRPr="0078418B">
        <w:tab/>
        <w:t>consideră că introducerea și aplicarea acestei legi vor avea consecințe grave pentru relațiile UE-China;</w:t>
      </w:r>
    </w:p>
    <w:p w14:paraId="12F6429C" w14:textId="5399E5B8" w:rsidR="00E365E1" w:rsidRPr="0078418B" w:rsidRDefault="00876F6D" w:rsidP="006A51E3">
      <w:pPr>
        <w:pStyle w:val="NormalHanging12a"/>
      </w:pPr>
      <w:r w:rsidRPr="0078418B">
        <w:t>10.</w:t>
      </w:r>
      <w:r w:rsidRPr="0078418B">
        <w:tab/>
        <w:t>încredințează Președintei sarcina de a transmite prezenta rezoluție statelor membre și altor instituții ale UE, guvernului chinez, ONU și Administrației Centrale Tibetane.</w:t>
      </w:r>
    </w:p>
    <w:sectPr w:rsidR="00E365E1" w:rsidRPr="0078418B" w:rsidSect="004A4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6F3C" w14:textId="77777777" w:rsidR="001F71D7" w:rsidRPr="004A41AB" w:rsidRDefault="001F71D7">
      <w:r w:rsidRPr="004A41AB">
        <w:separator/>
      </w:r>
    </w:p>
  </w:endnote>
  <w:endnote w:type="continuationSeparator" w:id="0">
    <w:p w14:paraId="6441A72A" w14:textId="77777777" w:rsidR="001F71D7" w:rsidRPr="004A41AB" w:rsidRDefault="001F71D7">
      <w:r w:rsidRPr="004A4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C848" w14:textId="77777777" w:rsidR="00064002" w:rsidRPr="004A41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21F2" w14:textId="77777777" w:rsidR="00064002" w:rsidRPr="004A41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273E" w14:textId="77777777" w:rsidR="00064002" w:rsidRPr="004A41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CA58" w14:textId="77777777" w:rsidR="001F71D7" w:rsidRPr="004A41AB" w:rsidRDefault="001F71D7">
      <w:r w:rsidRPr="004A41AB">
        <w:separator/>
      </w:r>
    </w:p>
  </w:footnote>
  <w:footnote w:type="continuationSeparator" w:id="0">
    <w:p w14:paraId="33B2C870" w14:textId="77777777" w:rsidR="001F71D7" w:rsidRPr="004A41AB" w:rsidRDefault="001F71D7">
      <w:r w:rsidRPr="004A41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ACC5" w14:textId="77777777" w:rsidR="00064002" w:rsidRPr="004A41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C599" w14:textId="77777777" w:rsidR="00064002" w:rsidRPr="004A41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65E3" w14:textId="77777777" w:rsidR="00064002" w:rsidRPr="004A41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8812426">
    <w:abstractNumId w:val="9"/>
  </w:num>
  <w:num w:numId="2" w16cid:durableId="2071997271">
    <w:abstractNumId w:val="9"/>
  </w:num>
  <w:num w:numId="3" w16cid:durableId="1232544017">
    <w:abstractNumId w:val="7"/>
  </w:num>
  <w:num w:numId="4" w16cid:durableId="1745224536">
    <w:abstractNumId w:val="7"/>
  </w:num>
  <w:num w:numId="5" w16cid:durableId="513037923">
    <w:abstractNumId w:val="6"/>
  </w:num>
  <w:num w:numId="6" w16cid:durableId="564533233">
    <w:abstractNumId w:val="6"/>
  </w:num>
  <w:num w:numId="7" w16cid:durableId="801731453">
    <w:abstractNumId w:val="5"/>
  </w:num>
  <w:num w:numId="8" w16cid:durableId="15545361">
    <w:abstractNumId w:val="5"/>
  </w:num>
  <w:num w:numId="9" w16cid:durableId="763571937">
    <w:abstractNumId w:val="4"/>
  </w:num>
  <w:num w:numId="10" w16cid:durableId="1368749382">
    <w:abstractNumId w:val="4"/>
  </w:num>
  <w:num w:numId="11" w16cid:durableId="905918338">
    <w:abstractNumId w:val="8"/>
  </w:num>
  <w:num w:numId="12" w16cid:durableId="1256549040">
    <w:abstractNumId w:val="8"/>
  </w:num>
  <w:num w:numId="13" w16cid:durableId="213007338">
    <w:abstractNumId w:val="3"/>
  </w:num>
  <w:num w:numId="14" w16cid:durableId="872884885">
    <w:abstractNumId w:val="3"/>
  </w:num>
  <w:num w:numId="15" w16cid:durableId="1363436537">
    <w:abstractNumId w:val="2"/>
  </w:num>
  <w:num w:numId="16" w16cid:durableId="854150252">
    <w:abstractNumId w:val="2"/>
  </w:num>
  <w:num w:numId="17" w16cid:durableId="463886777">
    <w:abstractNumId w:val="1"/>
  </w:num>
  <w:num w:numId="18" w16cid:durableId="2144495240">
    <w:abstractNumId w:val="1"/>
  </w:num>
  <w:num w:numId="19" w16cid:durableId="1323387325">
    <w:abstractNumId w:val="0"/>
  </w:num>
  <w:num w:numId="20" w16cid:durableId="1994672077">
    <w:abstractNumId w:val="0"/>
  </w:num>
  <w:num w:numId="21" w16cid:durableId="824707254">
    <w:abstractNumId w:val="9"/>
  </w:num>
  <w:num w:numId="22" w16cid:durableId="1902909254">
    <w:abstractNumId w:val="7"/>
  </w:num>
  <w:num w:numId="23" w16cid:durableId="338433033">
    <w:abstractNumId w:val="6"/>
  </w:num>
  <w:num w:numId="24" w16cid:durableId="390541440">
    <w:abstractNumId w:val="5"/>
  </w:num>
  <w:num w:numId="25" w16cid:durableId="1672298170">
    <w:abstractNumId w:val="4"/>
  </w:num>
  <w:num w:numId="26" w16cid:durableId="810489069">
    <w:abstractNumId w:val="8"/>
  </w:num>
  <w:num w:numId="27" w16cid:durableId="395930452">
    <w:abstractNumId w:val="3"/>
  </w:num>
  <w:num w:numId="28" w16cid:durableId="661012567">
    <w:abstractNumId w:val="2"/>
  </w:num>
  <w:num w:numId="29" w16cid:durableId="459805655">
    <w:abstractNumId w:val="1"/>
  </w:num>
  <w:num w:numId="30" w16cid:durableId="115564920">
    <w:abstractNumId w:val="0"/>
  </w:num>
  <w:num w:numId="31" w16cid:durableId="786317517">
    <w:abstractNumId w:val="9"/>
  </w:num>
  <w:num w:numId="32" w16cid:durableId="1891653235">
    <w:abstractNumId w:val="7"/>
  </w:num>
  <w:num w:numId="33" w16cid:durableId="1290013188">
    <w:abstractNumId w:val="6"/>
  </w:num>
  <w:num w:numId="34" w16cid:durableId="1452557092">
    <w:abstractNumId w:val="5"/>
  </w:num>
  <w:num w:numId="35" w16cid:durableId="1877085527">
    <w:abstractNumId w:val="4"/>
  </w:num>
  <w:num w:numId="36" w16cid:durableId="685399581">
    <w:abstractNumId w:val="8"/>
  </w:num>
  <w:num w:numId="37" w16cid:durableId="2135125946">
    <w:abstractNumId w:val="3"/>
  </w:num>
  <w:num w:numId="38" w16cid:durableId="1003972483">
    <w:abstractNumId w:val="2"/>
  </w:num>
  <w:num w:numId="39" w16cid:durableId="518155703">
    <w:abstractNumId w:val="1"/>
  </w:num>
  <w:num w:numId="40" w16cid:durableId="958683575">
    <w:abstractNumId w:val="0"/>
  </w:num>
  <w:num w:numId="41" w16cid:durableId="1558980220">
    <w:abstractNumId w:val="10"/>
  </w:num>
  <w:num w:numId="42" w16cid:durableId="1137647375">
    <w:abstractNumId w:val="10"/>
  </w:num>
  <w:num w:numId="43" w16cid:durableId="910771808">
    <w:abstractNumId w:val="10"/>
  </w:num>
  <w:num w:numId="44" w16cid:durableId="8047820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RO"/>
    <w:docVar w:name="dvnumam" w:val="0"/>
    <w:docVar w:name="dvpe" w:val="783.251"/>
    <w:docVar w:name="dvtitre" w:val="Rezoluția Parlamentului European din 30 aprilie 2026 referitoare la noua lege chineză privind „unitatea etnică și progresul” și reprimarea intensificată a identităților etnice(2026/2703(RSP))"/>
  </w:docVars>
  <w:rsids>
    <w:rsidRoot w:val="001F71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71D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1A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1E3"/>
    <w:rsid w:val="006F74FA"/>
    <w:rsid w:val="00731ADD"/>
    <w:rsid w:val="00734777"/>
    <w:rsid w:val="00747932"/>
    <w:rsid w:val="00751A4A"/>
    <w:rsid w:val="00756632"/>
    <w:rsid w:val="00762C74"/>
    <w:rsid w:val="0078418B"/>
    <w:rsid w:val="00786EC0"/>
    <w:rsid w:val="007D1690"/>
    <w:rsid w:val="007E22AD"/>
    <w:rsid w:val="00817416"/>
    <w:rsid w:val="00842779"/>
    <w:rsid w:val="00865F67"/>
    <w:rsid w:val="00876F6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E9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56875"/>
  <w15:chartTrackingRefBased/>
  <w15:docId w15:val="{54F3C875-D097-4045-B202-590923EC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76F6D"/>
    <w:pPr>
      <w:spacing w:after="240"/>
      <w:ind w:left="567" w:hanging="567"/>
    </w:pPr>
  </w:style>
  <w:style w:type="paragraph" w:customStyle="1" w:styleId="EPComma">
    <w:name w:val="EPComma"/>
    <w:basedOn w:val="Normal"/>
    <w:rsid w:val="00876F6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76F6D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TEODORESCU-ILIE Camelia</dc:creator>
  <cp:keywords/>
  <cp:lastModifiedBy>TEODORESCU-ILIE Camelia</cp:lastModifiedBy>
  <cp:revision>2</cp:revision>
  <cp:lastPrinted>2004-11-19T15:42:00Z</cp:lastPrinted>
  <dcterms:created xsi:type="dcterms:W3CDTF">2026-04-30T10:34:00Z</dcterms:created>
  <dcterms:modified xsi:type="dcterms:W3CDTF">2026-04-30T10:34:00Z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